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1777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20" w:type="dxa"/>
            <w:vAlign w:val="bottom"/>
            <w:gridSpan w:val="2"/>
            <w:vMerge w:val="restart"/>
          </w:tcPr>
          <w:p>
            <w:pPr>
              <w:ind w:left="20"/>
              <w:spacing w:after="0"/>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Dolan Aidan J</w:t>
              </w:r>
            </w:hyperlink>
          </w:p>
        </w:tc>
        <w:tc>
          <w:tcPr>
            <w:tcW w:w="1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AMC Global Media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AMCX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4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2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12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24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22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06/16/2026</w:t>
            </w:r>
          </w:p>
        </w:tc>
        <w:tc>
          <w:tcPr>
            <w:tcW w:w="17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w w:val="99"/>
              </w:rPr>
              <w:t>KNICKERBOCKER GROUP LLC</w:t>
            </w:r>
          </w:p>
        </w:tc>
        <w:tc>
          <w:tcPr>
            <w:tcW w:w="1180" w:type="dxa"/>
            <w:vAlign w:val="bottom"/>
          </w:tcPr>
          <w:p>
            <w:pPr>
              <w:spacing w:after="0"/>
              <w:rPr>
                <w:sz w:val="10"/>
                <w:szCs w:val="10"/>
                <w:color w:val="auto"/>
              </w:rPr>
            </w:pPr>
          </w:p>
        </w:tc>
        <w:tc>
          <w:tcPr>
            <w:tcW w:w="2200" w:type="dxa"/>
            <w:vAlign w:val="bottom"/>
            <w:gridSpan w:val="3"/>
            <w:vMerge w:val="continue"/>
          </w:tcPr>
          <w:p>
            <w:pPr>
              <w:spacing w:after="0"/>
              <w:rPr>
                <w:sz w:val="10"/>
                <w:szCs w:val="10"/>
                <w:color w:val="auto"/>
              </w:rPr>
            </w:pPr>
          </w:p>
        </w:tc>
        <w:tc>
          <w:tcPr>
            <w:tcW w:w="17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3"/>
            <w:vMerge w:val="continue"/>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PO BOX 420</w:t>
            </w:r>
          </w:p>
        </w:tc>
        <w:tc>
          <w:tcPr>
            <w:tcW w:w="1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04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OYSTER BAY</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11771</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AMC</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Global</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6"/>
              </w:rPr>
              <w:t>Media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10,926</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06/16/2026</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10,926</w:t>
            </w: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Inc.</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000FF"/>
              </w:rPr>
              <w:t>10,926</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0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director stock unit is granted under the AMC Global Media Inc. Amended and Restated 2011 Stock Plan for Non-Employee Directors and represents a right to receive the cash equivalent of one share of Class A Common Stock.</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director stock units are fully vested on the date of the grant and will be settled in cash on the first business day 90 days after service on the Board of Directors ceases.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AMC Global Media Inc. Amended and Restated 2011 Stock Plan for Non-Employee Directors for no consideration.</w:t>
      </w:r>
    </w:p>
    <w:p>
      <w:pPr>
        <w:spacing w:after="0" w:line="5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Aidan J. Dolan</w:t>
            </w:r>
          </w:p>
        </w:tc>
        <w:tc>
          <w:tcPr>
            <w:tcW w:w="98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06/18/2026</w:t>
            </w: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14020" TargetMode="External"/><Relationship Id="rId14" Type="http://schemas.openxmlformats.org/officeDocument/2006/relationships/hyperlink" Target="http://www.sec.gov/cgi-bin/browse-edgar?action=getcompany&amp;CIK=00015149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2026-06-18T17:14:10Z</dcterms:created>
  <dcterms:modified xsi:type="dcterms:W3CDTF">2026-06-18T17:14:10Z</dcterms:modified>
</cp:coreProperties>
</file>