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57150</wp:posOffset>
            </wp:positionV>
            <wp:extent cx="32918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88265</wp:posOffset>
            </wp:positionV>
            <wp:extent cx="32918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83"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7" w:lineRule="exact"/>
        <w:rPr>
          <w:sz w:val="24"/>
          <w:szCs w:val="24"/>
          <w:color w:val="auto"/>
        </w:rPr>
      </w:pPr>
    </w:p>
    <w:p>
      <w:pPr>
        <w:ind w:left="5540"/>
        <w:spacing w:after="0"/>
        <w:rPr>
          <w:sz w:val="20"/>
          <w:szCs w:val="20"/>
          <w:color w:val="auto"/>
        </w:rPr>
      </w:pPr>
      <w:r>
        <w:rPr>
          <w:rFonts w:ascii="Arial" w:cs="Arial" w:eastAsia="Arial" w:hAnsi="Arial"/>
          <w:sz w:val="18"/>
          <w:szCs w:val="18"/>
          <w:b w:val="1"/>
          <w:bCs w:val="1"/>
          <w:color w:val="auto"/>
        </w:rPr>
        <w:t>or</w:t>
      </w:r>
    </w:p>
    <w:p>
      <w:pPr>
        <w:spacing w:after="0" w:line="72"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3" w:lineRule="exact"/>
        <w:rPr>
          <w:sz w:val="24"/>
          <w:szCs w:val="24"/>
          <w:color w:val="auto"/>
        </w:rPr>
      </w:pPr>
    </w:p>
    <w:tbl>
      <w:tblPr>
        <w:tblLayout w:type="fixed"/>
        <w:tblInd w:w="52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2860" w:type="dxa"/>
            <w:vAlign w:val="bottom"/>
            <w:gridSpan w:val="2"/>
          </w:tcPr>
          <w:p>
            <w:pPr>
              <w:ind w:left="460"/>
              <w:spacing w:after="0"/>
              <w:rPr>
                <w:sz w:val="20"/>
                <w:szCs w:val="20"/>
                <w:color w:val="auto"/>
              </w:rPr>
            </w:pPr>
            <w:r>
              <w:rPr>
                <w:rFonts w:ascii="Arial" w:cs="Arial" w:eastAsia="Arial" w:hAnsi="Arial"/>
                <w:sz w:val="18"/>
                <w:szCs w:val="18"/>
                <w:b w:val="1"/>
                <w:bCs w:val="1"/>
                <w:color w:val="auto"/>
                <w:w w:val="94"/>
              </w:rPr>
              <w:t>For the transition period from</w:t>
            </w:r>
          </w:p>
        </w:tc>
        <w:tc>
          <w:tcPr>
            <w:tcW w:w="4240" w:type="dxa"/>
            <w:vAlign w:val="bottom"/>
            <w:gridSpan w:val="2"/>
          </w:tcPr>
          <w:p>
            <w:pPr>
              <w:ind w:left="60"/>
              <w:spacing w:after="0"/>
              <w:rPr>
                <w:sz w:val="20"/>
                <w:szCs w:val="20"/>
                <w:color w:val="auto"/>
              </w:rPr>
            </w:pPr>
            <w:r>
              <w:rPr>
                <w:rFonts w:ascii="Arial" w:cs="Arial" w:eastAsia="Arial" w:hAnsi="Arial"/>
                <w:sz w:val="18"/>
                <w:szCs w:val="18"/>
                <w:b w:val="1"/>
                <w:bCs w:val="1"/>
                <w:color w:val="auto"/>
              </w:rPr>
              <w:t>to</w:t>
            </w:r>
          </w:p>
        </w:tc>
      </w:tr>
      <w:tr>
        <w:trPr>
          <w:trHeight w:val="270"/>
        </w:trPr>
        <w:tc>
          <w:tcPr>
            <w:tcW w:w="25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320" w:type="dxa"/>
            <w:vAlign w:val="bottom"/>
            <w:gridSpan w:val="3"/>
          </w:tcPr>
          <w:p>
            <w:pPr>
              <w:jc w:val="center"/>
              <w:ind w:right="2720"/>
              <w:spacing w:after="0"/>
              <w:rPr>
                <w:sz w:val="20"/>
                <w:szCs w:val="20"/>
                <w:color w:val="auto"/>
              </w:rPr>
            </w:pPr>
            <w:r>
              <w:rPr>
                <w:rFonts w:ascii="Arial" w:cs="Arial" w:eastAsia="Arial" w:hAnsi="Arial"/>
                <w:sz w:val="18"/>
                <w:szCs w:val="18"/>
                <w:b w:val="1"/>
                <w:bCs w:val="1"/>
                <w:color w:val="auto"/>
                <w:w w:val="91"/>
              </w:rPr>
              <w:t>Commission File Number: 1-35106</w:t>
            </w:r>
          </w:p>
        </w:tc>
      </w:tr>
      <w:tr>
        <w:trPr>
          <w:trHeight w:val="135"/>
        </w:trPr>
        <w:tc>
          <w:tcPr>
            <w:tcW w:w="25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400" w:type="dxa"/>
            <w:vAlign w:val="bottom"/>
            <w:tcBorders>
              <w:bottom w:val="single" w:sz="8" w:color="auto"/>
            </w:tcBorders>
            <w:gridSpan w:val="2"/>
          </w:tcPr>
          <w:p>
            <w:pPr>
              <w:spacing w:after="0"/>
              <w:rPr>
                <w:sz w:val="11"/>
                <w:szCs w:val="11"/>
                <w:color w:val="auto"/>
              </w:rPr>
            </w:pPr>
          </w:p>
        </w:tc>
        <w:tc>
          <w:tcPr>
            <w:tcW w:w="1920" w:type="dxa"/>
            <w:vAlign w:val="bottom"/>
          </w:tcPr>
          <w:p>
            <w:pPr>
              <w:spacing w:after="0"/>
              <w:rPr>
                <w:sz w:val="11"/>
                <w:szCs w:val="11"/>
                <w:color w:val="auto"/>
              </w:rPr>
            </w:pPr>
          </w:p>
        </w:tc>
      </w:tr>
      <w:tr>
        <w:trPr>
          <w:trHeight w:val="471"/>
        </w:trPr>
        <w:tc>
          <w:tcPr>
            <w:tcW w:w="2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320" w:type="dxa"/>
            <w:vAlign w:val="bottom"/>
            <w:gridSpan w:val="3"/>
          </w:tcPr>
          <w:p>
            <w:pPr>
              <w:jc w:val="center"/>
              <w:ind w:right="2720"/>
              <w:spacing w:after="0"/>
              <w:rPr>
                <w:sz w:val="20"/>
                <w:szCs w:val="20"/>
                <w:color w:val="auto"/>
              </w:rPr>
            </w:pPr>
            <w:r>
              <w:rPr>
                <w:rFonts w:ascii="Arial" w:cs="Arial" w:eastAsia="Arial" w:hAnsi="Arial"/>
                <w:sz w:val="29"/>
                <w:szCs w:val="29"/>
                <w:b w:val="1"/>
                <w:bCs w:val="1"/>
                <w:color w:val="auto"/>
                <w:w w:val="94"/>
              </w:rPr>
              <w:t>AMC Networks Inc.</w:t>
            </w:r>
          </w:p>
        </w:tc>
      </w:tr>
      <w:tr>
        <w:trPr>
          <w:trHeight w:val="246"/>
        </w:trPr>
        <w:tc>
          <w:tcPr>
            <w:tcW w:w="2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320" w:type="dxa"/>
            <w:vAlign w:val="bottom"/>
            <w:gridSpan w:val="3"/>
          </w:tcPr>
          <w:p>
            <w:pPr>
              <w:jc w:val="center"/>
              <w:ind w:right="2700"/>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73"/>
        </w:trPr>
        <w:tc>
          <w:tcPr>
            <w:tcW w:w="252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1920" w:type="dxa"/>
            <w:vAlign w:val="bottom"/>
          </w:tcPr>
          <w:p>
            <w:pPr>
              <w:spacing w:after="0"/>
              <w:rPr>
                <w:sz w:val="6"/>
                <w:szCs w:val="6"/>
                <w:color w:val="auto"/>
              </w:rPr>
            </w:pPr>
          </w:p>
        </w:tc>
      </w:tr>
      <w:tr>
        <w:trPr>
          <w:trHeight w:val="430"/>
        </w:trPr>
        <w:tc>
          <w:tcPr>
            <w:tcW w:w="3300" w:type="dxa"/>
            <w:vAlign w:val="bottom"/>
            <w:gridSpan w:val="2"/>
          </w:tcPr>
          <w:p>
            <w:pPr>
              <w:jc w:val="center"/>
              <w:ind w:left="1219"/>
              <w:spacing w:after="0"/>
              <w:rPr>
                <w:sz w:val="20"/>
                <w:szCs w:val="20"/>
                <w:color w:val="auto"/>
              </w:rPr>
            </w:pPr>
            <w:r>
              <w:rPr>
                <w:rFonts w:ascii="Arial" w:cs="Arial" w:eastAsia="Arial" w:hAnsi="Arial"/>
                <w:sz w:val="18"/>
                <w:szCs w:val="18"/>
                <w:b w:val="1"/>
                <w:bCs w:val="1"/>
                <w:color w:val="auto"/>
                <w:w w:val="91"/>
              </w:rPr>
              <w:t>Delaware</w:t>
            </w:r>
          </w:p>
        </w:tc>
        <w:tc>
          <w:tcPr>
            <w:tcW w:w="2080" w:type="dxa"/>
            <w:vAlign w:val="bottom"/>
          </w:tcPr>
          <w:p>
            <w:pPr>
              <w:spacing w:after="0"/>
              <w:rPr>
                <w:sz w:val="24"/>
                <w:szCs w:val="24"/>
                <w:color w:val="auto"/>
              </w:rPr>
            </w:pPr>
          </w:p>
        </w:tc>
        <w:tc>
          <w:tcPr>
            <w:tcW w:w="4240" w:type="dxa"/>
            <w:vAlign w:val="bottom"/>
            <w:gridSpan w:val="2"/>
          </w:tcPr>
          <w:p>
            <w:pPr>
              <w:jc w:val="right"/>
              <w:ind w:right="1280"/>
              <w:spacing w:after="0"/>
              <w:rPr>
                <w:sz w:val="20"/>
                <w:szCs w:val="20"/>
                <w:color w:val="auto"/>
              </w:rPr>
            </w:pPr>
            <w:r>
              <w:rPr>
                <w:rFonts w:ascii="Arial" w:cs="Arial" w:eastAsia="Arial" w:hAnsi="Arial"/>
                <w:sz w:val="18"/>
                <w:szCs w:val="18"/>
                <w:b w:val="1"/>
                <w:bCs w:val="1"/>
                <w:color w:val="auto"/>
              </w:rPr>
              <w:t>27-5403694</w:t>
            </w:r>
          </w:p>
        </w:tc>
      </w:tr>
      <w:tr>
        <w:trPr>
          <w:trHeight w:val="144"/>
        </w:trPr>
        <w:tc>
          <w:tcPr>
            <w:tcW w:w="3300" w:type="dxa"/>
            <w:vAlign w:val="bottom"/>
            <w:gridSpan w:val="2"/>
          </w:tcPr>
          <w:p>
            <w:pPr>
              <w:jc w:val="center"/>
              <w:ind w:left="1219"/>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2080" w:type="dxa"/>
            <w:vAlign w:val="bottom"/>
          </w:tcPr>
          <w:p>
            <w:pPr>
              <w:spacing w:after="0"/>
              <w:rPr>
                <w:sz w:val="12"/>
                <w:szCs w:val="12"/>
                <w:color w:val="auto"/>
              </w:rPr>
            </w:pPr>
          </w:p>
        </w:tc>
        <w:tc>
          <w:tcPr>
            <w:tcW w:w="4240" w:type="dxa"/>
            <w:vAlign w:val="bottom"/>
            <w:gridSpan w:val="2"/>
          </w:tcPr>
          <w:p>
            <w:pPr>
              <w:jc w:val="center"/>
              <w:ind w:left="759"/>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300" w:type="dxa"/>
            <w:vAlign w:val="bottom"/>
            <w:gridSpan w:val="2"/>
          </w:tcPr>
          <w:p>
            <w:pPr>
              <w:jc w:val="center"/>
              <w:ind w:left="1219"/>
              <w:spacing w:after="0"/>
              <w:rPr>
                <w:sz w:val="20"/>
                <w:szCs w:val="20"/>
                <w:color w:val="auto"/>
              </w:rPr>
            </w:pPr>
            <w:r>
              <w:rPr>
                <w:rFonts w:ascii="Arial" w:cs="Arial" w:eastAsia="Arial" w:hAnsi="Arial"/>
                <w:sz w:val="14"/>
                <w:szCs w:val="14"/>
                <w:b w:val="1"/>
                <w:bCs w:val="1"/>
                <w:color w:val="auto"/>
                <w:w w:val="94"/>
              </w:rPr>
              <w:t>incorporation or organization)</w:t>
            </w:r>
          </w:p>
        </w:tc>
        <w:tc>
          <w:tcPr>
            <w:tcW w:w="2080" w:type="dxa"/>
            <w:vAlign w:val="bottom"/>
          </w:tcPr>
          <w:p>
            <w:pPr>
              <w:spacing w:after="0"/>
              <w:rPr>
                <w:sz w:val="16"/>
                <w:szCs w:val="16"/>
                <w:color w:val="auto"/>
              </w:rPr>
            </w:pPr>
          </w:p>
        </w:tc>
        <w:tc>
          <w:tcPr>
            <w:tcW w:w="4240" w:type="dxa"/>
            <w:vAlign w:val="bottom"/>
            <w:gridSpan w:val="2"/>
          </w:tcPr>
          <w:p>
            <w:pPr>
              <w:jc w:val="center"/>
              <w:ind w:left="739"/>
              <w:spacing w:after="0"/>
              <w:rPr>
                <w:sz w:val="20"/>
                <w:szCs w:val="20"/>
                <w:color w:val="auto"/>
              </w:rPr>
            </w:pPr>
            <w:r>
              <w:rPr>
                <w:rFonts w:ascii="Arial" w:cs="Arial" w:eastAsia="Arial" w:hAnsi="Arial"/>
                <w:sz w:val="14"/>
                <w:szCs w:val="14"/>
                <w:b w:val="1"/>
                <w:bCs w:val="1"/>
                <w:color w:val="auto"/>
                <w:w w:val="96"/>
              </w:rPr>
              <w:t>Identification No.)</w:t>
            </w:r>
          </w:p>
        </w:tc>
      </w:tr>
      <w:tr>
        <w:trPr>
          <w:trHeight w:val="281"/>
        </w:trPr>
        <w:tc>
          <w:tcPr>
            <w:tcW w:w="3300" w:type="dxa"/>
            <w:vAlign w:val="bottom"/>
            <w:gridSpan w:val="2"/>
          </w:tcPr>
          <w:p>
            <w:pPr>
              <w:jc w:val="center"/>
              <w:ind w:left="1219"/>
              <w:spacing w:after="0"/>
              <w:rPr>
                <w:sz w:val="20"/>
                <w:szCs w:val="20"/>
                <w:color w:val="auto"/>
              </w:rPr>
            </w:pPr>
            <w:r>
              <w:rPr>
                <w:rFonts w:ascii="Arial" w:cs="Arial" w:eastAsia="Arial" w:hAnsi="Arial"/>
                <w:sz w:val="18"/>
                <w:szCs w:val="18"/>
                <w:b w:val="1"/>
                <w:bCs w:val="1"/>
                <w:color w:val="auto"/>
                <w:w w:val="89"/>
              </w:rPr>
              <w:t>11 Penn Plaza,</w:t>
            </w:r>
          </w:p>
        </w:tc>
        <w:tc>
          <w:tcPr>
            <w:tcW w:w="20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25"/>
        </w:trPr>
        <w:tc>
          <w:tcPr>
            <w:tcW w:w="3300" w:type="dxa"/>
            <w:vAlign w:val="bottom"/>
            <w:gridSpan w:val="2"/>
          </w:tcPr>
          <w:p>
            <w:pPr>
              <w:ind w:left="1460"/>
              <w:spacing w:after="0"/>
              <w:rPr>
                <w:sz w:val="20"/>
                <w:szCs w:val="20"/>
                <w:color w:val="auto"/>
              </w:rPr>
            </w:pPr>
            <w:r>
              <w:rPr>
                <w:rFonts w:ascii="Arial" w:cs="Arial" w:eastAsia="Arial" w:hAnsi="Arial"/>
                <w:sz w:val="18"/>
                <w:szCs w:val="18"/>
                <w:b w:val="1"/>
                <w:bCs w:val="1"/>
                <w:color w:val="auto"/>
              </w:rPr>
              <w:t>New York, NY</w:t>
            </w:r>
          </w:p>
        </w:tc>
        <w:tc>
          <w:tcPr>
            <w:tcW w:w="2080" w:type="dxa"/>
            <w:vAlign w:val="bottom"/>
          </w:tcPr>
          <w:p>
            <w:pPr>
              <w:spacing w:after="0"/>
              <w:rPr>
                <w:sz w:val="19"/>
                <w:szCs w:val="19"/>
                <w:color w:val="auto"/>
              </w:rPr>
            </w:pPr>
          </w:p>
        </w:tc>
        <w:tc>
          <w:tcPr>
            <w:tcW w:w="4240" w:type="dxa"/>
            <w:vAlign w:val="bottom"/>
            <w:gridSpan w:val="2"/>
          </w:tcPr>
          <w:p>
            <w:pPr>
              <w:jc w:val="right"/>
              <w:ind w:right="1480"/>
              <w:spacing w:after="0"/>
              <w:rPr>
                <w:sz w:val="20"/>
                <w:szCs w:val="20"/>
                <w:color w:val="auto"/>
              </w:rPr>
            </w:pPr>
            <w:r>
              <w:rPr>
                <w:rFonts w:ascii="Arial" w:cs="Arial" w:eastAsia="Arial" w:hAnsi="Arial"/>
                <w:sz w:val="18"/>
                <w:szCs w:val="18"/>
                <w:b w:val="1"/>
                <w:bCs w:val="1"/>
                <w:color w:val="auto"/>
              </w:rPr>
              <w:t>10001</w:t>
            </w:r>
          </w:p>
        </w:tc>
      </w:tr>
      <w:tr>
        <w:trPr>
          <w:trHeight w:val="186"/>
        </w:trPr>
        <w:tc>
          <w:tcPr>
            <w:tcW w:w="5380" w:type="dxa"/>
            <w:vAlign w:val="bottom"/>
            <w:gridSpan w:val="3"/>
          </w:tcPr>
          <w:p>
            <w:pPr>
              <w:jc w:val="center"/>
              <w:ind w:right="71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240" w:type="dxa"/>
            <w:vAlign w:val="bottom"/>
            <w:gridSpan w:val="2"/>
          </w:tcPr>
          <w:p>
            <w:pPr>
              <w:jc w:val="center"/>
              <w:ind w:left="739"/>
              <w:spacing w:after="0"/>
              <w:rPr>
                <w:sz w:val="20"/>
                <w:szCs w:val="20"/>
                <w:color w:val="auto"/>
              </w:rPr>
            </w:pPr>
            <w:r>
              <w:rPr>
                <w:rFonts w:ascii="Arial" w:cs="Arial" w:eastAsia="Arial" w:hAnsi="Arial"/>
                <w:sz w:val="14"/>
                <w:szCs w:val="14"/>
                <w:b w:val="1"/>
                <w:bCs w:val="1"/>
                <w:color w:val="auto"/>
                <w:w w:val="95"/>
              </w:rPr>
              <w:t>(Zip Code)</w:t>
            </w:r>
          </w:p>
        </w:tc>
      </w:tr>
      <w:tr>
        <w:trPr>
          <w:trHeight w:val="354"/>
        </w:trPr>
        <w:tc>
          <w:tcPr>
            <w:tcW w:w="2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0" w:type="dxa"/>
            <w:vAlign w:val="bottom"/>
            <w:gridSpan w:val="2"/>
          </w:tcPr>
          <w:p>
            <w:pPr>
              <w:jc w:val="center"/>
              <w:ind w:right="719"/>
              <w:spacing w:after="0"/>
              <w:rPr>
                <w:sz w:val="20"/>
                <w:szCs w:val="20"/>
                <w:color w:val="auto"/>
              </w:rPr>
            </w:pPr>
            <w:r>
              <w:rPr>
                <w:rFonts w:ascii="Arial" w:cs="Arial" w:eastAsia="Arial" w:hAnsi="Arial"/>
                <w:sz w:val="18"/>
                <w:szCs w:val="18"/>
                <w:b w:val="1"/>
                <w:bCs w:val="1"/>
                <w:color w:val="auto"/>
                <w:w w:val="90"/>
              </w:rPr>
              <w:t>(212) 324-8500</w:t>
            </w:r>
          </w:p>
        </w:tc>
        <w:tc>
          <w:tcPr>
            <w:tcW w:w="1920" w:type="dxa"/>
            <w:vAlign w:val="bottom"/>
          </w:tcPr>
          <w:p>
            <w:pPr>
              <w:spacing w:after="0"/>
              <w:rPr>
                <w:sz w:val="24"/>
                <w:szCs w:val="24"/>
                <w:color w:val="auto"/>
              </w:rPr>
            </w:pPr>
          </w:p>
        </w:tc>
      </w:tr>
      <w:tr>
        <w:trPr>
          <w:trHeight w:val="162"/>
        </w:trPr>
        <w:tc>
          <w:tcPr>
            <w:tcW w:w="2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320" w:type="dxa"/>
            <w:vAlign w:val="bottom"/>
            <w:gridSpan w:val="3"/>
          </w:tcPr>
          <w:p>
            <w:pPr>
              <w:jc w:val="center"/>
              <w:ind w:right="27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186"/>
        </w:trPr>
        <w:tc>
          <w:tcPr>
            <w:tcW w:w="2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320" w:type="dxa"/>
            <w:vAlign w:val="bottom"/>
            <w:gridSpan w:val="3"/>
          </w:tcPr>
          <w:p>
            <w:pPr>
              <w:jc w:val="center"/>
              <w:ind w:right="272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478"/>
        </w:trPr>
        <w:tc>
          <w:tcPr>
            <w:tcW w:w="3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080" w:type="dxa"/>
            <w:vAlign w:val="bottom"/>
          </w:tcPr>
          <w:p>
            <w:pPr>
              <w:jc w:val="center"/>
              <w:ind w:left="511"/>
              <w:spacing w:after="0"/>
              <w:rPr>
                <w:sz w:val="20"/>
                <w:szCs w:val="20"/>
                <w:color w:val="auto"/>
              </w:rPr>
            </w:pPr>
            <w:r>
              <w:rPr>
                <w:rFonts w:ascii="Arial" w:cs="Arial" w:eastAsia="Arial" w:hAnsi="Arial"/>
                <w:sz w:val="16"/>
                <w:szCs w:val="16"/>
                <w:b w:val="1"/>
                <w:bCs w:val="1"/>
                <w:color w:val="auto"/>
                <w:w w:val="91"/>
              </w:rPr>
              <w:t>Trading Symbol(s)</w:t>
            </w:r>
          </w:p>
        </w:tc>
        <w:tc>
          <w:tcPr>
            <w:tcW w:w="4240" w:type="dxa"/>
            <w:vAlign w:val="bottom"/>
            <w:gridSpan w:val="2"/>
          </w:tcPr>
          <w:p>
            <w:pPr>
              <w:ind w:left="1240"/>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16"/>
        </w:trPr>
        <w:tc>
          <w:tcPr>
            <w:tcW w:w="3300" w:type="dxa"/>
            <w:vAlign w:val="bottom"/>
            <w:gridSpan w:val="2"/>
          </w:tcPr>
          <w:p>
            <w:pPr>
              <w:jc w:val="center"/>
              <w:spacing w:after="0"/>
              <w:rPr>
                <w:sz w:val="20"/>
                <w:szCs w:val="20"/>
                <w:color w:val="auto"/>
              </w:rPr>
            </w:pPr>
            <w:r>
              <w:rPr>
                <w:rFonts w:ascii="Arial" w:cs="Arial" w:eastAsia="Arial" w:hAnsi="Arial"/>
                <w:sz w:val="16"/>
                <w:szCs w:val="16"/>
                <w:color w:val="auto"/>
                <w:w w:val="90"/>
              </w:rPr>
              <w:t>Class A Common Stock, par value $0.01 per share</w:t>
            </w:r>
          </w:p>
        </w:tc>
        <w:tc>
          <w:tcPr>
            <w:tcW w:w="2080" w:type="dxa"/>
            <w:vAlign w:val="bottom"/>
          </w:tcPr>
          <w:p>
            <w:pPr>
              <w:jc w:val="center"/>
              <w:ind w:left="511"/>
              <w:spacing w:after="0"/>
              <w:rPr>
                <w:sz w:val="20"/>
                <w:szCs w:val="20"/>
                <w:color w:val="auto"/>
              </w:rPr>
            </w:pPr>
            <w:r>
              <w:rPr>
                <w:rFonts w:ascii="Arial" w:cs="Arial" w:eastAsia="Arial" w:hAnsi="Arial"/>
                <w:sz w:val="16"/>
                <w:szCs w:val="16"/>
                <w:color w:val="auto"/>
              </w:rPr>
              <w:t>AMCX</w:t>
            </w:r>
          </w:p>
        </w:tc>
        <w:tc>
          <w:tcPr>
            <w:tcW w:w="4240" w:type="dxa"/>
            <w:vAlign w:val="bottom"/>
            <w:gridSpan w:val="2"/>
          </w:tcPr>
          <w:p>
            <w:pPr>
              <w:ind w:left="1460"/>
              <w:spacing w:after="0"/>
              <w:rPr>
                <w:sz w:val="20"/>
                <w:szCs w:val="20"/>
                <w:color w:val="auto"/>
              </w:rPr>
            </w:pPr>
            <w:r>
              <w:rPr>
                <w:rFonts w:ascii="Arial" w:cs="Arial" w:eastAsia="Arial" w:hAnsi="Arial"/>
                <w:sz w:val="16"/>
                <w:szCs w:val="16"/>
                <w:color w:val="auto"/>
              </w:rPr>
              <w:t>The  NASDAQ  Stock Market LLC</w:t>
            </w:r>
          </w:p>
        </w:tc>
      </w:tr>
      <w:tr>
        <w:trPr>
          <w:trHeight w:val="114"/>
        </w:trPr>
        <w:tc>
          <w:tcPr>
            <w:tcW w:w="25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r>
    </w:tbl>
    <w:p>
      <w:pPr>
        <w:spacing w:after="0" w:line="28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53"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ind w:right="280"/>
        <w:spacing w:after="0" w:line="25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(as defined in Exchange Act Rule 12b-2).</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9"/>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74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97"/>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34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74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38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310"/>
        </w:trPr>
        <w:tc>
          <w:tcPr>
            <w:tcW w:w="19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860" w:type="dxa"/>
            <w:vAlign w:val="bottom"/>
          </w:tcPr>
          <w:p>
            <w:pPr>
              <w:ind w:left="2740"/>
              <w:spacing w:after="0"/>
              <w:rPr>
                <w:sz w:val="20"/>
                <w:szCs w:val="20"/>
                <w:color w:val="auto"/>
              </w:rPr>
            </w:pPr>
            <w:r>
              <w:rPr>
                <w:rFonts w:ascii="Arial" w:cs="Arial" w:eastAsia="Arial" w:hAnsi="Arial"/>
                <w:sz w:val="16"/>
                <w:szCs w:val="16"/>
                <w:color w:val="auto"/>
              </w:rPr>
              <w:t>Emerging growth company</w:t>
            </w:r>
          </w:p>
        </w:tc>
        <w:tc>
          <w:tcPr>
            <w:tcW w:w="540" w:type="dxa"/>
            <w:vAlign w:val="bottom"/>
          </w:tcPr>
          <w:p>
            <w:pPr>
              <w:ind w:left="380"/>
              <w:spacing w:after="0" w:line="191" w:lineRule="exact"/>
              <w:rPr>
                <w:sz w:val="20"/>
                <w:szCs w:val="20"/>
                <w:color w:val="auto"/>
              </w:rPr>
            </w:pPr>
            <w:r>
              <w:rPr>
                <w:rFonts w:ascii="MS PGothic" w:cs="MS PGothic" w:eastAsia="MS PGothic" w:hAnsi="MS PGothic"/>
                <w:sz w:val="19"/>
                <w:szCs w:val="19"/>
                <w:color w:val="auto"/>
                <w:w w:val="73"/>
              </w:rPr>
              <w:t>☐</w:t>
            </w:r>
          </w:p>
        </w:tc>
      </w:tr>
    </w:tbl>
    <w:p>
      <w:pPr>
        <w:spacing w:after="0" w:line="221"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310"/>
        </w:trPr>
        <w:tc>
          <w:tcPr>
            <w:tcW w:w="7440" w:type="dxa"/>
            <w:vAlign w:val="bottom"/>
          </w:tcPr>
          <w:p>
            <w:pPr>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3800" w:type="dxa"/>
            <w:vAlign w:val="bottom"/>
          </w:tcPr>
          <w:p>
            <w:pPr>
              <w:jc w:val="right"/>
              <w:ind w:right="2559"/>
              <w:spacing w:after="0" w:line="219"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r>
        <w:trPr>
          <w:trHeight w:val="332"/>
        </w:trPr>
        <w:tc>
          <w:tcPr>
            <w:tcW w:w="7440" w:type="dxa"/>
            <w:vAlign w:val="bottom"/>
          </w:tcPr>
          <w:p>
            <w:pPr>
              <w:spacing w:after="0"/>
              <w:rPr>
                <w:sz w:val="20"/>
                <w:szCs w:val="20"/>
                <w:color w:val="auto"/>
              </w:rPr>
            </w:pPr>
            <w:r>
              <w:rPr>
                <w:rFonts w:ascii="Arial" w:cs="Arial" w:eastAsia="Arial" w:hAnsi="Arial"/>
                <w:sz w:val="16"/>
                <w:szCs w:val="16"/>
                <w:color w:val="auto"/>
              </w:rPr>
              <w:t>The number of shares of common stock outstanding as of July 30, 2021:</w:t>
            </w:r>
          </w:p>
        </w:tc>
        <w:tc>
          <w:tcPr>
            <w:tcW w:w="3800" w:type="dxa"/>
            <w:vAlign w:val="bottom"/>
          </w:tcPr>
          <w:p>
            <w:pPr>
              <w:spacing w:after="0"/>
              <w:rPr>
                <w:sz w:val="24"/>
                <w:szCs w:val="24"/>
                <w:color w:val="auto"/>
              </w:rPr>
            </w:pPr>
          </w:p>
        </w:tc>
      </w:tr>
      <w:tr>
        <w:trPr>
          <w:trHeight w:val="230"/>
        </w:trPr>
        <w:tc>
          <w:tcPr>
            <w:tcW w:w="7440" w:type="dxa"/>
            <w:vAlign w:val="bottom"/>
          </w:tcPr>
          <w:p>
            <w:pPr>
              <w:ind w:left="1400"/>
              <w:spacing w:after="0"/>
              <w:rPr>
                <w:sz w:val="20"/>
                <w:szCs w:val="20"/>
                <w:color w:val="auto"/>
              </w:rPr>
            </w:pPr>
            <w:r>
              <w:rPr>
                <w:rFonts w:ascii="Arial" w:cs="Arial" w:eastAsia="Arial" w:hAnsi="Arial"/>
                <w:sz w:val="16"/>
                <w:szCs w:val="16"/>
                <w:color w:val="auto"/>
              </w:rPr>
              <w:t>Class A Common Stock par value $0.01 per share</w:t>
            </w:r>
          </w:p>
        </w:tc>
        <w:tc>
          <w:tcPr>
            <w:tcW w:w="3800" w:type="dxa"/>
            <w:vAlign w:val="bottom"/>
          </w:tcPr>
          <w:p>
            <w:pPr>
              <w:jc w:val="right"/>
              <w:ind w:right="2159"/>
              <w:spacing w:after="0"/>
              <w:rPr>
                <w:sz w:val="20"/>
                <w:szCs w:val="20"/>
                <w:color w:val="auto"/>
              </w:rPr>
            </w:pPr>
            <w:r>
              <w:rPr>
                <w:rFonts w:ascii="Arial" w:cs="Arial" w:eastAsia="Arial" w:hAnsi="Arial"/>
                <w:sz w:val="16"/>
                <w:szCs w:val="16"/>
                <w:color w:val="auto"/>
              </w:rPr>
              <w:t>30,731,275</w:t>
            </w:r>
          </w:p>
        </w:tc>
      </w:tr>
      <w:tr>
        <w:trPr>
          <w:trHeight w:val="216"/>
        </w:trPr>
        <w:tc>
          <w:tcPr>
            <w:tcW w:w="7440" w:type="dxa"/>
            <w:vAlign w:val="bottom"/>
          </w:tcPr>
          <w:p>
            <w:pPr>
              <w:ind w:left="1420"/>
              <w:spacing w:after="0"/>
              <w:rPr>
                <w:sz w:val="20"/>
                <w:szCs w:val="20"/>
                <w:color w:val="auto"/>
              </w:rPr>
            </w:pPr>
            <w:r>
              <w:rPr>
                <w:rFonts w:ascii="Arial" w:cs="Arial" w:eastAsia="Arial" w:hAnsi="Arial"/>
                <w:sz w:val="16"/>
                <w:szCs w:val="16"/>
                <w:color w:val="auto"/>
              </w:rPr>
              <w:t>Class B Common Stock par value $0.01 per share</w:t>
            </w:r>
          </w:p>
        </w:tc>
        <w:tc>
          <w:tcPr>
            <w:tcW w:w="3800" w:type="dxa"/>
            <w:vAlign w:val="bottom"/>
          </w:tcPr>
          <w:p>
            <w:pPr>
              <w:jc w:val="right"/>
              <w:ind w:right="2159"/>
              <w:spacing w:after="0"/>
              <w:rPr>
                <w:sz w:val="20"/>
                <w:szCs w:val="20"/>
                <w:color w:val="auto"/>
              </w:rPr>
            </w:pPr>
            <w:r>
              <w:rPr>
                <w:rFonts w:ascii="Arial" w:cs="Arial" w:eastAsia="Arial" w:hAnsi="Arial"/>
                <w:sz w:val="16"/>
                <w:szCs w:val="16"/>
                <w:color w:val="auto"/>
              </w:rPr>
              <w:t>11,484,408</w:t>
            </w:r>
          </w:p>
        </w:tc>
      </w:tr>
      <w:tr>
        <w:trPr>
          <w:trHeight w:val="823"/>
        </w:trPr>
        <w:tc>
          <w:tcPr>
            <w:tcW w:w="744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AMC NETWORKS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80" w:type="dxa"/>
            <w:vAlign w:val="bottom"/>
            <w:gridSpan w:val="9"/>
            <w:vMerge w:val="restart"/>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7360" w:type="dxa"/>
            <w:vAlign w:val="bottom"/>
            <w:gridSpan w:val="9"/>
            <w:vMerge w:val="restart"/>
          </w:tcPr>
          <w:p>
            <w:pPr>
              <w:spacing w:after="0"/>
              <w:rPr>
                <w:sz w:val="20"/>
                <w:szCs w:val="20"/>
                <w:color w:val="auto"/>
              </w:rPr>
            </w:pPr>
          </w:p>
        </w:tc>
        <w:tc>
          <w:tcPr>
            <w:tcW w:w="7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3080" w:type="dxa"/>
            <w:vAlign w:val="bottom"/>
            <w:tcBorders>
              <w:bottom w:val="single" w:sz="8" w:color="0000FF"/>
            </w:tcBorders>
            <w:gridSpan w:val="9"/>
            <w:vMerge w:val="continue"/>
          </w:tcPr>
          <w:p>
            <w:pPr>
              <w:spacing w:after="0"/>
              <w:rPr>
                <w:sz w:val="14"/>
                <w:szCs w:val="14"/>
                <w:color w:val="auto"/>
              </w:rPr>
            </w:pPr>
          </w:p>
        </w:tc>
        <w:tc>
          <w:tcPr>
            <w:tcW w:w="7360" w:type="dxa"/>
            <w:vAlign w:val="bottom"/>
            <w:gridSpan w:val="9"/>
            <w:vMerge w:val="continue"/>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0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7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0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Income</w:t>
              </w:r>
            </w:hyperlink>
          </w:p>
        </w:tc>
        <w:tc>
          <w:tcPr>
            <w:tcW w:w="7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80" w:type="dxa"/>
            <w:vAlign w:val="bottom"/>
            <w:gridSpan w:val="14"/>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Comprehensive Income</w:t>
              </w:r>
            </w:hyperlink>
          </w:p>
        </w:tc>
        <w:tc>
          <w:tcPr>
            <w:tcW w:w="5320" w:type="dxa"/>
            <w:vAlign w:val="bottom"/>
            <w:gridSpan w:val="2"/>
          </w:tcPr>
          <w:p>
            <w:pPr>
              <w:spacing w:after="0"/>
              <w:rPr>
                <w:sz w:val="18"/>
                <w:szCs w:val="18"/>
                <w:color w:val="auto"/>
              </w:rPr>
            </w:pPr>
          </w:p>
        </w:tc>
        <w:tc>
          <w:tcPr>
            <w:tcW w:w="7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gridSpan w:val="13"/>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Stockholders' Equity</w:t>
              </w:r>
            </w:hyperlink>
          </w:p>
        </w:tc>
        <w:tc>
          <w:tcPr>
            <w:tcW w:w="220" w:type="dxa"/>
            <w:vAlign w:val="bottom"/>
          </w:tcPr>
          <w:p>
            <w:pPr>
              <w:spacing w:after="0"/>
              <w:rPr>
                <w:sz w:val="18"/>
                <w:szCs w:val="18"/>
                <w:color w:val="auto"/>
              </w:rPr>
            </w:pPr>
          </w:p>
        </w:tc>
        <w:tc>
          <w:tcPr>
            <w:tcW w:w="5320" w:type="dxa"/>
            <w:vAlign w:val="bottom"/>
            <w:gridSpan w:val="2"/>
          </w:tcPr>
          <w:p>
            <w:pPr>
              <w:spacing w:after="0"/>
              <w:rPr>
                <w:sz w:val="18"/>
                <w:szCs w:val="18"/>
                <w:color w:val="auto"/>
              </w:rPr>
            </w:pPr>
          </w:p>
        </w:tc>
        <w:tc>
          <w:tcPr>
            <w:tcW w:w="7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gridSpan w:val="13"/>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w:t>
              </w:r>
            </w:hyperlink>
          </w:p>
        </w:tc>
        <w:tc>
          <w:tcPr>
            <w:tcW w:w="5540" w:type="dxa"/>
            <w:vAlign w:val="bottom"/>
            <w:gridSpan w:val="3"/>
          </w:tcPr>
          <w:p>
            <w:pPr>
              <w:spacing w:after="0"/>
              <w:rPr>
                <w:sz w:val="18"/>
                <w:szCs w:val="18"/>
                <w:color w:val="auto"/>
              </w:rPr>
            </w:pPr>
          </w:p>
        </w:tc>
        <w:tc>
          <w:tcPr>
            <w:tcW w:w="7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00" w:type="dxa"/>
            <w:vAlign w:val="bottom"/>
            <w:gridSpan w:val="16"/>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78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gridSpan w:val="6"/>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Borders>
              <w:bottom w:val="single" w:sz="8" w:color="0000FF"/>
            </w:tcBorders>
            <w:gridSpan w:val="16"/>
          </w:tcPr>
          <w:p>
            <w:pPr>
              <w:spacing w:after="0"/>
              <w:rPr>
                <w:rFonts w:ascii="Arial" w:cs="Arial" w:eastAsia="Arial" w:hAnsi="Arial"/>
                <w:sz w:val="18"/>
                <w:szCs w:val="18"/>
                <w:color w:val="0000FF"/>
                <w:w w:val="91"/>
              </w:rPr>
            </w:pPr>
            <w:hyperlink w:anchor="page24">
              <w:r>
                <w:rPr>
                  <w:rFonts w:ascii="Arial" w:cs="Arial" w:eastAsia="Arial" w:hAnsi="Arial"/>
                  <w:sz w:val="18"/>
                  <w:szCs w:val="18"/>
                  <w:color w:val="0000FF"/>
                  <w:w w:val="91"/>
                </w:rPr>
                <w:t>Item 2. Management’s Discussion and Analysis of Financial Condition and Results of Operations</w:t>
              </w:r>
            </w:hyperlink>
          </w:p>
        </w:tc>
        <w:tc>
          <w:tcPr>
            <w:tcW w:w="3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4">
              <w:r>
                <w:rPr>
                  <w:rFonts w:ascii="Arial" w:cs="Arial" w:eastAsia="Arial" w:hAnsi="Arial"/>
                  <w:sz w:val="18"/>
                  <w:szCs w:val="18"/>
                  <w:color w:val="0000FF"/>
                  <w:w w:val="79"/>
                </w:rPr>
                <w:t>23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17"/>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3. Quantitative and Qualitative Disclosures About Market Risk</w:t>
              </w:r>
            </w:hyperlink>
          </w:p>
        </w:tc>
        <w:tc>
          <w:tcPr>
            <w:tcW w:w="760" w:type="dxa"/>
            <w:vAlign w:val="bottom"/>
            <w:gridSpan w:val="3"/>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4"/>
              </w:rPr>
            </w:pPr>
            <w:hyperlink w:anchor="page47">
              <w:r>
                <w:rPr>
                  <w:rFonts w:ascii="Arial" w:cs="Arial" w:eastAsia="Arial" w:hAnsi="Arial"/>
                  <w:sz w:val="18"/>
                  <w:szCs w:val="18"/>
                  <w:color w:val="0000FF"/>
                  <w:w w:val="94"/>
                </w:rPr>
                <w:t>Item 4.</w:t>
              </w:r>
            </w:hyperlink>
          </w:p>
        </w:tc>
        <w:tc>
          <w:tcPr>
            <w:tcW w:w="1800" w:type="dxa"/>
            <w:vAlign w:val="bottom"/>
            <w:tcBorders>
              <w:top w:val="single" w:sz="8" w:color="0000FF"/>
              <w:bottom w:val="single" w:sz="8" w:color="0000FF"/>
            </w:tcBorders>
            <w:gridSpan w:val="4"/>
          </w:tcPr>
          <w:p>
            <w:pPr>
              <w:ind w:left="20"/>
              <w:spacing w:after="0"/>
              <w:rPr>
                <w:rFonts w:ascii="Arial" w:cs="Arial" w:eastAsia="Arial" w:hAnsi="Arial"/>
                <w:sz w:val="18"/>
                <w:szCs w:val="18"/>
                <w:color w:val="0000FF"/>
                <w:w w:val="88"/>
              </w:rPr>
            </w:pPr>
            <w:hyperlink w:anchor="page47">
              <w:r>
                <w:rPr>
                  <w:rFonts w:ascii="Arial" w:cs="Arial" w:eastAsia="Arial" w:hAnsi="Arial"/>
                  <w:sz w:val="18"/>
                  <w:szCs w:val="18"/>
                  <w:color w:val="0000FF"/>
                  <w:w w:val="88"/>
                </w:rPr>
                <w:t>Controls and Procedures</w:t>
              </w:r>
            </w:hyperlink>
          </w:p>
        </w:tc>
        <w:tc>
          <w:tcPr>
            <w:tcW w:w="2580" w:type="dxa"/>
            <w:vAlign w:val="bottom"/>
            <w:tcBorders>
              <w:top w:val="single" w:sz="8" w:color="0000FF"/>
            </w:tcBorders>
            <w:gridSpan w:val="9"/>
          </w:tcPr>
          <w:p>
            <w:pPr>
              <w:spacing w:after="0"/>
              <w:rPr>
                <w:sz w:val="18"/>
                <w:szCs w:val="18"/>
                <w:color w:val="auto"/>
              </w:rPr>
            </w:pPr>
          </w:p>
        </w:tc>
        <w:tc>
          <w:tcPr>
            <w:tcW w:w="53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bottom w:val="single" w:sz="8" w:color="0000FF"/>
            </w:tcBorders>
            <w:gridSpan w:val="8"/>
          </w:tcPr>
          <w:p>
            <w:pPr>
              <w:spacing w:after="0"/>
              <w:rPr>
                <w:rFonts w:ascii="Arial" w:cs="Arial" w:eastAsia="Arial" w:hAnsi="Arial"/>
                <w:sz w:val="18"/>
                <w:szCs w:val="18"/>
                <w:b w:val="1"/>
                <w:bCs w:val="1"/>
                <w:color w:val="0000FF"/>
              </w:rPr>
            </w:pPr>
            <w:hyperlink w:anchor="page47">
              <w:r>
                <w:rPr>
                  <w:rFonts w:ascii="Arial" w:cs="Arial" w:eastAsia="Arial" w:hAnsi="Arial"/>
                  <w:sz w:val="18"/>
                  <w:szCs w:val="18"/>
                  <w:b w:val="1"/>
                  <w:bCs w:val="1"/>
                  <w:color w:val="0000FF"/>
                </w:rPr>
                <w:t>PART II. OTHER INFORMATION</w:t>
              </w:r>
            </w:hyperlink>
          </w:p>
        </w:tc>
        <w:tc>
          <w:tcPr>
            <w:tcW w:w="7660" w:type="dxa"/>
            <w:vAlign w:val="bottom"/>
            <w:gridSpan w:val="10"/>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48">
              <w:r>
                <w:rPr>
                  <w:rFonts w:ascii="Arial" w:cs="Arial" w:eastAsia="Arial" w:hAnsi="Arial"/>
                  <w:sz w:val="18"/>
                  <w:szCs w:val="18"/>
                  <w:color w:val="0000FF"/>
                  <w:w w:val="94"/>
                </w:rPr>
                <w:t>Item 1.</w:t>
              </w:r>
            </w:hyperlink>
          </w:p>
        </w:tc>
        <w:tc>
          <w:tcPr>
            <w:tcW w:w="1360" w:type="dxa"/>
            <w:vAlign w:val="bottom"/>
            <w:tcBorders>
              <w:bottom w:val="single" w:sz="8" w:color="0000FF"/>
            </w:tcBorders>
            <w:gridSpan w:val="3"/>
          </w:tcPr>
          <w:p>
            <w:pPr>
              <w:ind w:left="20"/>
              <w:spacing w:after="0"/>
              <w:rPr>
                <w:rFonts w:ascii="Arial" w:cs="Arial" w:eastAsia="Arial" w:hAnsi="Arial"/>
                <w:sz w:val="18"/>
                <w:szCs w:val="18"/>
                <w:color w:val="0000FF"/>
                <w:w w:val="88"/>
              </w:rPr>
            </w:pPr>
            <w:hyperlink w:anchor="page48">
              <w:r>
                <w:rPr>
                  <w:rFonts w:ascii="Arial" w:cs="Arial" w:eastAsia="Arial" w:hAnsi="Arial"/>
                  <w:sz w:val="18"/>
                  <w:szCs w:val="18"/>
                  <w:color w:val="0000FF"/>
                  <w:w w:val="88"/>
                </w:rPr>
                <w:t>Legal Proceedings</w:t>
              </w:r>
            </w:hyperlink>
          </w:p>
        </w:tc>
        <w:tc>
          <w:tcPr>
            <w:tcW w:w="8340" w:type="dxa"/>
            <w:vAlign w:val="bottom"/>
            <w:gridSpan w:val="12"/>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48">
              <w:r>
                <w:rPr>
                  <w:rFonts w:ascii="Arial" w:cs="Arial" w:eastAsia="Arial" w:hAnsi="Arial"/>
                  <w:sz w:val="18"/>
                  <w:szCs w:val="18"/>
                  <w:color w:val="0000FF"/>
                  <w:w w:val="94"/>
                </w:rPr>
                <w:t>Item 2.</w:t>
              </w:r>
            </w:hyperlink>
          </w:p>
        </w:tc>
        <w:tc>
          <w:tcPr>
            <w:tcW w:w="4380" w:type="dxa"/>
            <w:vAlign w:val="bottom"/>
            <w:tcBorders>
              <w:bottom w:val="single" w:sz="8" w:color="0000FF"/>
            </w:tcBorders>
            <w:gridSpan w:val="13"/>
          </w:tcPr>
          <w:p>
            <w:pPr>
              <w:ind w:left="20"/>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Unregistered Sales of Equity Securities and Use of Proceeds</w:t>
              </w:r>
            </w:hyperlink>
          </w:p>
        </w:tc>
        <w:tc>
          <w:tcPr>
            <w:tcW w:w="53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48">
              <w:r>
                <w:rPr>
                  <w:rFonts w:ascii="Arial" w:cs="Arial" w:eastAsia="Arial" w:hAnsi="Arial"/>
                  <w:sz w:val="18"/>
                  <w:szCs w:val="18"/>
                  <w:color w:val="0000FF"/>
                  <w:w w:val="94"/>
                </w:rPr>
                <w:t>Item 6.</w:t>
              </w:r>
            </w:hyperlink>
          </w:p>
        </w:tc>
        <w:tc>
          <w:tcPr>
            <w:tcW w:w="9700" w:type="dxa"/>
            <w:vAlign w:val="bottom"/>
            <w:gridSpan w:val="15"/>
          </w:tcPr>
          <w:p>
            <w:pPr>
              <w:ind w:left="20"/>
              <w:spacing w:after="0"/>
              <w:rPr>
                <w:rFonts w:ascii="Arial" w:cs="Arial" w:eastAsia="Arial" w:hAnsi="Arial"/>
                <w:sz w:val="18"/>
                <w:szCs w:val="18"/>
                <w:color w:val="0000FF"/>
              </w:rPr>
            </w:pPr>
            <w:hyperlink w:anchor="page48">
              <w:r>
                <w:rPr>
                  <w:rFonts w:ascii="Arial" w:cs="Arial" w:eastAsia="Arial" w:hAnsi="Arial"/>
                  <w:sz w:val="18"/>
                  <w:szCs w:val="18"/>
                  <w:color w:val="0000FF"/>
                </w:rPr>
                <w:t>Exhibits</w:t>
              </w:r>
            </w:hyperlink>
          </w:p>
        </w:tc>
        <w:tc>
          <w:tcPr>
            <w:tcW w:w="760" w:type="dxa"/>
            <w:vAlign w:val="bottom"/>
            <w:gridSpan w:val="3"/>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8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440" w:type="dxa"/>
            <w:vAlign w:val="bottom"/>
            <w:gridSpan w:val="18"/>
          </w:tcPr>
          <w:p>
            <w:pPr>
              <w:spacing w:after="0"/>
              <w:rPr>
                <w:rFonts w:ascii="Arial" w:cs="Arial" w:eastAsia="Arial" w:hAnsi="Arial"/>
                <w:sz w:val="18"/>
                <w:szCs w:val="18"/>
                <w:b w:val="1"/>
                <w:bCs w:val="1"/>
                <w:color w:val="0000FF"/>
              </w:rPr>
            </w:pPr>
            <w:hyperlink w:anchor="page48">
              <w:r>
                <w:rPr>
                  <w:rFonts w:ascii="Arial" w:cs="Arial" w:eastAsia="Arial" w:hAnsi="Arial"/>
                  <w:sz w:val="18"/>
                  <w:szCs w:val="18"/>
                  <w:b w:val="1"/>
                  <w:bCs w:val="1"/>
                  <w:color w:val="0000FF"/>
                </w:rPr>
                <w:t>SIGNATURES</w:t>
              </w:r>
            </w:hyperlink>
          </w:p>
        </w:tc>
        <w:tc>
          <w:tcPr>
            <w:tcW w:w="760" w:type="dxa"/>
            <w:vAlign w:val="bottom"/>
            <w:gridSpan w:val="3"/>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3"/>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ind w:left="3960"/>
        <w:spacing w:after="0"/>
        <w:rPr>
          <w:sz w:val="20"/>
          <w:szCs w:val="20"/>
          <w:color w:val="auto"/>
        </w:rPr>
      </w:pPr>
      <w:r>
        <w:rPr>
          <w:rFonts w:ascii="Arial" w:cs="Arial" w:eastAsia="Arial" w:hAnsi="Arial"/>
          <w:sz w:val="16"/>
          <w:szCs w:val="16"/>
          <w:b w:val="1"/>
          <w:bCs w:val="1"/>
          <w:color w:val="auto"/>
        </w:rPr>
        <w:t>AMC NETWORKS INC. AND SUBSIDIARIES</w:t>
      </w:r>
    </w:p>
    <w:p>
      <w:pPr>
        <w:ind w:left="3700"/>
        <w:spacing w:after="0" w:line="235" w:lineRule="auto"/>
        <w:rPr>
          <w:sz w:val="20"/>
          <w:szCs w:val="20"/>
          <w:color w:val="auto"/>
        </w:rPr>
      </w:pPr>
      <w:r>
        <w:rPr>
          <w:rFonts w:ascii="Arial" w:cs="Arial" w:eastAsia="Arial" w:hAnsi="Arial"/>
          <w:sz w:val="16"/>
          <w:szCs w:val="16"/>
          <w:b w:val="1"/>
          <w:bCs w:val="1"/>
          <w:color w:val="auto"/>
        </w:rPr>
        <w:t>CONDENSED CONSOLIDATED BALANCE SHEETS</w:t>
      </w:r>
    </w:p>
    <w:p>
      <w:pPr>
        <w:jc w:val="center"/>
        <w:spacing w:after="0" w:line="211" w:lineRule="auto"/>
        <w:rPr>
          <w:sz w:val="20"/>
          <w:szCs w:val="20"/>
          <w:color w:val="auto"/>
        </w:rPr>
      </w:pPr>
      <w:r>
        <w:rPr>
          <w:rFonts w:ascii="Arial" w:cs="Arial" w:eastAsia="Arial" w:hAnsi="Arial"/>
          <w:sz w:val="16"/>
          <w:szCs w:val="16"/>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2021</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 2020</w:t>
            </w:r>
          </w:p>
        </w:tc>
        <w:tc>
          <w:tcPr>
            <w:tcW w:w="0" w:type="dxa"/>
            <w:vAlign w:val="bottom"/>
          </w:tcPr>
          <w:p>
            <w:pPr>
              <w:spacing w:after="0"/>
              <w:rPr>
                <w:sz w:val="1"/>
                <w:szCs w:val="1"/>
                <w:color w:val="auto"/>
              </w:rPr>
            </w:pPr>
          </w:p>
        </w:tc>
      </w:tr>
      <w:tr>
        <w:trPr>
          <w:trHeight w:val="199"/>
        </w:trPr>
        <w:tc>
          <w:tcPr>
            <w:tcW w:w="7600" w:type="dxa"/>
            <w:vAlign w:val="bottom"/>
          </w:tcPr>
          <w:p>
            <w:pPr>
              <w:ind w:left="350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980,726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888,526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trade (less allowance for doubtful accounts of $10,548 and $11,234)</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807,499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813,587</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Current portion of program rights, net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18,091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13,480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221,846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223,173</w:t>
            </w:r>
          </w:p>
        </w:tc>
        <w:tc>
          <w:tcPr>
            <w:tcW w:w="0" w:type="dxa"/>
            <w:vAlign w:val="bottom"/>
          </w:tcPr>
          <w:p>
            <w:pPr>
              <w:spacing w:after="0"/>
              <w:rPr>
                <w:sz w:val="1"/>
                <w:szCs w:val="1"/>
                <w:color w:val="auto"/>
              </w:rPr>
            </w:pPr>
          </w:p>
        </w:tc>
      </w:tr>
      <w:tr>
        <w:trPr>
          <w:trHeight w:val="207"/>
        </w:trPr>
        <w:tc>
          <w:tcPr>
            <w:tcW w:w="760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2,028,162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1,938,766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 of $272,532 and $261,082</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221,555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256,045</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Program rights, net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1,551,717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1,269,131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395,998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410,672</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702,451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686,407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 net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25,046</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Operating lease right-of-use asset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122,322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146,522</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441,808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513,749</w:t>
            </w:r>
          </w:p>
        </w:tc>
        <w:tc>
          <w:tcPr>
            <w:tcW w:w="0" w:type="dxa"/>
            <w:vAlign w:val="bottom"/>
          </w:tcPr>
          <w:p>
            <w:pPr>
              <w:spacing w:after="0"/>
              <w:rPr>
                <w:sz w:val="1"/>
                <w:szCs w:val="1"/>
                <w:color w:val="auto"/>
              </w:rPr>
            </w:pPr>
          </w:p>
        </w:tc>
      </w:tr>
      <w:tr>
        <w:trPr>
          <w:trHeight w:val="213"/>
        </w:trPr>
        <w:tc>
          <w:tcPr>
            <w:tcW w:w="7600" w:type="dxa"/>
            <w:vAlign w:val="bottom"/>
          </w:tcPr>
          <w:p>
            <w:pPr>
              <w:ind w:left="68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5,479,509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5,246,338</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CEEFF"/>
          </w:tcPr>
          <w:p>
            <w:pPr>
              <w:ind w:left="206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120,530</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Accrued liabilities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482,968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320,005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program rights obligations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259,449</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76,504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71,048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long-term debt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Current portion of lease obligations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33,203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32,435</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975,366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878,467</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Program rights obligations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220,279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182,511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2,817,789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2,774,307</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Lease obligations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155,397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194,324</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liability, net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132,009</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94,748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125,970</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4,406,937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4,287,588</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289,030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315,649</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Class A Common Stock, $0.01 par value, 360,000 shares authorized, 65,324 and 64,568 shares issued and 30,731</w:t>
            </w:r>
          </w:p>
        </w:tc>
        <w:tc>
          <w:tcPr>
            <w:tcW w:w="26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and 29,975 shares outstanding, respectively</w:t>
            </w:r>
          </w:p>
        </w:tc>
        <w:tc>
          <w:tcPr>
            <w:tcW w:w="26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w w:val="99"/>
              </w:rPr>
              <w:t>Class B Common Stock, $0.01 par value, 90,000 shares authorized, 11,484 shares issued and outstanding</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$0.01 par value, 45,000 shares authorized; none issued</w:t>
            </w: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Paid-in capital</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330,593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323,425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earnings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1,970,357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1,847,451</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Treasury stock, at cost (34,593 and 34,593 shares Class A Common Stock, respectively)</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(1,419,882)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(1,419,882)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(148,167)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(134,950)</w:t>
            </w:r>
          </w:p>
        </w:tc>
        <w:tc>
          <w:tcPr>
            <w:tcW w:w="0" w:type="dxa"/>
            <w:vAlign w:val="bottom"/>
          </w:tcPr>
          <w:p>
            <w:pPr>
              <w:spacing w:after="0"/>
              <w:rPr>
                <w:sz w:val="1"/>
                <w:szCs w:val="1"/>
                <w:color w:val="auto"/>
              </w:rPr>
            </w:pPr>
          </w:p>
        </w:tc>
      </w:tr>
      <w:tr>
        <w:trPr>
          <w:trHeight w:val="207"/>
        </w:trPr>
        <w:tc>
          <w:tcPr>
            <w:tcW w:w="7600" w:type="dxa"/>
            <w:vAlign w:val="bottom"/>
          </w:tcPr>
          <w:p>
            <w:pPr>
              <w:ind w:left="680"/>
              <w:spacing w:after="0"/>
              <w:rPr>
                <w:sz w:val="20"/>
                <w:szCs w:val="20"/>
                <w:color w:val="auto"/>
              </w:rPr>
            </w:pPr>
            <w:r>
              <w:rPr>
                <w:rFonts w:ascii="Arial" w:cs="Arial" w:eastAsia="Arial" w:hAnsi="Arial"/>
                <w:sz w:val="16"/>
                <w:szCs w:val="16"/>
                <w:color w:val="auto"/>
              </w:rPr>
              <w:t>Total AMC Networks stockholders' equity</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733,669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616,805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Non-redeemable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49,873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26,296</w:t>
            </w:r>
          </w:p>
        </w:tc>
        <w:tc>
          <w:tcPr>
            <w:tcW w:w="0" w:type="dxa"/>
            <w:vAlign w:val="bottom"/>
          </w:tcPr>
          <w:p>
            <w:pPr>
              <w:spacing w:after="0"/>
              <w:rPr>
                <w:sz w:val="1"/>
                <w:szCs w:val="1"/>
                <w:color w:val="auto"/>
              </w:rPr>
            </w:pPr>
          </w:p>
        </w:tc>
      </w:tr>
      <w:tr>
        <w:trPr>
          <w:trHeight w:val="206"/>
        </w:trPr>
        <w:tc>
          <w:tcPr>
            <w:tcW w:w="76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783,542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643,101</w:t>
            </w:r>
          </w:p>
        </w:tc>
        <w:tc>
          <w:tcPr>
            <w:tcW w:w="0" w:type="dxa"/>
            <w:vAlign w:val="bottom"/>
          </w:tcPr>
          <w:p>
            <w:pPr>
              <w:spacing w:after="0"/>
              <w:rPr>
                <w:sz w:val="1"/>
                <w:szCs w:val="1"/>
                <w:color w:val="auto"/>
              </w:rPr>
            </w:pPr>
          </w:p>
        </w:tc>
      </w:tr>
      <w:tr>
        <w:trPr>
          <w:trHeight w:val="238"/>
        </w:trPr>
        <w:tc>
          <w:tcPr>
            <w:tcW w:w="76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5,479,509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5,246,338</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ind w:left="396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CONDENSED CONSOLIDATED STATEMENTS OF INCOME</w:t>
      </w:r>
    </w:p>
    <w:p>
      <w:pPr>
        <w:ind w:left="4200"/>
        <w:spacing w:after="0" w:line="235" w:lineRule="auto"/>
        <w:rPr>
          <w:sz w:val="20"/>
          <w:szCs w:val="20"/>
          <w:color w:val="auto"/>
        </w:rPr>
      </w:pPr>
      <w:r>
        <w:rPr>
          <w:rFonts w:ascii="Arial" w:cs="Arial" w:eastAsia="Arial" w:hAnsi="Arial"/>
          <w:sz w:val="16"/>
          <w:szCs w:val="16"/>
          <w:b w:val="1"/>
          <w:bCs w:val="1"/>
          <w:color w:val="auto"/>
        </w:rPr>
        <w:t>(in thousands, except per share amounts)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480" w:type="dxa"/>
            <w:vAlign w:val="bottom"/>
            <w:gridSpan w:val="4"/>
          </w:tcPr>
          <w:p>
            <w:pPr>
              <w:jc w:val="right"/>
              <w:ind w:right="330"/>
              <w:spacing w:after="0"/>
              <w:rPr>
                <w:sz w:val="20"/>
                <w:szCs w:val="20"/>
                <w:color w:val="auto"/>
              </w:rPr>
            </w:pPr>
            <w:r>
              <w:rPr>
                <w:rFonts w:ascii="Arial" w:cs="Arial" w:eastAsia="Arial" w:hAnsi="Arial"/>
                <w:sz w:val="16"/>
                <w:szCs w:val="16"/>
                <w:b w:val="1"/>
                <w:bCs w:val="1"/>
                <w:color w:val="auto"/>
                <w:w w:val="98"/>
              </w:rPr>
              <w:t>Six Months Ended June 30,</w:t>
            </w:r>
          </w:p>
        </w:tc>
      </w:tr>
      <w:tr>
        <w:trPr>
          <w:trHeight w:val="210"/>
        </w:trPr>
        <w:tc>
          <w:tcPr>
            <w:tcW w:w="56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2020</w:t>
            </w: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771,392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1,463,133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1,380,666</w:t>
            </w:r>
          </w:p>
        </w:tc>
      </w:tr>
      <w:tr>
        <w:trPr>
          <w:trHeight w:val="209"/>
        </w:trPr>
        <w:tc>
          <w:tcPr>
            <w:tcW w:w="5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Technical and operating (excluding depreciation and amortization)</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626,563</w:t>
            </w:r>
          </w:p>
        </w:tc>
      </w:tr>
      <w:tr>
        <w:trPr>
          <w:trHeight w:val="229"/>
        </w:trPr>
        <w:tc>
          <w:tcPr>
            <w:tcW w:w="564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198,618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155,163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390,153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339,812</w:t>
            </w:r>
          </w:p>
        </w:tc>
      </w:tr>
      <w:tr>
        <w:trPr>
          <w:trHeight w:val="230"/>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52,635</w:t>
            </w:r>
          </w:p>
        </w:tc>
      </w:tr>
      <w:tr>
        <w:trPr>
          <w:trHeight w:val="229"/>
        </w:trPr>
        <w:tc>
          <w:tcPr>
            <w:tcW w:w="5640" w:type="dxa"/>
            <w:vAlign w:val="bottom"/>
          </w:tcPr>
          <w:p>
            <w:pPr>
              <w:ind w:left="360"/>
              <w:spacing w:after="0"/>
              <w:rPr>
                <w:sz w:val="20"/>
                <w:szCs w:val="20"/>
                <w:color w:val="auto"/>
              </w:rPr>
            </w:pPr>
            <w:r>
              <w:rPr>
                <w:rFonts w:ascii="Arial" w:cs="Arial" w:eastAsia="Arial" w:hAnsi="Arial"/>
                <w:sz w:val="18"/>
                <w:szCs w:val="18"/>
                <w:color w:val="auto"/>
              </w:rPr>
              <w:t>Impairment and other charges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142,918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130,411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158,973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130,411</w:t>
            </w:r>
          </w:p>
        </w:tc>
      </w:tr>
      <w:tr>
        <w:trPr>
          <w:trHeight w:val="229"/>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9,473</w:t>
            </w:r>
          </w:p>
        </w:tc>
      </w:tr>
      <w:tr>
        <w:trPr>
          <w:trHeight w:val="223"/>
        </w:trPr>
        <w:tc>
          <w:tcPr>
            <w:tcW w:w="56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703,136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597,489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1,225,169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1,158,894</w:t>
            </w:r>
          </w:p>
        </w:tc>
      </w:tr>
      <w:tr>
        <w:trPr>
          <w:trHeight w:val="223"/>
        </w:trPr>
        <w:tc>
          <w:tcPr>
            <w:tcW w:w="5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68,256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237,964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221,772</w:t>
            </w:r>
          </w:p>
        </w:tc>
      </w:tr>
      <w:tr>
        <w:trPr>
          <w:trHeight w:val="210"/>
        </w:trPr>
        <w:tc>
          <w:tcPr>
            <w:tcW w:w="56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(71,865)</w:t>
            </w:r>
          </w:p>
        </w:tc>
      </w:tr>
      <w:tr>
        <w:trPr>
          <w:trHeight w:val="230"/>
        </w:trPr>
        <w:tc>
          <w:tcPr>
            <w:tcW w:w="56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8,282</w:t>
            </w:r>
          </w:p>
        </w:tc>
      </w:tr>
      <w:tr>
        <w:trPr>
          <w:trHeight w:val="229"/>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r>
      <w:tr>
        <w:trPr>
          <w:trHeight w:val="229"/>
        </w:trPr>
        <w:tc>
          <w:tcPr>
            <w:tcW w:w="5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Miscellaneous, net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(21,226)</w:t>
            </w:r>
          </w:p>
        </w:tc>
      </w:tr>
      <w:tr>
        <w:trPr>
          <w:trHeight w:val="223"/>
        </w:trPr>
        <w:tc>
          <w:tcPr>
            <w:tcW w:w="5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expense</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(63,405)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(87,717)</w:t>
            </w: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Income from operations before income taxes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53,919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174,559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134,055</w:t>
            </w:r>
          </w:p>
        </w:tc>
      </w:tr>
      <w:tr>
        <w:trPr>
          <w:trHeight w:val="230"/>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(43,295)</w:t>
            </w: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42,598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137,323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90,760</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(7,132)</w:t>
            </w: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Net income attributable to AMC Networks' stockholders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122,906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83,628</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9"/>
        </w:trPr>
        <w:tc>
          <w:tcPr>
            <w:tcW w:w="5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Net income per share attributable to AMC Networks' stockholders: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162"/>
        </w:trPr>
        <w:tc>
          <w:tcPr>
            <w:tcW w:w="5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Weighted average common shares: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53,894</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43,382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52,797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43,277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54,429</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58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w w:val="99"/>
              </w:rPr>
              <w:t>Six Months Ended June 30,</w:t>
            </w:r>
          </w:p>
        </w:tc>
      </w:tr>
      <w:tr>
        <w:trPr>
          <w:trHeight w:val="210"/>
        </w:trPr>
        <w:tc>
          <w:tcPr>
            <w:tcW w:w="55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r>
      <w:tr>
        <w:trPr>
          <w:trHeight w:val="22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137,323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90,760</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(14,092)</w:t>
            </w:r>
          </w:p>
        </w:tc>
      </w:tr>
      <w:tr>
        <w:trPr>
          <w:trHeight w:val="229"/>
        </w:trPr>
        <w:tc>
          <w:tcPr>
            <w:tcW w:w="55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Unrealized gain (loss) on interest rate swaps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r>
      <w:tr>
        <w:trPr>
          <w:trHeight w:val="223"/>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 before income taxes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(15,748)</w:t>
            </w:r>
          </w:p>
        </w:tc>
      </w:tr>
      <w:tr>
        <w:trPr>
          <w:trHeight w:val="229"/>
        </w:trPr>
        <w:tc>
          <w:tcPr>
            <w:tcW w:w="55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r>
      <w:tr>
        <w:trPr>
          <w:trHeight w:val="223"/>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 net of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(13,425)</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(15,362)</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50,730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31,686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123,898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75,398</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(14,209)</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(6,170)</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Comprehensive income attributable to AMC Networks' stockholders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43,955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109,689</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69,228</w:t>
            </w:r>
          </w:p>
        </w:tc>
      </w:tr>
      <w:tr>
        <w:trPr>
          <w:trHeight w:val="21"/>
        </w:trPr>
        <w:tc>
          <w:tcPr>
            <w:tcW w:w="5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7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3"/>
              </w:rPr>
              <w:t>Class A</w:t>
            </w:r>
          </w:p>
        </w:tc>
        <w:tc>
          <w:tcPr>
            <w:tcW w:w="7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Class B</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AMC</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Treasury</w:t>
            </w:r>
          </w:p>
        </w:tc>
        <w:tc>
          <w:tcPr>
            <w:tcW w:w="80" w:type="dxa"/>
            <w:vAlign w:val="bottom"/>
          </w:tcPr>
          <w:p>
            <w:pPr>
              <w:spacing w:after="0"/>
              <w:rPr>
                <w:sz w:val="11"/>
                <w:szCs w:val="11"/>
                <w:color w:val="auto"/>
              </w:rPr>
            </w:pPr>
          </w:p>
        </w:tc>
        <w:tc>
          <w:tcPr>
            <w:tcW w:w="10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Networks</w:t>
            </w: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70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Common</w:t>
            </w:r>
          </w:p>
        </w:tc>
        <w:tc>
          <w:tcPr>
            <w:tcW w:w="2380" w:type="dxa"/>
            <w:vAlign w:val="bottom"/>
            <w:gridSpan w:val="8"/>
          </w:tcPr>
          <w:p>
            <w:pPr>
              <w:ind w:left="40"/>
              <w:spacing w:after="0" w:line="135" w:lineRule="exact"/>
              <w:rPr>
                <w:sz w:val="20"/>
                <w:szCs w:val="20"/>
                <w:color w:val="auto"/>
              </w:rPr>
            </w:pPr>
            <w:r>
              <w:rPr>
                <w:rFonts w:ascii="Arial" w:cs="Arial" w:eastAsia="Arial" w:hAnsi="Arial"/>
                <w:sz w:val="14"/>
                <w:szCs w:val="14"/>
                <w:b w:val="1"/>
                <w:bCs w:val="1"/>
                <w:color w:val="auto"/>
              </w:rPr>
              <w:t>Common   Paid-in   Accumulated</w:t>
            </w:r>
          </w:p>
        </w:tc>
        <w:tc>
          <w:tcPr>
            <w:tcW w:w="900" w:type="dxa"/>
            <w:vAlign w:val="bottom"/>
            <w:gridSpan w:val="2"/>
            <w:vMerge w:val="continue"/>
          </w:tcPr>
          <w:p>
            <w:pPr>
              <w:spacing w:after="0"/>
              <w:rPr>
                <w:sz w:val="11"/>
                <w:szCs w:val="11"/>
                <w:color w:val="auto"/>
              </w:rPr>
            </w:pP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1060" w:type="dxa"/>
            <w:vAlign w:val="bottom"/>
            <w:gridSpan w:val="3"/>
            <w:vMerge w:val="continue"/>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Stock</w:t>
            </w: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March 31, 2021</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653</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115</w:t>
            </w:r>
          </w:p>
        </w:tc>
        <w:tc>
          <w:tcPr>
            <w:tcW w:w="8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$ 314,331</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1,934,472</w:t>
            </w:r>
          </w:p>
        </w:tc>
        <w:tc>
          <w:tcPr>
            <w:tcW w:w="8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1"/>
              </w:rPr>
              <w:t>$ (1,419,882)</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(156,237)</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673,452</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48,109</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721,561</w:t>
            </w:r>
          </w:p>
        </w:tc>
        <w:tc>
          <w:tcPr>
            <w:tcW w:w="0" w:type="dxa"/>
            <w:vAlign w:val="bottom"/>
          </w:tcPr>
          <w:p>
            <w:pPr>
              <w:spacing w:after="0"/>
              <w:rPr>
                <w:sz w:val="1"/>
                <w:szCs w:val="1"/>
                <w:color w:val="auto"/>
              </w:rPr>
            </w:pPr>
          </w:p>
        </w:tc>
      </w:tr>
      <w:tr>
        <w:trPr>
          <w:trHeight w:val="118"/>
        </w:trPr>
        <w:tc>
          <w:tcPr>
            <w:tcW w:w="324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Net income attributable to AMC Networks’</w:t>
            </w: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35,885</w:t>
            </w: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35,885</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35,885</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1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line="135" w:lineRule="exact"/>
              <w:rPr>
                <w:sz w:val="20"/>
                <w:szCs w:val="20"/>
                <w:color w:val="auto"/>
              </w:rPr>
            </w:pPr>
            <w:r>
              <w:rPr>
                <w:rFonts w:ascii="Arial" w:cs="Arial" w:eastAsia="Arial" w:hAnsi="Arial"/>
                <w:sz w:val="14"/>
                <w:szCs w:val="14"/>
                <w:color w:val="auto"/>
              </w:rPr>
              <w:t>Net income attributable to non-redeemable</w:t>
            </w:r>
          </w:p>
        </w:tc>
        <w:tc>
          <w:tcPr>
            <w:tcW w:w="12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3,143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3,143</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 to noncontrolling member</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8,070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8,070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8,132</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16,262</w:t>
            </w:r>
          </w:p>
        </w:tc>
        <w:tc>
          <w:tcPr>
            <w:tcW w:w="0" w:type="dxa"/>
            <w:vAlign w:val="bottom"/>
          </w:tcPr>
          <w:p>
            <w:pPr>
              <w:spacing w:after="0"/>
              <w:rPr>
                <w:sz w:val="1"/>
                <w:szCs w:val="1"/>
                <w:color w:val="auto"/>
              </w:rPr>
            </w:pPr>
          </w:p>
        </w:tc>
      </w:tr>
      <w:tr>
        <w:trPr>
          <w:trHeight w:val="179"/>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Balance, June 30, 2021</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653</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$ 330,593</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1,970,357</w:t>
            </w:r>
          </w:p>
        </w:tc>
        <w:tc>
          <w:tcPr>
            <w:tcW w:w="8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1"/>
              </w:rPr>
              <w:t>$ (1,419,882)</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(148,167)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733,669</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49,873</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783,542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A</w:t>
            </w: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AMC</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Paid-in</w:t>
            </w: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1"/>
                <w:szCs w:val="11"/>
                <w:color w:val="auto"/>
              </w:rPr>
            </w:pPr>
          </w:p>
        </w:tc>
        <w:tc>
          <w:tcPr>
            <w:tcW w:w="9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Networks</w:t>
            </w: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Common</w:t>
            </w:r>
          </w:p>
        </w:tc>
        <w:tc>
          <w:tcPr>
            <w:tcW w:w="7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Common</w:t>
            </w:r>
          </w:p>
        </w:tc>
        <w:tc>
          <w:tcPr>
            <w:tcW w:w="720" w:type="dxa"/>
            <w:vAlign w:val="bottom"/>
            <w:gridSpan w:val="2"/>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1060" w:type="dxa"/>
            <w:vAlign w:val="bottom"/>
            <w:gridSpan w:val="3"/>
            <w:vMerge w:val="continue"/>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880" w:type="dxa"/>
            <w:vAlign w:val="bottom"/>
            <w:gridSpan w:val="2"/>
          </w:tcPr>
          <w:p>
            <w:pPr>
              <w:ind w:left="22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March 31, 2020</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643</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8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$ 282,153</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1,676,139</w:t>
            </w:r>
          </w:p>
        </w:tc>
        <w:tc>
          <w:tcPr>
            <w:tcW w:w="80" w:type="dxa"/>
            <w:vAlign w:val="bottom"/>
            <w:tcBorders>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 (1,149,138)</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(196,364)</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613,548</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23,848</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637,396</w:t>
            </w:r>
          </w:p>
        </w:tc>
        <w:tc>
          <w:tcPr>
            <w:tcW w:w="0" w:type="dxa"/>
            <w:vAlign w:val="bottom"/>
          </w:tcPr>
          <w:p>
            <w:pPr>
              <w:spacing w:after="0"/>
              <w:rPr>
                <w:sz w:val="1"/>
                <w:szCs w:val="1"/>
                <w:color w:val="auto"/>
              </w:rPr>
            </w:pPr>
          </w:p>
        </w:tc>
      </w:tr>
      <w:tr>
        <w:trPr>
          <w:trHeight w:val="118"/>
        </w:trPr>
        <w:tc>
          <w:tcPr>
            <w:tcW w:w="324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Net income attributable to AMC Networks’</w:t>
            </w: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14,961</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14,961</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14,961</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line="135" w:lineRule="exact"/>
              <w:rPr>
                <w:sz w:val="20"/>
                <w:szCs w:val="20"/>
                <w:color w:val="auto"/>
              </w:rPr>
            </w:pPr>
            <w:r>
              <w:rPr>
                <w:rFonts w:ascii="Arial" w:cs="Arial" w:eastAsia="Arial" w:hAnsi="Arial"/>
                <w:sz w:val="14"/>
                <w:szCs w:val="14"/>
                <w:color w:val="auto"/>
              </w:rPr>
              <w:t>Net income attributable to non-redeemable</w:t>
            </w:r>
          </w:p>
        </w:tc>
        <w:tc>
          <w:tcPr>
            <w:tcW w:w="10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(818)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(818)</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treasury stock</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10,988</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14,253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14,253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14,452</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15,235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15,235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15,235</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Treasury stock acquired</w:t>
            </w:r>
          </w:p>
        </w:tc>
        <w:tc>
          <w:tcPr>
            <w:tcW w:w="1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(16,981)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(16,981)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(16,981)</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 converted to shares</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79"/>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Balance, June 30, 2020</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643</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$ 308,288</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1,691,100</w:t>
            </w:r>
          </w:p>
        </w:tc>
        <w:tc>
          <w:tcPr>
            <w:tcW w:w="8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 (1,166,119)</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(182,111)</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651,916</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23,229</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675,145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Class A</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Class B</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AMC</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Networks</w:t>
            </w:r>
          </w:p>
        </w:tc>
        <w:tc>
          <w:tcPr>
            <w:tcW w:w="10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w w:val="92"/>
              </w:rPr>
              <w:t>Common</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5"/>
              </w:rPr>
              <w:t>Common</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1060" w:type="dxa"/>
            <w:vAlign w:val="bottom"/>
            <w:gridSpan w:val="5"/>
            <w:vMerge w:val="continue"/>
          </w:tcPr>
          <w:p>
            <w:pPr>
              <w:spacing w:after="0"/>
              <w:rPr>
                <w:sz w:val="11"/>
                <w:szCs w:val="11"/>
                <w:color w:val="auto"/>
              </w:rPr>
            </w:pPr>
          </w:p>
        </w:tc>
        <w:tc>
          <w:tcPr>
            <w:tcW w:w="90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w w:val="95"/>
              </w:rPr>
              <w:t>Stockholders'</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Earnings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646</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$ 323,425</w:t>
            </w:r>
          </w:p>
        </w:tc>
        <w:tc>
          <w:tcPr>
            <w:tcW w:w="40" w:type="dxa"/>
            <w:vAlign w:val="bottom"/>
            <w:tcBorders>
              <w:top w:val="single" w:sz="8" w:color="auto"/>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1,847,451</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1"/>
              </w:rPr>
              <w:t>$ (1,419,882)</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(134,950)</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616,805</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26,296</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643,101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320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Net income attributable to AMC Networks’</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122,906</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122,906</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122,906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200" w:type="dxa"/>
            <w:vAlign w:val="bottom"/>
          </w:tcPr>
          <w:p>
            <w:pPr>
              <w:ind w:left="20"/>
              <w:spacing w:after="0" w:line="135" w:lineRule="exact"/>
              <w:rPr>
                <w:sz w:val="20"/>
                <w:szCs w:val="20"/>
                <w:color w:val="auto"/>
              </w:rPr>
            </w:pPr>
            <w:r>
              <w:rPr>
                <w:rFonts w:ascii="Arial" w:cs="Arial" w:eastAsia="Arial" w:hAnsi="Arial"/>
                <w:sz w:val="14"/>
                <w:szCs w:val="14"/>
                <w:color w:val="auto"/>
              </w:rPr>
              <w:t>Net income attributable to non-redeemable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4,278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4,278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20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Transfer from redeemable noncontrolling interests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18,367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200" w:type="dxa"/>
            <w:vAlign w:val="bottom"/>
          </w:tcPr>
          <w:p>
            <w:pPr>
              <w:ind w:left="20"/>
              <w:spacing w:after="0"/>
              <w:rPr>
                <w:sz w:val="20"/>
                <w:szCs w:val="20"/>
                <w:color w:val="auto"/>
              </w:rPr>
            </w:pPr>
            <w:r>
              <w:rPr>
                <w:rFonts w:ascii="Arial" w:cs="Arial" w:eastAsia="Arial" w:hAnsi="Arial"/>
                <w:sz w:val="14"/>
                <w:szCs w:val="14"/>
                <w:color w:val="auto"/>
              </w:rPr>
              <w:t>Contribution from noncontrolling member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1,140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(13,217)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(13,217)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20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29,708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29,708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29,708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exercise of stock options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12,100</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200" w:type="dxa"/>
            <w:vAlign w:val="bottom"/>
          </w:tcPr>
          <w:p>
            <w:pPr>
              <w:ind w:left="20"/>
              <w:spacing w:after="0"/>
              <w:rPr>
                <w:sz w:val="20"/>
                <w:szCs w:val="20"/>
                <w:color w:val="auto"/>
              </w:rPr>
            </w:pPr>
            <w:r>
              <w:rPr>
                <w:rFonts w:ascii="Arial" w:cs="Arial" w:eastAsia="Arial" w:hAnsi="Arial"/>
                <w:sz w:val="14"/>
                <w:szCs w:val="14"/>
                <w:color w:val="auto"/>
              </w:rPr>
              <w:t>Restricted stock units converted to 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(34,640)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(34,633)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(34,633)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2021</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$ 330,593</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1,970,357</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 (1,419,882)</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(148,167)</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733,669</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49,873</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783,542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9"/>
        </w:trPr>
        <w:tc>
          <w:tcPr>
            <w:tcW w:w="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89"/>
              </w:rPr>
              <w:t>Class A</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89"/>
              </w:rPr>
              <w:t>Class B</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AMC</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1"/>
                <w:szCs w:val="11"/>
                <w:color w:val="auto"/>
              </w:rPr>
            </w:pPr>
          </w:p>
        </w:tc>
        <w:tc>
          <w:tcPr>
            <w:tcW w:w="9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5"/>
              </w:rPr>
              <w:t>Accumulated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Networks</w:t>
            </w:r>
          </w:p>
        </w:tc>
        <w:tc>
          <w:tcPr>
            <w:tcW w:w="20" w:type="dxa"/>
            <w:vAlign w:val="bottom"/>
          </w:tcPr>
          <w:p>
            <w:pPr>
              <w:spacing w:after="0"/>
              <w:rPr>
                <w:sz w:val="11"/>
                <w:szCs w:val="11"/>
                <w:color w:val="auto"/>
              </w:rPr>
            </w:pPr>
          </w:p>
        </w:tc>
        <w:tc>
          <w:tcPr>
            <w:tcW w:w="10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8"/>
              </w:rPr>
              <w:t>Noncontrolling</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64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auto"/>
                <w:w w:val="98"/>
              </w:rPr>
              <w:t>Common</w:t>
            </w:r>
          </w:p>
        </w:tc>
        <w:tc>
          <w:tcPr>
            <w:tcW w:w="60" w:type="dxa"/>
            <w:vAlign w:val="bottom"/>
          </w:tcPr>
          <w:p>
            <w:pPr>
              <w:spacing w:after="0"/>
              <w:rPr>
                <w:sz w:val="11"/>
                <w:szCs w:val="11"/>
                <w:color w:val="auto"/>
              </w:rPr>
            </w:pPr>
          </w:p>
        </w:tc>
        <w:tc>
          <w:tcPr>
            <w:tcW w:w="64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auto"/>
                <w:w w:val="98"/>
              </w:rPr>
              <w:t>Common</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auto"/>
                <w:w w:val="93"/>
              </w:rPr>
              <w:t>Comprehensive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2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ind w:left="200"/>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639</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89"/>
              </w:rPr>
              <w:t>$ 286,491</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1,609,428</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91"/>
              </w:rPr>
              <w:t>$ (1,063,181)</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(167,711)</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665,781</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25,724</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691,505</w:t>
            </w:r>
          </w:p>
        </w:tc>
        <w:tc>
          <w:tcPr>
            <w:tcW w:w="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324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3"/>
                <w:szCs w:val="13"/>
                <w:color w:val="auto"/>
              </w:rPr>
              <w:t>Net income attributable to AMC Networks’</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83,628</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83,628</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83,628</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Net income attributable to non-redeemable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(1,085)</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(1,085)</w:t>
            </w:r>
          </w:p>
        </w:tc>
        <w:tc>
          <w:tcPr>
            <w:tcW w:w="0" w:type="dxa"/>
            <w:vAlign w:val="bottom"/>
          </w:tcPr>
          <w:p>
            <w:pPr>
              <w:spacing w:after="0"/>
              <w:rPr>
                <w:sz w:val="1"/>
                <w:szCs w:val="1"/>
                <w:color w:val="auto"/>
              </w:rPr>
            </w:pPr>
          </w:p>
        </w:tc>
      </w:tr>
      <w:tr>
        <w:trPr>
          <w:trHeight w:val="186"/>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noncontrolling interests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member</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(448)</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86"/>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Adoption of ASU 2016-13, credit losses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(1,956)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(1,956)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(1,956)</w:t>
            </w:r>
          </w:p>
        </w:tc>
        <w:tc>
          <w:tcPr>
            <w:tcW w:w="0" w:type="dxa"/>
            <w:vAlign w:val="bottom"/>
          </w:tcPr>
          <w:p>
            <w:pPr>
              <w:spacing w:after="0"/>
              <w:rPr>
                <w:sz w:val="1"/>
                <w:szCs w:val="1"/>
                <w:color w:val="auto"/>
              </w:rPr>
            </w:pPr>
          </w:p>
        </w:tc>
      </w:tr>
      <w:tr>
        <w:trPr>
          <w:trHeight w:val="192"/>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(14,400)</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(962)</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(15,362)</w:t>
            </w:r>
          </w:p>
        </w:tc>
        <w:tc>
          <w:tcPr>
            <w:tcW w:w="0" w:type="dxa"/>
            <w:vAlign w:val="bottom"/>
          </w:tcPr>
          <w:p>
            <w:pPr>
              <w:spacing w:after="0"/>
              <w:rPr>
                <w:sz w:val="1"/>
                <w:szCs w:val="1"/>
                <w:color w:val="auto"/>
              </w:rPr>
            </w:pPr>
          </w:p>
        </w:tc>
      </w:tr>
      <w:tr>
        <w:trPr>
          <w:trHeight w:val="186"/>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Share-based compensation expense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30,747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30,747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30,747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Treasury stock acquired</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(102,938)</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(102,938)</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(102,938)</w:t>
            </w:r>
          </w:p>
        </w:tc>
        <w:tc>
          <w:tcPr>
            <w:tcW w:w="0" w:type="dxa"/>
            <w:vAlign w:val="bottom"/>
          </w:tcPr>
          <w:p>
            <w:pPr>
              <w:spacing w:after="0"/>
              <w:rPr>
                <w:sz w:val="1"/>
                <w:szCs w:val="1"/>
                <w:color w:val="auto"/>
              </w:rPr>
            </w:pPr>
          </w:p>
        </w:tc>
      </w:tr>
      <w:tr>
        <w:trPr>
          <w:trHeight w:val="186"/>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Restricted stock units converted to 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(8,950)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(8,946)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(8,946)</w:t>
            </w:r>
          </w:p>
        </w:tc>
        <w:tc>
          <w:tcPr>
            <w:tcW w:w="0" w:type="dxa"/>
            <w:vAlign w:val="bottom"/>
          </w:tcPr>
          <w:p>
            <w:pPr>
              <w:spacing w:after="0"/>
              <w:rPr>
                <w:sz w:val="1"/>
                <w:szCs w:val="1"/>
                <w:color w:val="auto"/>
              </w:rPr>
            </w:pPr>
          </w:p>
        </w:tc>
      </w:tr>
      <w:tr>
        <w:trPr>
          <w:trHeight w:val="183"/>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2020</w:t>
            </w: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89"/>
              </w:rPr>
              <w:t>$ 308,288</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1,691,100</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91"/>
              </w:rPr>
              <w:t>$ (1,166,119)</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(182,111)</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651,916</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23,229</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675,145</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79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19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Net income including noncontrolling interests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137,323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90,760</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to net cash from operating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47,850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52,635</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Impairment and other charges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130,411</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Share-based compensation expense related to equity classified awards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29,709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30,747</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Non-cash restructuring and other related charges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6,126</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Amortization and write-off of program rights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333,348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415,255</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Amortization of deferred carriage fees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13,749</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Unrealized foreign currency transaction (gain) loss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13,941</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Amortization of deferred financing costs and discounts on indebtedness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4,088</w:t>
            </w:r>
          </w:p>
        </w:tc>
      </w:tr>
      <w:tr>
        <w:trPr>
          <w:trHeight w:val="230"/>
        </w:trPr>
        <w:tc>
          <w:tcPr>
            <w:tcW w:w="7920" w:type="dxa"/>
            <w:vAlign w:val="bottom"/>
          </w:tcPr>
          <w:p>
            <w:pPr>
              <w:ind w:left="660"/>
              <w:spacing w:after="0"/>
              <w:rPr>
                <w:sz w:val="20"/>
                <w:szCs w:val="20"/>
                <w:color w:val="auto"/>
              </w:rPr>
            </w:pPr>
            <w:r>
              <w:rPr>
                <w:rFonts w:ascii="Arial" w:cs="Arial" w:eastAsia="Arial" w:hAnsi="Arial"/>
                <w:sz w:val="16"/>
                <w:szCs w:val="16"/>
                <w:color w:val="auto"/>
              </w:rPr>
              <w:t>Loss on extinguishment of debt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2,908</w:t>
            </w:r>
          </w:p>
        </w:tc>
      </w:tr>
      <w:tr>
        <w:trPr>
          <w:trHeight w:val="216"/>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Bad debt expense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1,744</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16,487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10,437</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Gain on investments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(13,958)</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Write-down of non-marketable equity securities and note receivable</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20,000</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Changes in assets and liabilities: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receivable, trade (including amounts due from related parties,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55,365</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(18,233)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45,953</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Program rights and obligations,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(583,480)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(387,027)</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Income taxes payable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256</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Deferred revenue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(5,086)</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Deferred carriage fees, net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(27,861)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(15,995)</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payable, accrued liabilities and other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(45,412)</w:t>
            </w:r>
          </w:p>
        </w:tc>
      </w:tr>
      <w:tr>
        <w:trPr>
          <w:trHeight w:val="206"/>
        </w:trPr>
        <w:tc>
          <w:tcPr>
            <w:tcW w:w="7920" w:type="dxa"/>
            <w:vAlign w:val="bottom"/>
            <w:tcBorders>
              <w:bottom w:val="single" w:sz="8" w:color="CCEEFF"/>
            </w:tcBorders>
          </w:tcPr>
          <w:p>
            <w:pPr>
              <w:ind w:left="110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131,167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424,912</w:t>
            </w:r>
          </w:p>
        </w:tc>
      </w:tr>
      <w:tr>
        <w:trPr>
          <w:trHeight w:val="19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Capital expenditures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(18,849)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(22,172)</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Return of capital from investees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Payments for acquisition of a business, net of cash acquired</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(19,072)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 of investment securities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Cash paid on distribution of business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Principal payment received on loan to investee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r>
      <w:tr>
        <w:trPr>
          <w:trHeight w:val="213"/>
        </w:trPr>
        <w:tc>
          <w:tcPr>
            <w:tcW w:w="79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Proceeds from sale of investments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95,370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r>
      <w:tr>
        <w:trPr>
          <w:trHeight w:val="213"/>
        </w:trPr>
        <w:tc>
          <w:tcPr>
            <w:tcW w:w="792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Net cash provided by (used in) investing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42,000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(9,998)</w:t>
            </w:r>
          </w:p>
        </w:tc>
      </w:tr>
      <w:tr>
        <w:trPr>
          <w:trHeight w:val="193"/>
        </w:trPr>
        <w:tc>
          <w:tcPr>
            <w:tcW w:w="79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the issuance of long-term debt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984,500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Principal payments on long-term debt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(1,015,000)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(218,750)</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Deemed repurchases of restricted stock units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(8,946)</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Purchase of treasury stock</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(102,938)</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stock option exercises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Principal payments on finance lease obligations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(1,575)</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Contributions from noncontrolling interests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Distributions to noncontrolling interests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(10,607)</w:t>
            </w:r>
          </w:p>
        </w:tc>
      </w:tr>
      <w:tr>
        <w:trPr>
          <w:trHeight w:val="213"/>
        </w:trPr>
        <w:tc>
          <w:tcPr>
            <w:tcW w:w="792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(64,226)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(336,816)</w:t>
            </w:r>
          </w:p>
        </w:tc>
      </w:tr>
      <w:tr>
        <w:trPr>
          <w:trHeight w:val="207"/>
        </w:trPr>
        <w:tc>
          <w:tcPr>
            <w:tcW w:w="7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increase in cash and cash equivalents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108,941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78,098</w:t>
            </w:r>
          </w:p>
        </w:tc>
      </w:tr>
      <w:tr>
        <w:trPr>
          <w:trHeight w:val="212"/>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(16,741)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(4,381)</w:t>
            </w:r>
          </w:p>
        </w:tc>
      </w:tr>
      <w:tr>
        <w:trPr>
          <w:trHeight w:val="206"/>
        </w:trPr>
        <w:tc>
          <w:tcPr>
            <w:tcW w:w="7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at beginning of period</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888,526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816,170</w:t>
            </w:r>
          </w:p>
        </w:tc>
      </w:tr>
      <w:tr>
        <w:trPr>
          <w:trHeight w:val="238"/>
        </w:trPr>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980,726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889,887</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180"/>
          </w:cols>
          <w:pgMar w:left="360" w:top="895" w:right="35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5" w:right="35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AMC Networks Inc. ("AMC Networks") and its subsidiaries (collectively referred to as the "Company," "we," "us," or "our") own and operate entertainment businesses and assets.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 Changes</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the first quarter of 2021, the Company changed its presentation of operating segments, reflecting a reorganized operating structure focused on a multi-platform distribution approach to content monetization. The Company's streaming services and IFC Films, previously included in the International and Other segment, are now included within Domestic Operations (formerly referred to as the National Networks segment). In addition, certain corporate overhead costs will no longer be allocated to the operating segments. Operating segment information for the prior periods has been recast to reflect these changes. The new reporting structure consists of the following two operating segments:</w:t>
      </w:r>
    </w:p>
    <w:p>
      <w:pPr>
        <w:spacing w:after="0" w:line="80" w:lineRule="exact"/>
        <w:rPr>
          <w:sz w:val="20"/>
          <w:szCs w:val="20"/>
          <w:color w:val="auto"/>
        </w:rPr>
      </w:pPr>
    </w:p>
    <w:p>
      <w:pPr>
        <w:jc w:val="both"/>
        <w:ind w:left="660" w:hanging="328"/>
        <w:spacing w:after="0" w:line="273" w:lineRule="auto"/>
        <w:tabs>
          <w:tab w:leader="none" w:pos="655"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Domestic Operations: </w:t>
      </w:r>
      <w:r>
        <w:rPr>
          <w:rFonts w:ascii="Arial" w:cs="Arial" w:eastAsia="Arial" w:hAnsi="Arial"/>
          <w:sz w:val="17"/>
          <w:szCs w:val="17"/>
          <w:color w:val="auto"/>
        </w:rPr>
        <w:t>Includes activities of our five national programming networks, our streaming services, AMC Studios operation, IFC Films</w:t>
      </w:r>
      <w:r>
        <w:rPr>
          <w:rFonts w:ascii="Arial" w:cs="Arial" w:eastAsia="Arial" w:hAnsi="Arial"/>
          <w:sz w:val="17"/>
          <w:szCs w:val="17"/>
          <w:i w:val="1"/>
          <w:iCs w:val="1"/>
          <w:color w:val="auto"/>
        </w:rPr>
        <w:t xml:space="preserve"> </w:t>
      </w:r>
      <w:r>
        <w:rPr>
          <w:rFonts w:ascii="Arial" w:cs="Arial" w:eastAsia="Arial" w:hAnsi="Arial"/>
          <w:sz w:val="17"/>
          <w:szCs w:val="17"/>
          <w:color w:val="auto"/>
        </w:rPr>
        <w:t>and AMC Broadcasting &amp; Technology. Our national programming networks are AMC, WE tv, BBC AMERICA, IFC, and SundanceTV. Our streaming services consist of our targeted subscription streaming services (Acorn TV, Shudder, Sundance Now, and ALLBLK), AMC+ and other streaming initiatives. Our AMC Studios operation produces original programming for our programming networks and also licenses such programming worldwide. IFC Films is our film distribution business and AMC Networks Broadcasting &amp; Technology is our technical services business, which primarily services most of the national programming networks.</w:t>
      </w:r>
    </w:p>
    <w:p>
      <w:pPr>
        <w:spacing w:after="0" w:line="69" w:lineRule="exact"/>
        <w:rPr>
          <w:rFonts w:ascii="Arial" w:cs="Arial" w:eastAsia="Arial" w:hAnsi="Arial"/>
          <w:sz w:val="17"/>
          <w:szCs w:val="17"/>
          <w:i w:val="1"/>
          <w:iCs w:val="1"/>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International and Other</w:t>
      </w:r>
      <w:r>
        <w:rPr>
          <w:rFonts w:ascii="Arial" w:cs="Arial" w:eastAsia="Arial" w:hAnsi="Arial"/>
          <w:sz w:val="18"/>
          <w:szCs w:val="18"/>
          <w:color w:val="auto"/>
        </w:rPr>
        <w:t>: Includes AMC Networks International ("AMCNI"), our international programming businesses consisting of a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of channels around the world and 25/7 Media (formerly Levity), our production services business. See Note 4 relating to the spin-off of the Levity comedy venues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consolidated financial statements include the accounts of AMC Networks and its subsidiaries in which a controlling voting interest is maintained or variable interest entities ("VIEs") in which the Company has determined it is the primary beneficiary. All intercompany transactions and balances have been eliminated in consolidation.</w:t>
      </w:r>
    </w:p>
    <w:p>
      <w:pPr>
        <w:spacing w:after="0" w:line="7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Investments in business entities in which the Company lacks control but does have the ability to exercise significant influence over operating and financial policies are accounted for using the equity method of accounting.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Interim Financial Statements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These condensed consolidated financial statements have been prepared in accordance with U.S. generally accepted accounting principles ("GAAP") for interim financial information and Article 10 of Regulation S-X of the Securities and Exchange Commission ("SEC"), and should be read in conjunction with the Company's consolidated financial statements and notes thereto for the year ended December 31, 2020 contained in the Company's Annual Report on Form 10-K ("2020 Form 10-K") filed with the SEC. The condensed consolidated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spacing w:after="0" w:line="7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results of operations for interim periods are not necessarily indicative of the results that might be expected for future interim periods or for the full year ending December 31,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continues to monitor the ongoing impact of the COVID-19 pandemic on all aspects of its business. The Company cannot reasonably predict the ultimate impact of the COVID-19 pandemic, including the extent of any adverse impact on our business, results of operations and financial condition, which will depend on, among other things, the duration and spread of the pandemic, the impact of governmental regulations that have been, and may continue to be, imposed in response to the pandemic, the effectiveness of actions taken to contain or mitigate the outbreak, the availability, safety and efficacy of vaccines, and global economic conditions. The Company does not expect the COVID-19 pandemic and its related economic impact to affect its liquidity position or its ongoing ability to meet the covenants in its debt instruments.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useful lives and methodologies used to amortize and assess recoverability of program rights, the estimated useful lives of intangible assets and the valuation and recoverability of goodwill and intangible assets.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 xml:space="preserve">Effective January 1, 2021, the Company adopted Financial Accounting Standard Board (“FASB”) Accounting Standards Update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ASU 2019-12 removes certain exceptions to the general principles in Topic 740 - Income Taxes. The</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of the standard did not have a material effect on its consolidated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2021, other than contracts for which the Company has applied the practical expedients, the aggregate amount of transaction price allocated to future performance obligations was not material to our consolidated revenues.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receivables, contract assets, and contract liabilities from contracts with customers.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80" w:type="dxa"/>
            <w:vAlign w:val="bottom"/>
            <w:gridSpan w:val="2"/>
          </w:tcPr>
          <w:p>
            <w:pPr>
              <w:ind w:left="440"/>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8"/>
                <w:szCs w:val="18"/>
                <w:color w:val="auto"/>
              </w:rPr>
            </w:pPr>
          </w:p>
        </w:tc>
        <w:tc>
          <w:tcPr>
            <w:tcW w:w="172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2021</w:t>
            </w:r>
          </w:p>
        </w:tc>
        <w:tc>
          <w:tcPr>
            <w:tcW w:w="620" w:type="dxa"/>
            <w:vAlign w:val="bottom"/>
          </w:tcPr>
          <w:p>
            <w:pPr>
              <w:spacing w:after="0"/>
              <w:rPr>
                <w:sz w:val="18"/>
                <w:szCs w:val="18"/>
                <w:color w:val="auto"/>
              </w:rPr>
            </w:pPr>
          </w:p>
        </w:tc>
        <w:tc>
          <w:tcPr>
            <w:tcW w:w="1700" w:type="dxa"/>
            <w:vAlign w:val="bottom"/>
          </w:tcPr>
          <w:p>
            <w:pPr>
              <w:jc w:val="right"/>
              <w:ind w:right="212"/>
              <w:spacing w:after="0"/>
              <w:rPr>
                <w:sz w:val="20"/>
                <w:szCs w:val="20"/>
                <w:color w:val="auto"/>
              </w:rPr>
            </w:pPr>
            <w:r>
              <w:rPr>
                <w:rFonts w:ascii="Arial" w:cs="Arial" w:eastAsia="Arial" w:hAnsi="Arial"/>
                <w:sz w:val="16"/>
                <w:szCs w:val="16"/>
                <w:b w:val="1"/>
                <w:bCs w:val="1"/>
                <w:color w:val="auto"/>
                <w:w w:val="95"/>
              </w:rPr>
              <w:t>December 31, 2020</w:t>
            </w:r>
          </w:p>
        </w:tc>
      </w:tr>
      <w:tr>
        <w:trPr>
          <w:trHeight w:val="226"/>
        </w:trPr>
        <w:tc>
          <w:tcPr>
            <w:tcW w:w="63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Balances from contracts with customers:</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r>
      <w:tr>
        <w:trPr>
          <w:trHeight w:val="229"/>
        </w:trPr>
        <w:tc>
          <w:tcPr>
            <w:tcW w:w="6480" w:type="dxa"/>
            <w:vAlign w:val="bottom"/>
            <w:gridSpan w:val="2"/>
          </w:tcPr>
          <w:p>
            <w:pPr>
              <w:ind w:left="640"/>
              <w:spacing w:after="0"/>
              <w:rPr>
                <w:sz w:val="20"/>
                <w:szCs w:val="20"/>
                <w:color w:val="auto"/>
              </w:rPr>
            </w:pPr>
            <w:r>
              <w:rPr>
                <w:rFonts w:ascii="Arial" w:cs="Arial" w:eastAsia="Arial" w:hAnsi="Arial"/>
                <w:sz w:val="18"/>
                <w:szCs w:val="18"/>
                <w:color w:val="auto"/>
              </w:rPr>
              <w:t>Accounts receivable (including long-term, included in Other assets)</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1,030,795</w:t>
            </w:r>
          </w:p>
        </w:tc>
        <w:tc>
          <w:tcPr>
            <w:tcW w:w="10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1,081,070</w:t>
            </w:r>
          </w:p>
        </w:tc>
      </w:tr>
      <w:tr>
        <w:trPr>
          <w:trHeight w:val="229"/>
        </w:trPr>
        <w:tc>
          <w:tcPr>
            <w:tcW w:w="64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Contract assets, short-term (included in Other current assets)</w:t>
            </w:r>
          </w:p>
        </w:tc>
        <w:tc>
          <w:tcPr>
            <w:tcW w:w="7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9,830</w:t>
            </w:r>
          </w:p>
        </w:tc>
      </w:tr>
      <w:tr>
        <w:trPr>
          <w:trHeight w:val="230"/>
        </w:trPr>
        <w:tc>
          <w:tcPr>
            <w:tcW w:w="6480" w:type="dxa"/>
            <w:vAlign w:val="bottom"/>
            <w:gridSpan w:val="2"/>
          </w:tcPr>
          <w:p>
            <w:pPr>
              <w:ind w:left="660"/>
              <w:spacing w:after="0"/>
              <w:rPr>
                <w:sz w:val="20"/>
                <w:szCs w:val="20"/>
                <w:color w:val="auto"/>
              </w:rPr>
            </w:pPr>
            <w:r>
              <w:rPr>
                <w:rFonts w:ascii="Arial" w:cs="Arial" w:eastAsia="Arial" w:hAnsi="Arial"/>
                <w:sz w:val="18"/>
                <w:szCs w:val="18"/>
                <w:color w:val="auto"/>
              </w:rPr>
              <w:t>Contract assets, long-term (included in Other assets)</w:t>
            </w:r>
          </w:p>
        </w:tc>
        <w:tc>
          <w:tcPr>
            <w:tcW w:w="7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942</w:t>
            </w:r>
          </w:p>
        </w:tc>
      </w:tr>
      <w:tr>
        <w:trPr>
          <w:trHeight w:val="229"/>
        </w:trPr>
        <w:tc>
          <w:tcPr>
            <w:tcW w:w="64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Contract liabilities (Deferred revenue)</w:t>
            </w:r>
          </w:p>
        </w:tc>
        <w:tc>
          <w:tcPr>
            <w:tcW w:w="7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71,048</w:t>
            </w:r>
          </w:p>
        </w:tc>
      </w:tr>
    </w:tbl>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 recognized for the six months ended June 30, 2021 relating to the contract liability at December 31, 2020 was $17.7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Income per Share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reconciliation between basic and diluted weighted average shares outstanding:</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2860" w:type="dxa"/>
            <w:vAlign w:val="bottom"/>
            <w:gridSpan w:val="5"/>
          </w:tcPr>
          <w:p>
            <w:pPr>
              <w:ind w:left="780"/>
              <w:spacing w:after="0"/>
              <w:rPr>
                <w:sz w:val="20"/>
                <w:szCs w:val="20"/>
                <w:color w:val="auto"/>
              </w:rPr>
            </w:pPr>
            <w:r>
              <w:rPr>
                <w:rFonts w:ascii="Arial" w:cs="Arial" w:eastAsia="Arial" w:hAnsi="Arial"/>
                <w:sz w:val="16"/>
                <w:szCs w:val="16"/>
                <w:b w:val="1"/>
                <w:bCs w:val="1"/>
                <w:color w:val="auto"/>
              </w:rPr>
              <w:t>Three Months Ended June</w:t>
            </w:r>
          </w:p>
        </w:tc>
        <w:tc>
          <w:tcPr>
            <w:tcW w:w="2920" w:type="dxa"/>
            <w:vAlign w:val="bottom"/>
            <w:gridSpan w:val="3"/>
            <w:vMerge w:val="restart"/>
          </w:tcPr>
          <w:p>
            <w:pPr>
              <w:jc w:val="right"/>
              <w:ind w:right="92"/>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3"/>
        </w:trPr>
        <w:tc>
          <w:tcPr>
            <w:tcW w:w="54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190"/>
              <w:spacing w:after="0"/>
              <w:rPr>
                <w:sz w:val="20"/>
                <w:szCs w:val="20"/>
                <w:color w:val="auto"/>
              </w:rPr>
            </w:pPr>
            <w:r>
              <w:rPr>
                <w:rFonts w:ascii="Arial" w:cs="Arial" w:eastAsia="Arial" w:hAnsi="Arial"/>
                <w:sz w:val="16"/>
                <w:szCs w:val="16"/>
                <w:b w:val="1"/>
                <w:bCs w:val="1"/>
                <w:color w:val="auto"/>
                <w:w w:val="89"/>
              </w:rPr>
              <w:t>30,</w:t>
            </w:r>
          </w:p>
        </w:tc>
        <w:tc>
          <w:tcPr>
            <w:tcW w:w="100" w:type="dxa"/>
            <w:vAlign w:val="bottom"/>
          </w:tcPr>
          <w:p>
            <w:pPr>
              <w:spacing w:after="0"/>
              <w:rPr>
                <w:sz w:val="18"/>
                <w:szCs w:val="18"/>
                <w:color w:val="auto"/>
              </w:rPr>
            </w:pPr>
          </w:p>
        </w:tc>
        <w:tc>
          <w:tcPr>
            <w:tcW w:w="292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60" w:type="dxa"/>
            <w:vAlign w:val="bottom"/>
          </w:tcPr>
          <w:p>
            <w:pPr>
              <w:ind w:left="68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jc w:val="right"/>
              <w:ind w:right="33"/>
              <w:spacing w:after="0"/>
              <w:rPr>
                <w:sz w:val="20"/>
                <w:szCs w:val="20"/>
                <w:color w:val="auto"/>
              </w:rPr>
            </w:pPr>
            <w:r>
              <w:rPr>
                <w:rFonts w:ascii="Arial" w:cs="Arial" w:eastAsia="Arial" w:hAnsi="Arial"/>
                <w:sz w:val="16"/>
                <w:szCs w:val="16"/>
                <w:b w:val="1"/>
                <w:bCs w:val="1"/>
                <w:color w:val="auto"/>
              </w:rPr>
              <w:t>2021</w:t>
            </w:r>
          </w:p>
        </w:tc>
        <w:tc>
          <w:tcPr>
            <w:tcW w:w="1500" w:type="dxa"/>
            <w:vAlign w:val="bottom"/>
            <w:gridSpan w:val="3"/>
          </w:tcPr>
          <w:p>
            <w:pPr>
              <w:jc w:val="right"/>
              <w:ind w:right="9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400" w:type="dxa"/>
            <w:vAlign w:val="bottom"/>
          </w:tcPr>
          <w:p>
            <w:pPr>
              <w:jc w:val="right"/>
              <w:ind w:right="113"/>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1400" w:type="dxa"/>
            <w:vAlign w:val="bottom"/>
          </w:tcPr>
          <w:p>
            <w:pPr>
              <w:jc w:val="right"/>
              <w:ind w:right="13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546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Basic weighted average common shares outstanding</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42,481</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52,311</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42,207</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53,894</w:t>
            </w:r>
          </w:p>
        </w:tc>
        <w:tc>
          <w:tcPr>
            <w:tcW w:w="0" w:type="dxa"/>
            <w:vAlign w:val="bottom"/>
          </w:tcPr>
          <w:p>
            <w:pPr>
              <w:spacing w:after="0"/>
              <w:rPr>
                <w:sz w:val="1"/>
                <w:szCs w:val="1"/>
                <w:color w:val="auto"/>
              </w:rPr>
            </w:pPr>
          </w:p>
        </w:tc>
      </w:tr>
      <w:tr>
        <w:trPr>
          <w:trHeight w:val="229"/>
        </w:trPr>
        <w:tc>
          <w:tcPr>
            <w:tcW w:w="5460" w:type="dxa"/>
            <w:vAlign w:val="bottom"/>
          </w:tcPr>
          <w:p>
            <w:pPr>
              <w:ind w:left="680"/>
              <w:spacing w:after="0"/>
              <w:rPr>
                <w:sz w:val="20"/>
                <w:szCs w:val="20"/>
                <w:color w:val="auto"/>
              </w:rPr>
            </w:pPr>
            <w:r>
              <w:rPr>
                <w:rFonts w:ascii="Arial" w:cs="Arial" w:eastAsia="Arial" w:hAnsi="Arial"/>
                <w:sz w:val="18"/>
                <w:szCs w:val="18"/>
                <w:color w:val="auto"/>
              </w:rPr>
              <w:t>Effect of dilution:</w:t>
            </w: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Stock options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tcPr>
          <w:p>
            <w:pPr>
              <w:ind w:left="1000"/>
              <w:spacing w:after="0"/>
              <w:rPr>
                <w:sz w:val="20"/>
                <w:szCs w:val="20"/>
                <w:color w:val="auto"/>
              </w:rPr>
            </w:pPr>
            <w:r>
              <w:rPr>
                <w:rFonts w:ascii="Arial" w:cs="Arial" w:eastAsia="Arial" w:hAnsi="Arial"/>
                <w:sz w:val="18"/>
                <w:szCs w:val="18"/>
                <w:color w:val="auto"/>
              </w:rPr>
              <w:t>Restricted stock units</w:t>
            </w:r>
          </w:p>
        </w:tc>
        <w:tc>
          <w:tcPr>
            <w:tcW w:w="1260" w:type="dxa"/>
            <w:vAlign w:val="bottom"/>
          </w:tcPr>
          <w:p>
            <w:pPr>
              <w:jc w:val="right"/>
              <w:spacing w:after="0"/>
              <w:rPr>
                <w:sz w:val="20"/>
                <w:szCs w:val="20"/>
                <w:color w:val="auto"/>
              </w:rPr>
            </w:pPr>
            <w:r>
              <w:rPr>
                <w:rFonts w:ascii="Arial" w:cs="Arial" w:eastAsia="Arial" w:hAnsi="Arial"/>
                <w:sz w:val="18"/>
                <w:szCs w:val="18"/>
                <w:color w:val="auto"/>
              </w:rPr>
              <w:t>901</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48"/>
        </w:trPr>
        <w:tc>
          <w:tcPr>
            <w:tcW w:w="546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Diluted weighted average common shares outstanding</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43,382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Approximately 0.5 million and 1.2 million restricted stock units outstanding as of June 30, 2021 and June 30, 2020, respectively, have been excluded from diluted weighted average common shares outstanding since a performance condition for these awards had not been met in each of the respective periods. As of June 30, 2021 and June 30, 2020, 0.3 million and 0.7 million, respectively, of restricted stock units and stock options have been excluded from diluted weighted average common shares outstanding, as their impact would have been anti-dilutive.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Company's Board of Directors has authorized a program to repurchase up to $1.5 billion of its outstanding shares of common stock (the "Stock Repurchase Program"). The Stock Repurchase Program has no pre-established closing date and may be suspended or discontinued at any time. For the six months ended June 30, 2021, the Company did not repurchase any shares of its Class A Common Stock. As of June 30, 2021, the Company had $135.3 million of authorization remaining for repurchase under the Stock Repurchase Program.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and Other Charges</w:t>
      </w:r>
    </w:p>
    <w:p>
      <w:pPr>
        <w:spacing w:after="0" w:line="10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6"/>
          <w:szCs w:val="16"/>
          <w:color w:val="auto"/>
        </w:rPr>
        <w:t xml:space="preserve">On July 16, 2021, the Company entered into a settlement agreement (the “Settlement Agreement”) with Frank Darabont, Ferenc, Inc., Darkwoods Productions, Inc., and Creative Artists Agency, LLC (together, the "Plaintiffs") in actions brought in connection with Frank Darabont’s rendering services as a writer, director and producer of the television series entitled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The consolidated cases were initially brought in 2013 and 2018 and the trial of the consolidated cases was scheduled to commence on April 4, 2022. The Settlement Agreement provides for a cash payment of $200 million (the “Settlement Payment”) to the Plaintiffs and future revenue sharing related to certain future streaming exhibition of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and </w:t>
      </w:r>
      <w:r>
        <w:rPr>
          <w:rFonts w:ascii="Arial" w:cs="Arial" w:eastAsia="Arial" w:hAnsi="Arial"/>
          <w:sz w:val="16"/>
          <w:szCs w:val="16"/>
          <w:i w:val="1"/>
          <w:iCs w:val="1"/>
          <w:color w:val="auto"/>
        </w:rPr>
        <w:t>Fear The</w:t>
      </w:r>
      <w:r>
        <w:rPr>
          <w:rFonts w:ascii="Arial" w:cs="Arial" w:eastAsia="Arial" w:hAnsi="Arial"/>
          <w:sz w:val="16"/>
          <w:szCs w:val="16"/>
          <w:color w:val="auto"/>
        </w:rPr>
        <w:t xml:space="preserve"> </w:t>
      </w:r>
      <w:r>
        <w:rPr>
          <w:rFonts w:ascii="Arial" w:cs="Arial" w:eastAsia="Arial" w:hAnsi="Arial"/>
          <w:sz w:val="16"/>
          <w:szCs w:val="16"/>
          <w:i w:val="1"/>
          <w:iCs w:val="1"/>
          <w:color w:val="auto"/>
        </w:rPr>
        <w:t>Walking Dead</w:t>
      </w:r>
      <w:r>
        <w:rPr>
          <w:rFonts w:ascii="Arial" w:cs="Arial" w:eastAsia="Arial" w:hAnsi="Arial"/>
          <w:sz w:val="16"/>
          <w:szCs w:val="16"/>
          <w:color w:val="auto"/>
        </w:rPr>
        <w:t>. With regard to the Settlement Payment, the Company recorded a charge of $143.0 million, included in Impairment and other charges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consideration for the extinguishment of Plaintiffs’ rights to any compensation in connection with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and any related programs and the dismissal of the actions with prejudice, which amount is net of $57.0 million of ordinary course accrued participations.</w:t>
      </w:r>
    </w:p>
    <w:p>
      <w:pPr>
        <w:spacing w:after="0" w:line="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March 2021, the Company completed a spin-off of the live comedy venue and talent management businesses ("LiveCo") of Levity Entertainment Group, LLC. In connection with the transaction, the Company effectively exchanged all of its rights and interests in LiveCo for the release of the Company's obligations, principally related to leases. As a result of this divestiture, the Company recognized a loss on the disposal of $16.1 million reflecting the net assets transferred (consisting of property and equipment, lease right-of-use assets and intangibles, partially offset by lease and other obligations), which is included in Impairment and other charges. The Company retained its interest in the production services business of Levity Entertainment Group, LLC, which was renamed 25/7 Media Holdings, LLC following the spin-off.</w:t>
      </w:r>
    </w:p>
    <w:p>
      <w:pPr>
        <w:spacing w:after="0" w:line="84"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In June 2020, as a result of the impact of the COVID-19 pandemic, the Company qualitatively assessed whether it was more likely than not that goodwill and long-lived assets were impaired as of June 30, 2020. Based on our projections and updated forecasts, the Company determined that sufficient indicators of potential impairment of long-lived assets existed and, in connection with the preparation of the Company's second quarter financial information, the Company performed a recoverability test of certain long-lived asset groups within the AMCNI reporting unit. This resulted in an impairment charge of $105.3 million for the three and six months ended June 30, 2020 primarily related to certain identifiable intangible assets, as well as property and equipment, and operating lease right-of-use assets. The Company then performed a goodwill impairment test and determined that the carrying value of the AMCNI reporting unit exceeded its fair value, resulting in an impairment charge of $25.1 million for the three and six months ended June 30, 2020.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Restructuring and Other Related Charges</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Restructuring and other related charges of $0.2 million and $8.8 million for the three and six months ended June 30, 2021, respectively, consisted of $0.2 million and $4.3 million of severance costs associated with the restructuring plan announced in November 2020 for the three and six months ended June 30, 2021, respectively, and $4.5 million at AMCNI related to the termination of distribution in certain international territories, for the six months ended June 30, 2021.</w:t>
      </w:r>
    </w:p>
    <w:p>
      <w:pPr>
        <w:spacing w:after="0" w:line="7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Restructuring and other related charges of $3.5 million and $9.5 million for the three and six months ended June 30, 2020, respectively, related to restructuring costs associated with termination of distribution in certain territories as well as severance and other personnel related costs associated with previously announced restructuring activities.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restructuring and other related charges recognized by operating segment: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520" w:type="dxa"/>
            <w:vAlign w:val="bottom"/>
            <w:gridSpan w:val="4"/>
          </w:tcPr>
          <w:p>
            <w:pPr>
              <w:jc w:val="right"/>
              <w:ind w:right="372"/>
              <w:spacing w:after="0"/>
              <w:rPr>
                <w:sz w:val="20"/>
                <w:szCs w:val="20"/>
                <w:color w:val="auto"/>
              </w:rPr>
            </w:pPr>
            <w:r>
              <w:rPr>
                <w:rFonts w:ascii="Arial" w:cs="Arial" w:eastAsia="Arial" w:hAnsi="Arial"/>
                <w:sz w:val="16"/>
                <w:szCs w:val="16"/>
                <w:b w:val="1"/>
                <w:bCs w:val="1"/>
                <w:color w:val="auto"/>
                <w:w w:val="98"/>
              </w:rPr>
              <w:t>Six Months Ended June 30,</w:t>
            </w:r>
          </w:p>
        </w:tc>
      </w:tr>
      <w:tr>
        <w:trPr>
          <w:trHeight w:val="237"/>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2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International &amp; Other</w:t>
            </w:r>
          </w:p>
        </w:tc>
        <w:tc>
          <w:tcPr>
            <w:tcW w:w="200" w:type="dxa"/>
            <w:vAlign w:val="bottom"/>
          </w:tcPr>
          <w:p>
            <w:pPr>
              <w:spacing w:after="0"/>
              <w:rPr>
                <w:sz w:val="19"/>
                <w:szCs w:val="19"/>
                <w:color w:val="auto"/>
              </w:rPr>
            </w:pPr>
          </w:p>
        </w:tc>
        <w:tc>
          <w:tcPr>
            <w:tcW w:w="1100" w:type="dxa"/>
            <w:vAlign w:val="bottom"/>
          </w:tcPr>
          <w:p>
            <w:pPr>
              <w:ind w:left="780"/>
              <w:spacing w:after="0"/>
              <w:rPr>
                <w:sz w:val="20"/>
                <w:szCs w:val="20"/>
                <w:color w:val="auto"/>
              </w:rPr>
            </w:pPr>
            <w:r>
              <w:rPr>
                <w:rFonts w:ascii="Arial" w:cs="Arial" w:eastAsia="Arial" w:hAnsi="Arial"/>
                <w:sz w:val="18"/>
                <w:szCs w:val="18"/>
                <w:color w:val="auto"/>
                <w:w w:val="93"/>
              </w:rPr>
              <w:t>(17)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4,473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6,239</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 Inter-segment eliminations</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3"/>
              </w:rPr>
              <w:t>(44)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Total restructuring and other related charges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8,780</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9,473</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accrued restructuring costs: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Severance and</w:t>
            </w:r>
          </w:p>
        </w:tc>
        <w:tc>
          <w:tcPr>
            <w:tcW w:w="580" w:type="dxa"/>
            <w:vAlign w:val="bottom"/>
          </w:tcPr>
          <w:p>
            <w:pPr>
              <w:spacing w:after="0"/>
              <w:rPr>
                <w:sz w:val="16"/>
                <w:szCs w:val="16"/>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Other exit costs</w:t>
            </w:r>
          </w:p>
        </w:tc>
        <w:tc>
          <w:tcPr>
            <w:tcW w:w="780" w:type="dxa"/>
            <w:vAlign w:val="bottom"/>
          </w:tcPr>
          <w:p>
            <w:pPr>
              <w:spacing w:after="0"/>
              <w:rPr>
                <w:sz w:val="16"/>
                <w:szCs w:val="16"/>
                <w:color w:val="auto"/>
              </w:rPr>
            </w:pPr>
          </w:p>
        </w:tc>
        <w:tc>
          <w:tcPr>
            <w:tcW w:w="1160" w:type="dxa"/>
            <w:vAlign w:val="bottom"/>
            <w:vMerge w:val="restart"/>
          </w:tcPr>
          <w:p>
            <w:pPr>
              <w:jc w:val="right"/>
              <w:ind w:right="4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280" w:type="dxa"/>
            <w:vAlign w:val="bottom"/>
          </w:tcPr>
          <w:p>
            <w:pPr>
              <w:ind w:left="480"/>
              <w:spacing w:after="0"/>
              <w:rPr>
                <w:sz w:val="20"/>
                <w:szCs w:val="20"/>
                <w:color w:val="auto"/>
              </w:rPr>
            </w:pPr>
            <w:r>
              <w:rPr>
                <w:rFonts w:ascii="Arial" w:cs="Arial" w:eastAsia="Arial" w:hAnsi="Arial"/>
                <w:sz w:val="14"/>
                <w:szCs w:val="14"/>
                <w:b w:val="1"/>
                <w:bCs w:val="1"/>
                <w:color w:val="auto"/>
              </w:rPr>
              <w:t>(In thousands)</w:t>
            </w:r>
          </w:p>
        </w:tc>
        <w:tc>
          <w:tcPr>
            <w:tcW w:w="2040" w:type="dxa"/>
            <w:vAlign w:val="bottom"/>
            <w:gridSpan w:val="3"/>
          </w:tcPr>
          <w:p>
            <w:pPr>
              <w:ind w:left="180"/>
              <w:spacing w:after="0"/>
              <w:rPr>
                <w:sz w:val="20"/>
                <w:szCs w:val="20"/>
                <w:color w:val="auto"/>
              </w:rPr>
            </w:pPr>
            <w:r>
              <w:rPr>
                <w:rFonts w:ascii="Arial" w:cs="Arial" w:eastAsia="Arial" w:hAnsi="Arial"/>
                <w:sz w:val="16"/>
                <w:szCs w:val="16"/>
                <w:b w:val="1"/>
                <w:bCs w:val="1"/>
                <w:color w:val="auto"/>
              </w:rPr>
              <w:t>employee-related costs</w:t>
            </w:r>
          </w:p>
        </w:tc>
        <w:tc>
          <w:tcPr>
            <w:tcW w:w="58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2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December 31, 2020</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25,571</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25,602</w:t>
            </w:r>
          </w:p>
        </w:tc>
        <w:tc>
          <w:tcPr>
            <w:tcW w:w="0" w:type="dxa"/>
            <w:vAlign w:val="bottom"/>
          </w:tcPr>
          <w:p>
            <w:pPr>
              <w:spacing w:after="0"/>
              <w:rPr>
                <w:sz w:val="1"/>
                <w:szCs w:val="1"/>
                <w:color w:val="auto"/>
              </w:rPr>
            </w:pPr>
          </w:p>
        </w:tc>
      </w:tr>
      <w:tr>
        <w:trPr>
          <w:trHeight w:val="230"/>
        </w:trPr>
        <w:tc>
          <w:tcPr>
            <w:tcW w:w="5280" w:type="dxa"/>
            <w:vAlign w:val="bottom"/>
          </w:tcPr>
          <w:p>
            <w:pPr>
              <w:ind w:left="480"/>
              <w:spacing w:after="0"/>
              <w:rPr>
                <w:sz w:val="20"/>
                <w:szCs w:val="20"/>
                <w:color w:val="auto"/>
              </w:rPr>
            </w:pPr>
            <w:r>
              <w:rPr>
                <w:rFonts w:ascii="Arial" w:cs="Arial" w:eastAsia="Arial" w:hAnsi="Arial"/>
                <w:sz w:val="18"/>
                <w:szCs w:val="18"/>
                <w:color w:val="auto"/>
              </w:rPr>
              <w:t>Charges</w:t>
            </w: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4,323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4,457</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8,780</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Cash payments</w:t>
            </w: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(26,398)</w:t>
            </w:r>
          </w:p>
        </w:tc>
        <w:tc>
          <w:tcPr>
            <w:tcW w:w="0" w:type="dxa"/>
            <w:vAlign w:val="bottom"/>
          </w:tcPr>
          <w:p>
            <w:pPr>
              <w:spacing w:after="0"/>
              <w:rPr>
                <w:sz w:val="1"/>
                <w:szCs w:val="1"/>
                <w:color w:val="auto"/>
              </w:rPr>
            </w:pPr>
          </w:p>
        </w:tc>
      </w:tr>
      <w:tr>
        <w:trPr>
          <w:trHeight w:val="229"/>
        </w:trPr>
        <w:tc>
          <w:tcPr>
            <w:tcW w:w="5280" w:type="dxa"/>
            <w:vAlign w:val="bottom"/>
          </w:tcPr>
          <w:p>
            <w:pPr>
              <w:ind w:left="480"/>
              <w:spacing w:after="0"/>
              <w:rPr>
                <w:sz w:val="20"/>
                <w:szCs w:val="20"/>
                <w:color w:val="auto"/>
              </w:rPr>
            </w:pPr>
            <w:r>
              <w:rPr>
                <w:rFonts w:ascii="Arial" w:cs="Arial" w:eastAsia="Arial" w:hAnsi="Arial"/>
                <w:sz w:val="18"/>
                <w:szCs w:val="18"/>
                <w:color w:val="auto"/>
              </w:rPr>
              <w:t>Non-cash adjustments</w:t>
            </w:r>
          </w:p>
        </w:tc>
        <w:tc>
          <w:tcPr>
            <w:tcW w:w="6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(4,457)</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(4,457)</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5280" w:type="dxa"/>
            <w:vAlign w:val="bottom"/>
          </w:tcPr>
          <w:p>
            <w:pPr>
              <w:ind w:left="480"/>
              <w:spacing w:after="0"/>
              <w:rPr>
                <w:sz w:val="20"/>
                <w:szCs w:val="20"/>
                <w:color w:val="auto"/>
              </w:rPr>
            </w:pPr>
            <w:r>
              <w:rPr>
                <w:rFonts w:ascii="Arial" w:cs="Arial" w:eastAsia="Arial" w:hAnsi="Arial"/>
                <w:sz w:val="18"/>
                <w:szCs w:val="18"/>
                <w:color w:val="auto"/>
              </w:rPr>
              <w:t>Balance, June 30, 2021</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3,560</w:t>
            </w: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3,591</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Accrued restructuring costs of $3.6 million are included in accrued liabilities in the condensed consolidated balance sheet at June 30, 2021.</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Program Rights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capitalized produced and licensed content by predominant monetization strategy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June 30, 2021</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140"/>
              <w:spacing w:after="0" w:line="169" w:lineRule="exact"/>
              <w:rPr>
                <w:sz w:val="20"/>
                <w:szCs w:val="20"/>
                <w:color w:val="auto"/>
              </w:rPr>
            </w:pPr>
            <w:r>
              <w:rPr>
                <w:rFonts w:ascii="Arial" w:cs="Arial" w:eastAsia="Arial" w:hAnsi="Arial"/>
                <w:sz w:val="18"/>
                <w:szCs w:val="18"/>
                <w:color w:val="auto"/>
              </w:rPr>
              <w:t>Predominantly</w:t>
            </w:r>
          </w:p>
        </w:tc>
        <w:tc>
          <w:tcPr>
            <w:tcW w:w="240" w:type="dxa"/>
            <w:vAlign w:val="bottom"/>
          </w:tcPr>
          <w:p>
            <w:pPr>
              <w:spacing w:after="0"/>
              <w:rPr>
                <w:sz w:val="14"/>
                <w:szCs w:val="14"/>
                <w:color w:val="auto"/>
              </w:rPr>
            </w:pPr>
          </w:p>
        </w:tc>
        <w:tc>
          <w:tcPr>
            <w:tcW w:w="1660" w:type="dxa"/>
            <w:vAlign w:val="bottom"/>
            <w:gridSpan w:val="2"/>
          </w:tcPr>
          <w:p>
            <w:pPr>
              <w:ind w:left="160"/>
              <w:spacing w:after="0" w:line="169" w:lineRule="exact"/>
              <w:rPr>
                <w:sz w:val="20"/>
                <w:szCs w:val="20"/>
                <w:color w:val="auto"/>
              </w:rPr>
            </w:pPr>
            <w:r>
              <w:rPr>
                <w:rFonts w:ascii="Arial" w:cs="Arial" w:eastAsia="Arial" w:hAnsi="Arial"/>
                <w:sz w:val="18"/>
                <w:szCs w:val="18"/>
                <w:color w:val="auto"/>
              </w:rPr>
              <w:t>Predominantly</w:t>
            </w:r>
          </w:p>
        </w:tc>
        <w:tc>
          <w:tcPr>
            <w:tcW w:w="420" w:type="dxa"/>
            <w:vAlign w:val="bottom"/>
          </w:tcPr>
          <w:p>
            <w:pPr>
              <w:spacing w:after="0"/>
              <w:rPr>
                <w:sz w:val="14"/>
                <w:szCs w:val="14"/>
                <w:color w:val="auto"/>
              </w:rPr>
            </w:pPr>
          </w:p>
        </w:tc>
        <w:tc>
          <w:tcPr>
            <w:tcW w:w="1380" w:type="dxa"/>
            <w:vAlign w:val="bottom"/>
            <w:vMerge w:val="restart"/>
          </w:tcPr>
          <w:p>
            <w:pPr>
              <w:jc w:val="right"/>
              <w:ind w:right="6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gridSpan w:val="3"/>
          </w:tcPr>
          <w:p>
            <w:pPr>
              <w:ind w:left="40"/>
              <w:spacing w:after="0"/>
              <w:rPr>
                <w:sz w:val="20"/>
                <w:szCs w:val="20"/>
                <w:color w:val="auto"/>
              </w:rPr>
            </w:pPr>
            <w:r>
              <w:rPr>
                <w:rFonts w:ascii="Arial" w:cs="Arial" w:eastAsia="Arial" w:hAnsi="Arial"/>
                <w:sz w:val="18"/>
                <w:szCs w:val="18"/>
                <w:color w:val="auto"/>
              </w:rPr>
              <w:t>Monetized Individually</w:t>
            </w:r>
          </w:p>
        </w:tc>
        <w:tc>
          <w:tcPr>
            <w:tcW w:w="1900" w:type="dxa"/>
            <w:vAlign w:val="bottom"/>
            <w:gridSpan w:val="3"/>
          </w:tcPr>
          <w:p>
            <w:pPr>
              <w:ind w:left="100"/>
              <w:spacing w:after="0"/>
              <w:rPr>
                <w:sz w:val="20"/>
                <w:szCs w:val="20"/>
                <w:color w:val="auto"/>
              </w:rPr>
            </w:pPr>
            <w:r>
              <w:rPr>
                <w:rFonts w:ascii="Arial" w:cs="Arial" w:eastAsia="Arial" w:hAnsi="Arial"/>
                <w:sz w:val="18"/>
                <w:szCs w:val="18"/>
                <w:color w:val="auto"/>
              </w:rPr>
              <w:t>Monetized as a Group</w:t>
            </w:r>
          </w:p>
        </w:tc>
        <w:tc>
          <w:tcPr>
            <w:tcW w:w="4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60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1"/>
              </w:rPr>
              <w:t>Owned original program rights, net:</w:t>
            </w:r>
          </w:p>
        </w:tc>
        <w:tc>
          <w:tcPr>
            <w:tcW w:w="290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Completed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280,754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29,279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310,033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In-production and in-development</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329,903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341,151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Arial" w:cs="Arial" w:eastAsia="Arial" w:hAnsi="Arial"/>
                <w:sz w:val="18"/>
                <w:szCs w:val="18"/>
                <w:color w:val="auto"/>
              </w:rPr>
              <w:t>Total owned original program rights,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610,657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40,527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651,184</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gridSpan w:val="3"/>
          </w:tcPr>
          <w:p>
            <w:pPr>
              <w:spacing w:after="0" w:line="189" w:lineRule="exact"/>
              <w:rPr>
                <w:sz w:val="20"/>
                <w:szCs w:val="20"/>
                <w:color w:val="auto"/>
              </w:rPr>
            </w:pPr>
            <w:r>
              <w:rPr>
                <w:rFonts w:ascii="Arial" w:cs="Arial" w:eastAsia="Arial" w:hAnsi="Arial"/>
                <w:sz w:val="18"/>
                <w:szCs w:val="18"/>
                <w:color w:val="auto"/>
              </w:rPr>
              <w:t>Licensed program rights, net:</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Licensed film and acquired series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Licensed originals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194,520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194,520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Advances and content versioning costs</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130,720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Arial" w:cs="Arial" w:eastAsia="Arial" w:hAnsi="Arial"/>
                <w:sz w:val="18"/>
                <w:szCs w:val="18"/>
                <w:color w:val="auto"/>
              </w:rPr>
              <w:t>Total licensed program rights, net</w:t>
            </w:r>
          </w:p>
        </w:tc>
        <w:tc>
          <w:tcPr>
            <w:tcW w:w="2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206,040</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712,584</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918,624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Program rights,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816,697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753,111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1,569,808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program rights,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Program rights, net (long-term)</w:t>
            </w:r>
          </w:p>
        </w:tc>
        <w:tc>
          <w:tcPr>
            <w:tcW w:w="2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1,551,717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1,569,808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including write-offs, of owned and licensed program rights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w w:val="92"/>
              </w:rPr>
              <w:t>Three Months Ended June 30, 2021</w:t>
            </w:r>
          </w:p>
        </w:tc>
        <w:tc>
          <w:tcPr>
            <w:tcW w:w="8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jc w:val="center"/>
              <w:ind w:left="699"/>
              <w:spacing w:after="0"/>
              <w:rPr>
                <w:sz w:val="20"/>
                <w:szCs w:val="20"/>
                <w:color w:val="auto"/>
              </w:rPr>
            </w:pPr>
            <w:r>
              <w:rPr>
                <w:rFonts w:ascii="Arial" w:cs="Arial" w:eastAsia="Arial" w:hAnsi="Arial"/>
                <w:sz w:val="16"/>
                <w:szCs w:val="16"/>
                <w:b w:val="1"/>
                <w:bCs w:val="1"/>
                <w:color w:val="auto"/>
                <w:w w:val="91"/>
              </w:rPr>
              <w:t>Six Months Ended June 30, 2021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1"/>
              </w:rPr>
              <w:t>Predominantly</w:t>
            </w:r>
          </w:p>
        </w:tc>
        <w:tc>
          <w:tcPr>
            <w:tcW w:w="12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1"/>
              </w:rPr>
              <w:t>Predominantly</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1"/>
              </w:rPr>
              <w:t>Predominantly</w:t>
            </w:r>
          </w:p>
        </w:tc>
        <w:tc>
          <w:tcPr>
            <w:tcW w:w="14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1"/>
              </w:rPr>
              <w:t>Predominantly</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4"/>
              </w:rPr>
              <w:t>Monetized</w:t>
            </w:r>
          </w:p>
        </w:tc>
        <w:tc>
          <w:tcPr>
            <w:tcW w:w="12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0"/>
              </w:rPr>
              <w:t>Monetized as a</w:t>
            </w:r>
          </w:p>
        </w:tc>
        <w:tc>
          <w:tcPr>
            <w:tcW w:w="44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4"/>
                <w:szCs w:val="14"/>
                <w:color w:val="auto"/>
              </w:rPr>
            </w:pPr>
          </w:p>
        </w:tc>
        <w:tc>
          <w:tcPr>
            <w:tcW w:w="132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4"/>
              </w:rPr>
              <w:t>Monetized</w:t>
            </w:r>
          </w:p>
        </w:tc>
        <w:tc>
          <w:tcPr>
            <w:tcW w:w="14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0"/>
              </w:rPr>
              <w:t>Monetized as a</w:t>
            </w:r>
          </w:p>
        </w:tc>
        <w:tc>
          <w:tcPr>
            <w:tcW w:w="380" w:type="dxa"/>
            <w:vAlign w:val="bottom"/>
          </w:tcPr>
          <w:p>
            <w:pPr>
              <w:spacing w:after="0"/>
              <w:rPr>
                <w:sz w:val="14"/>
                <w:szCs w:val="14"/>
                <w:color w:val="auto"/>
              </w:rPr>
            </w:pPr>
          </w:p>
        </w:tc>
        <w:tc>
          <w:tcPr>
            <w:tcW w:w="920" w:type="dxa"/>
            <w:vAlign w:val="bottom"/>
            <w:vMerge w:val="restart"/>
          </w:tcPr>
          <w:p>
            <w:pPr>
              <w:jc w:val="right"/>
              <w:ind w:right="39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9"/>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color w:val="auto"/>
                <w:w w:val="98"/>
              </w:rPr>
              <w:t>Individually</w:t>
            </w:r>
          </w:p>
        </w:tc>
        <w:tc>
          <w:tcPr>
            <w:tcW w:w="1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Group</w:t>
            </w:r>
          </w:p>
        </w:tc>
        <w:tc>
          <w:tcPr>
            <w:tcW w:w="4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color w:val="auto"/>
                <w:w w:val="98"/>
              </w:rPr>
              <w:t>Individually</w:t>
            </w:r>
          </w:p>
        </w:tc>
        <w:tc>
          <w:tcPr>
            <w:tcW w:w="1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Group</w:t>
            </w:r>
          </w:p>
        </w:tc>
        <w:tc>
          <w:tcPr>
            <w:tcW w:w="3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5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color w:val="auto"/>
              </w:rPr>
              <w:t>Owned original program rights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50,921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7,571</w:t>
            </w:r>
          </w:p>
        </w:tc>
        <w:tc>
          <w:tcPr>
            <w:tcW w:w="18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58,492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84,827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12,137</w:t>
            </w:r>
          </w:p>
        </w:tc>
        <w:tc>
          <w:tcPr>
            <w:tcW w:w="180" w:type="dxa"/>
            <w:vAlign w:val="bottom"/>
          </w:tcPr>
          <w:p>
            <w:pPr>
              <w:spacing w:after="0"/>
              <w:rPr>
                <w:sz w:val="18"/>
                <w:szCs w:val="18"/>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96,964</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Licensed program rights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20,865</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103,004</w:t>
            </w:r>
          </w:p>
        </w:tc>
        <w:tc>
          <w:tcPr>
            <w:tcW w:w="1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123,869</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45,885</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190,499</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236,384</w:t>
            </w:r>
          </w:p>
        </w:tc>
        <w:tc>
          <w:tcPr>
            <w:tcW w:w="0" w:type="dxa"/>
            <w:vAlign w:val="bottom"/>
          </w:tcPr>
          <w:p>
            <w:pPr>
              <w:spacing w:after="0"/>
              <w:rPr>
                <w:sz w:val="1"/>
                <w:szCs w:val="1"/>
                <w:color w:val="auto"/>
              </w:rPr>
            </w:pPr>
          </w:p>
        </w:tc>
      </w:tr>
      <w:tr>
        <w:trPr>
          <w:trHeight w:val="206"/>
        </w:trPr>
        <w:tc>
          <w:tcPr>
            <w:tcW w:w="2540" w:type="dxa"/>
            <w:vAlign w:val="bottom"/>
          </w:tcPr>
          <w:p>
            <w:pPr>
              <w:ind w:left="20"/>
              <w:spacing w:after="0"/>
              <w:rPr>
                <w:sz w:val="20"/>
                <w:szCs w:val="20"/>
                <w:color w:val="auto"/>
              </w:rPr>
            </w:pPr>
            <w:r>
              <w:rPr>
                <w:rFonts w:ascii="Arial" w:cs="Arial" w:eastAsia="Arial" w:hAnsi="Arial"/>
                <w:sz w:val="16"/>
                <w:szCs w:val="16"/>
                <w:color w:val="auto"/>
              </w:rPr>
              <w:t>Program rights amortization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71,786</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110,575</w:t>
            </w:r>
          </w:p>
        </w:tc>
        <w:tc>
          <w:tcPr>
            <w:tcW w:w="18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182,361</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130,712</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202,636</w:t>
            </w:r>
          </w:p>
        </w:tc>
        <w:tc>
          <w:tcPr>
            <w:tcW w:w="180" w:type="dxa"/>
            <w:vAlign w:val="bottom"/>
          </w:tcPr>
          <w:p>
            <w:pPr>
              <w:spacing w:after="0"/>
              <w:rPr>
                <w:sz w:val="17"/>
                <w:szCs w:val="17"/>
                <w:color w:val="auto"/>
              </w:rPr>
            </w:pP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333,348</w:t>
            </w: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w w:val="92"/>
              </w:rPr>
              <w:t>Three Months Ended June 30, 2020</w:t>
            </w:r>
          </w:p>
        </w:tc>
        <w:tc>
          <w:tcPr>
            <w:tcW w:w="8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jc w:val="center"/>
              <w:ind w:left="699"/>
              <w:spacing w:after="0"/>
              <w:rPr>
                <w:sz w:val="20"/>
                <w:szCs w:val="20"/>
                <w:color w:val="auto"/>
              </w:rPr>
            </w:pPr>
            <w:r>
              <w:rPr>
                <w:rFonts w:ascii="Arial" w:cs="Arial" w:eastAsia="Arial" w:hAnsi="Arial"/>
                <w:sz w:val="16"/>
                <w:szCs w:val="16"/>
                <w:b w:val="1"/>
                <w:bCs w:val="1"/>
                <w:color w:val="auto"/>
                <w:w w:val="91"/>
              </w:rPr>
              <w:t>Six Months Ended June 30, 2020</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1"/>
              </w:rPr>
              <w:t>Predominantly</w:t>
            </w:r>
          </w:p>
        </w:tc>
        <w:tc>
          <w:tcPr>
            <w:tcW w:w="12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1"/>
              </w:rPr>
              <w:t>Predominantly</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1"/>
              </w:rPr>
              <w:t>Predominantly</w:t>
            </w:r>
          </w:p>
        </w:tc>
        <w:tc>
          <w:tcPr>
            <w:tcW w:w="14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1"/>
              </w:rPr>
              <w:t>Predominantly</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4"/>
              </w:rPr>
              <w:t>Monetized</w:t>
            </w:r>
          </w:p>
        </w:tc>
        <w:tc>
          <w:tcPr>
            <w:tcW w:w="12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0"/>
              </w:rPr>
              <w:t>Monetized as a</w:t>
            </w:r>
          </w:p>
        </w:tc>
        <w:tc>
          <w:tcPr>
            <w:tcW w:w="44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4"/>
                <w:szCs w:val="14"/>
                <w:color w:val="auto"/>
              </w:rPr>
            </w:pPr>
          </w:p>
        </w:tc>
        <w:tc>
          <w:tcPr>
            <w:tcW w:w="132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4"/>
              </w:rPr>
              <w:t>Monetized</w:t>
            </w:r>
          </w:p>
        </w:tc>
        <w:tc>
          <w:tcPr>
            <w:tcW w:w="14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0"/>
              </w:rPr>
              <w:t>Monetized as a</w:t>
            </w:r>
          </w:p>
        </w:tc>
        <w:tc>
          <w:tcPr>
            <w:tcW w:w="380" w:type="dxa"/>
            <w:vAlign w:val="bottom"/>
          </w:tcPr>
          <w:p>
            <w:pPr>
              <w:spacing w:after="0"/>
              <w:rPr>
                <w:sz w:val="14"/>
                <w:szCs w:val="14"/>
                <w:color w:val="auto"/>
              </w:rPr>
            </w:pPr>
          </w:p>
        </w:tc>
        <w:tc>
          <w:tcPr>
            <w:tcW w:w="920" w:type="dxa"/>
            <w:vAlign w:val="bottom"/>
            <w:vMerge w:val="restart"/>
          </w:tcPr>
          <w:p>
            <w:pPr>
              <w:jc w:val="right"/>
              <w:ind w:right="39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9"/>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color w:val="auto"/>
                <w:w w:val="98"/>
              </w:rPr>
              <w:t>Individually</w:t>
            </w:r>
          </w:p>
        </w:tc>
        <w:tc>
          <w:tcPr>
            <w:tcW w:w="1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Group</w:t>
            </w:r>
          </w:p>
        </w:tc>
        <w:tc>
          <w:tcPr>
            <w:tcW w:w="4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color w:val="auto"/>
                <w:w w:val="98"/>
              </w:rPr>
              <w:t>Individually</w:t>
            </w:r>
          </w:p>
        </w:tc>
        <w:tc>
          <w:tcPr>
            <w:tcW w:w="1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Group</w:t>
            </w:r>
          </w:p>
        </w:tc>
        <w:tc>
          <w:tcPr>
            <w:tcW w:w="3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5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color w:val="auto"/>
              </w:rPr>
              <w:t>Owned original program rights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62,229</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9,458</w:t>
            </w:r>
          </w:p>
        </w:tc>
        <w:tc>
          <w:tcPr>
            <w:tcW w:w="18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71,687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161,271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15,977</w:t>
            </w:r>
          </w:p>
        </w:tc>
        <w:tc>
          <w:tcPr>
            <w:tcW w:w="180" w:type="dxa"/>
            <w:vAlign w:val="bottom"/>
          </w:tcPr>
          <w:p>
            <w:pPr>
              <w:spacing w:after="0"/>
              <w:rPr>
                <w:sz w:val="18"/>
                <w:szCs w:val="18"/>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177,248</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Licensed program rights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19,910</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99,678</w:t>
            </w:r>
          </w:p>
        </w:tc>
        <w:tc>
          <w:tcPr>
            <w:tcW w:w="1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119,588</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41,262</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196,745</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238,007</w:t>
            </w:r>
          </w:p>
        </w:tc>
        <w:tc>
          <w:tcPr>
            <w:tcW w:w="0" w:type="dxa"/>
            <w:vAlign w:val="bottom"/>
          </w:tcPr>
          <w:p>
            <w:pPr>
              <w:spacing w:after="0"/>
              <w:rPr>
                <w:sz w:val="1"/>
                <w:szCs w:val="1"/>
                <w:color w:val="auto"/>
              </w:rPr>
            </w:pPr>
          </w:p>
        </w:tc>
      </w:tr>
      <w:tr>
        <w:trPr>
          <w:trHeight w:val="207"/>
        </w:trPr>
        <w:tc>
          <w:tcPr>
            <w:tcW w:w="2540" w:type="dxa"/>
            <w:vAlign w:val="bottom"/>
          </w:tcPr>
          <w:p>
            <w:pPr>
              <w:ind w:left="20"/>
              <w:spacing w:after="0"/>
              <w:rPr>
                <w:sz w:val="20"/>
                <w:szCs w:val="20"/>
                <w:color w:val="auto"/>
              </w:rPr>
            </w:pPr>
            <w:r>
              <w:rPr>
                <w:rFonts w:ascii="Arial" w:cs="Arial" w:eastAsia="Arial" w:hAnsi="Arial"/>
                <w:sz w:val="16"/>
                <w:szCs w:val="16"/>
                <w:color w:val="auto"/>
              </w:rPr>
              <w:t>Program rights amortization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82,139</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109,136</w:t>
            </w:r>
          </w:p>
        </w:tc>
        <w:tc>
          <w:tcPr>
            <w:tcW w:w="18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191,275</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202,533</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212,722</w:t>
            </w:r>
          </w:p>
        </w:tc>
        <w:tc>
          <w:tcPr>
            <w:tcW w:w="180" w:type="dxa"/>
            <w:vAlign w:val="bottom"/>
          </w:tcPr>
          <w:p>
            <w:pPr>
              <w:spacing w:after="0"/>
              <w:rPr>
                <w:sz w:val="17"/>
                <w:szCs w:val="17"/>
                <w:color w:val="auto"/>
              </w:rPr>
            </w:pP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415,255</w:t>
            </w: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7"/>
          <w:szCs w:val="17"/>
          <w:color w:val="auto"/>
        </w:rPr>
        <w:t>The Company periodically reviews the programming usefulness of its licensed and owned original program rights based on several factors, including expected future revenue generation from airings on the Company's networks and other exploitation opportunities, ratings, type and quality of program material, standards and practices, and fitness for exhibition through various forms of distribution. If it is determined that film or other program rights have limited, or no, future programming usefulness, the useful life is updated, which generally results in a write-off of the unamortized cost to technical and operating expense in the consolidated statements of income. There were no program rights write-offs included in technical and operating expense for the three and six months ended June 30, 2021. Program rights write-offs included in technical and operating expense were $7.9 million and $12.1 million for the three and six months ended June 30, 2020,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Investments</w:t>
      </w:r>
    </w:p>
    <w:p>
      <w:pPr>
        <w:spacing w:after="0" w:line="12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holds several investments and loans in non-consolidated entities which are included in Other assets in the condensed consolidated balance sheet. Equity method investments were $90.7 million at June 30, 2021 and $69.5 million at December 31, 2020. In February 2021, the Company invested $27.4 million for an interest in a Toronto-based production company and studio, which is accounted for as an equity method investment. In June 2021, the Company paid $23.8 million to acquire the remaining 50% interest in an equity method investment in which it previously owned a 50% interest. In connection with the acquisition, the Company recorded a gain of $12.3 million, included in miscellaneous, net in the condensed consolidated income statement related to the step-up to fair value of its previously held interest.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2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Company classifies publicly traded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miscellaneous, net in the condensed consolidated statement of income. Investments in marketable equity securities were $9.0 million at June 30, 2021 and $62.4 million at December 31, 2020. In January 2021, the Company sold the remaining portion of one of its marketable securities with a carrying value of $51.0 million as of December 31, 2020, resulting in a realized loss of $5.4 million. There were $2.4 million unrealized losses on marketable equity securities for the three and six months ended June 30, 2021 included in miscellaneous, net in the condensed consolidated statement of income. For the three and six months ended June 30, 2020, unrealized losses on marketable equity securities were $15.0 million and $14.0 million, respectively, included in miscellaneous, net in the condensed consolidated statement of income.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12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Company classifies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The Company applies this measurement alternative to its non-marketable equity securities. When an observable event occurs, the Company estimates the fair values of its non-marketable equity securities based on Level 2 inputs that are derived from observable price changes of similar securities adjusted for insignificant differences in rights and obligations. The changes in value are recorded in miscellaneous, net in the condensed consolidated statement of income.</w:t>
      </w:r>
    </w:p>
    <w:p>
      <w:pPr>
        <w:spacing w:after="0" w:line="6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Investments in non-marketable equity securities were $36.9 million at June 30, 2021 and $35.8 million at December 31, 2020. For the six months ended June 30, 2020, the Company recognized impairment charges of $20.0 million related to the write-down of certain non-marketable equity securities, included in miscellaneous, net in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and Other Intangible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 of goodwill, by operating segment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2220" w:type="dxa"/>
            <w:vAlign w:val="bottom"/>
            <w:gridSpan w:val="3"/>
            <w:vMerge w:val="restart"/>
          </w:tcPr>
          <w:p>
            <w:pPr>
              <w:ind w:left="560"/>
              <w:spacing w:after="0"/>
              <w:rPr>
                <w:sz w:val="20"/>
                <w:szCs w:val="20"/>
                <w:color w:val="auto"/>
              </w:rPr>
            </w:pPr>
            <w:r>
              <w:rPr>
                <w:rFonts w:ascii="Arial" w:cs="Arial" w:eastAsia="Arial" w:hAnsi="Arial"/>
                <w:sz w:val="16"/>
                <w:szCs w:val="16"/>
                <w:b w:val="1"/>
                <w:bCs w:val="1"/>
                <w:color w:val="auto"/>
              </w:rPr>
              <w:t>Domestic Operations</w:t>
            </w:r>
          </w:p>
        </w:tc>
        <w:tc>
          <w:tcPr>
            <w:tcW w:w="620" w:type="dxa"/>
            <w:vAlign w:val="bottom"/>
          </w:tcPr>
          <w:p>
            <w:pPr>
              <w:spacing w:after="0"/>
              <w:rPr>
                <w:sz w:val="16"/>
                <w:szCs w:val="16"/>
                <w:color w:val="auto"/>
              </w:rPr>
            </w:pPr>
          </w:p>
        </w:tc>
        <w:tc>
          <w:tcPr>
            <w:tcW w:w="1600" w:type="dxa"/>
            <w:vAlign w:val="bottom"/>
            <w:gridSpan w:val="2"/>
          </w:tcPr>
          <w:p>
            <w:pPr>
              <w:ind w:left="180"/>
              <w:spacing w:after="0"/>
              <w:rPr>
                <w:sz w:val="20"/>
                <w:szCs w:val="20"/>
                <w:color w:val="auto"/>
              </w:rPr>
            </w:pPr>
            <w:r>
              <w:rPr>
                <w:rFonts w:ascii="Arial" w:cs="Arial" w:eastAsia="Arial" w:hAnsi="Arial"/>
                <w:sz w:val="16"/>
                <w:szCs w:val="16"/>
                <w:b w:val="1"/>
                <w:bCs w:val="1"/>
                <w:color w:val="auto"/>
              </w:rPr>
              <w:t>International</w:t>
            </w:r>
          </w:p>
        </w:tc>
        <w:tc>
          <w:tcPr>
            <w:tcW w:w="820" w:type="dxa"/>
            <w:vAlign w:val="bottom"/>
          </w:tcPr>
          <w:p>
            <w:pPr>
              <w:spacing w:after="0"/>
              <w:rPr>
                <w:sz w:val="16"/>
                <w:szCs w:val="16"/>
                <w:color w:val="auto"/>
              </w:rPr>
            </w:pPr>
          </w:p>
        </w:tc>
        <w:tc>
          <w:tcPr>
            <w:tcW w:w="1280" w:type="dxa"/>
            <w:vAlign w:val="bottom"/>
            <w:vMerge w:val="restart"/>
          </w:tcPr>
          <w:p>
            <w:pPr>
              <w:jc w:val="right"/>
              <w:ind w:right="5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580" w:type="dxa"/>
            <w:vAlign w:val="bottom"/>
          </w:tcPr>
          <w:p>
            <w:pPr>
              <w:ind w:left="480"/>
              <w:spacing w:after="0"/>
              <w:rPr>
                <w:sz w:val="20"/>
                <w:szCs w:val="20"/>
                <w:color w:val="auto"/>
              </w:rPr>
            </w:pPr>
            <w:r>
              <w:rPr>
                <w:rFonts w:ascii="Arial" w:cs="Arial" w:eastAsia="Arial" w:hAnsi="Arial"/>
                <w:sz w:val="14"/>
                <w:szCs w:val="14"/>
                <w:b w:val="1"/>
                <w:bCs w:val="1"/>
                <w:color w:val="auto"/>
              </w:rPr>
              <w:t>(In thousands)</w:t>
            </w:r>
          </w:p>
        </w:tc>
        <w:tc>
          <w:tcPr>
            <w:tcW w:w="222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1600" w:type="dxa"/>
            <w:vAlign w:val="bottom"/>
            <w:gridSpan w:val="2"/>
          </w:tcPr>
          <w:p>
            <w:pPr>
              <w:ind w:left="80"/>
              <w:spacing w:after="0"/>
              <w:rPr>
                <w:sz w:val="20"/>
                <w:szCs w:val="20"/>
                <w:color w:val="auto"/>
              </w:rPr>
            </w:pPr>
            <w:r>
              <w:rPr>
                <w:rFonts w:ascii="Arial" w:cs="Arial" w:eastAsia="Arial" w:hAnsi="Arial"/>
                <w:sz w:val="16"/>
                <w:szCs w:val="16"/>
                <w:b w:val="1"/>
                <w:bCs w:val="1"/>
                <w:color w:val="auto"/>
              </w:rPr>
              <w:t>and Other</w:t>
            </w:r>
          </w:p>
        </w:tc>
        <w:tc>
          <w:tcPr>
            <w:tcW w:w="8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December 31, 2020</w:t>
            </w:r>
          </w:p>
        </w:tc>
        <w:tc>
          <w:tcPr>
            <w:tcW w:w="1000" w:type="dxa"/>
            <w:vAlign w:val="bottom"/>
            <w:tcBorders>
              <w:top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333,502</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352,905</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686,407</w:t>
            </w:r>
          </w:p>
        </w:tc>
        <w:tc>
          <w:tcPr>
            <w:tcW w:w="0" w:type="dxa"/>
            <w:vAlign w:val="bottom"/>
          </w:tcPr>
          <w:p>
            <w:pPr>
              <w:spacing w:after="0"/>
              <w:rPr>
                <w:sz w:val="1"/>
                <w:szCs w:val="1"/>
                <w:color w:val="auto"/>
              </w:rPr>
            </w:pPr>
          </w:p>
        </w:tc>
      </w:tr>
      <w:tr>
        <w:trPr>
          <w:trHeight w:val="176"/>
        </w:trPr>
        <w:tc>
          <w:tcPr>
            <w:tcW w:w="4580" w:type="dxa"/>
            <w:vAlign w:val="bottom"/>
          </w:tcPr>
          <w:p>
            <w:pPr>
              <w:ind w:left="480"/>
              <w:spacing w:after="0" w:line="176" w:lineRule="exact"/>
              <w:rPr>
                <w:sz w:val="20"/>
                <w:szCs w:val="20"/>
                <w:color w:val="auto"/>
              </w:rPr>
            </w:pPr>
            <w:r>
              <w:rPr>
                <w:rFonts w:ascii="Arial" w:cs="Arial" w:eastAsia="Arial" w:hAnsi="Arial"/>
                <w:sz w:val="18"/>
                <w:szCs w:val="18"/>
                <w:color w:val="auto"/>
              </w:rPr>
              <w:t>Goodwill written off related to spin-off of a business</w:t>
            </w:r>
          </w:p>
        </w:tc>
        <w:tc>
          <w:tcPr>
            <w:tcW w:w="100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unit</w:t>
            </w:r>
          </w:p>
        </w:tc>
        <w:tc>
          <w:tcPr>
            <w:tcW w:w="10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62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Additions</w:t>
            </w:r>
          </w:p>
        </w:tc>
        <w:tc>
          <w:tcPr>
            <w:tcW w:w="10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18,260</w:t>
            </w:r>
          </w:p>
        </w:tc>
        <w:tc>
          <w:tcPr>
            <w:tcW w:w="0" w:type="dxa"/>
            <w:vAlign w:val="bottom"/>
          </w:tcPr>
          <w:p>
            <w:pPr>
              <w:spacing w:after="0"/>
              <w:rPr>
                <w:sz w:val="1"/>
                <w:szCs w:val="1"/>
                <w:color w:val="auto"/>
              </w:rPr>
            </w:pPr>
          </w:p>
        </w:tc>
      </w:tr>
      <w:tr>
        <w:trPr>
          <w:trHeight w:val="230"/>
        </w:trPr>
        <w:tc>
          <w:tcPr>
            <w:tcW w:w="4580" w:type="dxa"/>
            <w:vAlign w:val="bottom"/>
          </w:tcPr>
          <w:p>
            <w:pPr>
              <w:ind w:left="480"/>
              <w:spacing w:after="0"/>
              <w:rPr>
                <w:sz w:val="20"/>
                <w:szCs w:val="20"/>
                <w:color w:val="auto"/>
              </w:rPr>
            </w:pPr>
            <w:r>
              <w:rPr>
                <w:rFonts w:ascii="Arial" w:cs="Arial" w:eastAsia="Arial" w:hAnsi="Arial"/>
                <w:sz w:val="18"/>
                <w:szCs w:val="18"/>
                <w:color w:val="auto"/>
              </w:rPr>
              <w:t>Amortization of "second component" goodwill</w:t>
            </w:r>
          </w:p>
        </w:tc>
        <w:tc>
          <w:tcPr>
            <w:tcW w:w="10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currency translation</w:t>
            </w:r>
          </w:p>
        </w:tc>
        <w:tc>
          <w:tcPr>
            <w:tcW w:w="10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23"/>
        </w:trPr>
        <w:tc>
          <w:tcPr>
            <w:tcW w:w="4580" w:type="dxa"/>
            <w:vAlign w:val="bottom"/>
          </w:tcPr>
          <w:p>
            <w:pPr>
              <w:ind w:left="480"/>
              <w:spacing w:after="0"/>
              <w:rPr>
                <w:sz w:val="20"/>
                <w:szCs w:val="20"/>
                <w:color w:val="auto"/>
              </w:rPr>
            </w:pPr>
            <w:r>
              <w:rPr>
                <w:rFonts w:ascii="Arial" w:cs="Arial" w:eastAsia="Arial" w:hAnsi="Arial"/>
                <w:sz w:val="18"/>
                <w:szCs w:val="18"/>
                <w:color w:val="auto"/>
              </w:rPr>
              <w:t>June 30, 2021</w:t>
            </w:r>
          </w:p>
        </w:tc>
        <w:tc>
          <w:tcPr>
            <w:tcW w:w="10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332,830</w:t>
            </w: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369,621</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702,451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June 30, 2021 and December 31, 2020, accumulated impairment charges in the International and Other segment totaled $123.1 million.</w:t>
      </w:r>
    </w:p>
    <w:p>
      <w:pPr>
        <w:spacing w:after="0" w:line="12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reduction of $0.7 million in the carrying amount of goodwill for Domestic Operations is due to the realization of a tax benefit for the amortization of "second component" goodwill at SundanceTV. Second component goodwill is the amount of tax deductible goodwill in excess of goodwill for financial reporting purposes. In accordance with the authoritative guidance at the time of the SundanceTV acquisition, the tax benefits associated with this excess are applied to first reduce the amount of goodwill, and then other intangible assets for financial reporting purposes, if and when such tax benefits are realized in the Company's tax returns.</w:t>
      </w:r>
    </w:p>
    <w:p>
      <w:pPr>
        <w:spacing w:after="0" w:line="8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addition of $18.3 million in the carrying amount of goodwill in International and Other relates to the acquisition of the remaining 50% interest in an equity method investment in which the Company previously owned a 50% interest. The allocation of goodwill is preliminary and is based on current estimates and currently available information, and is subject to revision based final allocations of the purchase price to the identifiable assets and liabilities acquired.</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information relating to the Company's identifiable intangible assets: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0"/>
              </w:rPr>
              <w:t>June 30, 2021</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380" w:type="dxa"/>
            <w:vAlign w:val="bottom"/>
          </w:tcPr>
          <w:p>
            <w:pPr>
              <w:spacing w:after="0"/>
              <w:rPr>
                <w:sz w:val="16"/>
                <w:szCs w:val="16"/>
                <w:color w:val="auto"/>
              </w:rPr>
            </w:pPr>
          </w:p>
        </w:tc>
        <w:tc>
          <w:tcPr>
            <w:tcW w:w="1140" w:type="dxa"/>
            <w:vAlign w:val="bottom"/>
            <w:vMerge w:val="restart"/>
          </w:tcPr>
          <w:p>
            <w:pPr>
              <w:jc w:val="right"/>
              <w:ind w:right="55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w w:val="95"/>
              </w:rPr>
              <w:t>Estimated Useful</w:t>
            </w:r>
          </w:p>
        </w:tc>
        <w:tc>
          <w:tcPr>
            <w:tcW w:w="0" w:type="dxa"/>
            <w:vAlign w:val="bottom"/>
          </w:tcPr>
          <w:p>
            <w:pPr>
              <w:spacing w:after="0"/>
              <w:rPr>
                <w:sz w:val="1"/>
                <w:szCs w:val="1"/>
                <w:color w:val="auto"/>
              </w:rPr>
            </w:pPr>
          </w:p>
        </w:tc>
      </w:tr>
      <w:tr>
        <w:trPr>
          <w:trHeight w:val="213"/>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Amortization</w:t>
            </w:r>
          </w:p>
        </w:tc>
        <w:tc>
          <w:tcPr>
            <w:tcW w:w="3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394"/>
              <w:spacing w:after="0"/>
              <w:rPr>
                <w:sz w:val="20"/>
                <w:szCs w:val="20"/>
                <w:color w:val="auto"/>
              </w:rPr>
            </w:pPr>
            <w:r>
              <w:rPr>
                <w:rFonts w:ascii="Arial" w:cs="Arial" w:eastAsia="Arial" w:hAnsi="Arial"/>
                <w:sz w:val="16"/>
                <w:szCs w:val="16"/>
                <w:b w:val="1"/>
                <w:bCs w:val="1"/>
                <w:color w:val="auto"/>
              </w:rPr>
              <w:t>Lives</w:t>
            </w:r>
          </w:p>
        </w:tc>
        <w:tc>
          <w:tcPr>
            <w:tcW w:w="0" w:type="dxa"/>
            <w:vAlign w:val="bottom"/>
          </w:tcPr>
          <w:p>
            <w:pPr>
              <w:spacing w:after="0"/>
              <w:rPr>
                <w:sz w:val="1"/>
                <w:szCs w:val="1"/>
                <w:color w:val="auto"/>
              </w:rPr>
            </w:pPr>
          </w:p>
        </w:tc>
      </w:tr>
      <w:tr>
        <w:trPr>
          <w:trHeight w:val="226"/>
        </w:trPr>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3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60"/>
              <w:spacing w:after="0"/>
              <w:rPr>
                <w:sz w:val="20"/>
                <w:szCs w:val="20"/>
                <w:color w:val="auto"/>
              </w:rPr>
            </w:pPr>
            <w:r>
              <w:rPr>
                <w:rFonts w:ascii="Arial" w:cs="Arial" w:eastAsia="Arial" w:hAnsi="Arial"/>
                <w:sz w:val="18"/>
                <w:szCs w:val="18"/>
                <w:color w:val="auto"/>
              </w:rPr>
              <w:t>Affiliate and customer relationships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622,517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(343,335)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279,182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 to 25 years</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Advertiser relationships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years</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Trade names and other amortizable intangible assets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119,856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(41,090)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78,766</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 to 20 years</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788,655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(412,557)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376,098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808,555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(412,557)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395,998</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1"/>
        </w:trPr>
        <w:tc>
          <w:tcPr>
            <w:tcW w:w="50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0"/>
              </w:rPr>
              <w:t>December 31, 2020</w:t>
            </w: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380" w:type="dxa"/>
            <w:vAlign w:val="bottom"/>
          </w:tcPr>
          <w:p>
            <w:pPr>
              <w:spacing w:after="0"/>
              <w:rPr>
                <w:sz w:val="16"/>
                <w:szCs w:val="16"/>
                <w:color w:val="auto"/>
              </w:rPr>
            </w:pPr>
          </w:p>
        </w:tc>
        <w:tc>
          <w:tcPr>
            <w:tcW w:w="1140" w:type="dxa"/>
            <w:vAlign w:val="bottom"/>
            <w:vMerge w:val="restart"/>
          </w:tcPr>
          <w:p>
            <w:pPr>
              <w:jc w:val="right"/>
              <w:ind w:right="55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Amortization</w:t>
            </w:r>
          </w:p>
        </w:tc>
        <w:tc>
          <w:tcPr>
            <w:tcW w:w="3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3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60"/>
              <w:spacing w:after="0"/>
              <w:rPr>
                <w:sz w:val="20"/>
                <w:szCs w:val="20"/>
                <w:color w:val="auto"/>
              </w:rPr>
            </w:pPr>
            <w:r>
              <w:rPr>
                <w:rFonts w:ascii="Arial" w:cs="Arial" w:eastAsia="Arial" w:hAnsi="Arial"/>
                <w:sz w:val="18"/>
                <w:szCs w:val="18"/>
                <w:color w:val="auto"/>
              </w:rPr>
              <w:t>Affiliate and customer relationships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624,699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(330,350)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294,349</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Advertiser relationships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Trade names and other amortizable intangible assets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76,169</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787,507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390,772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807,407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(396,735)</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410,672</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Aggregate amortization expense for amortizable intangible assets for the six months ended June 30, 2021 and 2020 was $18.9 million and $23.1 million, respectively. Estimated aggregate amortization expense for intangible assets subject to amortization for each of the following five years is: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38,970</w:t>
            </w:r>
          </w:p>
        </w:tc>
        <w:tc>
          <w:tcPr>
            <w:tcW w:w="20" w:type="dxa"/>
            <w:vAlign w:val="bottom"/>
            <w:shd w:val="clear" w:color="auto" w:fill="CCEEFF"/>
          </w:tcPr>
          <w:p>
            <w:pPr>
              <w:spacing w:after="0"/>
              <w:rPr>
                <w:sz w:val="19"/>
                <w:szCs w:val="19"/>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5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40,147</w:t>
            </w:r>
          </w:p>
        </w:tc>
        <w:tc>
          <w:tcPr>
            <w:tcW w:w="20" w:type="dxa"/>
            <w:vAlign w:val="bottom"/>
          </w:tcPr>
          <w:p>
            <w:pPr>
              <w:spacing w:after="0"/>
              <w:rPr>
                <w:sz w:val="19"/>
                <w:szCs w:val="19"/>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40,059</w:t>
            </w:r>
          </w:p>
        </w:tc>
        <w:tc>
          <w:tcPr>
            <w:tcW w:w="20" w:type="dxa"/>
            <w:vAlign w:val="bottom"/>
            <w:shd w:val="clear" w:color="auto" w:fill="CCEEFF"/>
          </w:tcPr>
          <w:p>
            <w:pPr>
              <w:spacing w:after="0"/>
              <w:rPr>
                <w:sz w:val="19"/>
                <w:szCs w:val="19"/>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5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39,990</w:t>
            </w:r>
          </w:p>
        </w:tc>
        <w:tc>
          <w:tcPr>
            <w:tcW w:w="20" w:type="dxa"/>
            <w:vAlign w:val="bottom"/>
          </w:tcPr>
          <w:p>
            <w:pPr>
              <w:spacing w:after="0"/>
              <w:rPr>
                <w:sz w:val="19"/>
                <w:szCs w:val="19"/>
                <w:color w:val="auto"/>
              </w:rPr>
            </w:pPr>
          </w:p>
        </w:tc>
      </w:tr>
      <w:tr>
        <w:trPr>
          <w:trHeight w:val="23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38,183</w:t>
            </w:r>
          </w:p>
        </w:tc>
        <w:tc>
          <w:tcPr>
            <w:tcW w:w="20" w:type="dxa"/>
            <w:vAlign w:val="bottom"/>
            <w:shd w:val="clear" w:color="auto" w:fill="CCEEFF"/>
          </w:tcPr>
          <w:p>
            <w:pPr>
              <w:spacing w:after="0"/>
              <w:rPr>
                <w:sz w:val="19"/>
                <w:szCs w:val="19"/>
                <w:color w:val="auto"/>
              </w:rPr>
            </w:pPr>
          </w:p>
        </w:tc>
      </w:tr>
      <w:tr>
        <w:trPr>
          <w:trHeight w:val="769"/>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Note 9. Accrued Liabilities</w:t>
            </w: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7300" w:type="dxa"/>
            <w:vAlign w:val="bottom"/>
            <w:gridSpan w:val="2"/>
          </w:tcPr>
          <w:p>
            <w:pPr>
              <w:ind w:left="440"/>
              <w:spacing w:after="0"/>
              <w:rPr>
                <w:sz w:val="20"/>
                <w:szCs w:val="20"/>
                <w:color w:val="auto"/>
              </w:rPr>
            </w:pPr>
            <w:r>
              <w:rPr>
                <w:rFonts w:ascii="Arial" w:cs="Arial" w:eastAsia="Arial" w:hAnsi="Arial"/>
                <w:sz w:val="18"/>
                <w:szCs w:val="18"/>
                <w:color w:val="auto"/>
              </w:rPr>
              <w:t>Accrued liabilities consist of the following:</w:t>
            </w: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8"/>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4"/>
                <w:szCs w:val="24"/>
                <w:color w:val="auto"/>
              </w:rPr>
            </w:pPr>
          </w:p>
        </w:tc>
        <w:tc>
          <w:tcPr>
            <w:tcW w:w="17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Pr>
          <w:p>
            <w:pPr>
              <w:spacing w:after="0"/>
              <w:rPr>
                <w:sz w:val="24"/>
                <w:szCs w:val="24"/>
                <w:color w:val="auto"/>
              </w:rPr>
            </w:pPr>
          </w:p>
        </w:tc>
        <w:tc>
          <w:tcPr>
            <w:tcW w:w="172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2020</w:t>
            </w: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7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Employee related costs</w:t>
            </w:r>
          </w:p>
        </w:tc>
        <w:tc>
          <w:tcPr>
            <w:tcW w:w="30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78,613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98,661</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Participations and residuals</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130,649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106,785</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Settlement Payment</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85,214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Total accrued liabilities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482,968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320,005</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With regard to the Settlement Payment, the Company has taken a charge of approximately $143 million in the quarter ended June 30, 2021 in consideration for the settlement of certain litigation (see Note 15, Commitments and Contingencies), which amount is net of approximately $57 million of ordinary course accrued participations, including amounts previously recorded in Other liabilities (long-term).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Long-term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long-term debt consists of the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Pr>
          <w:p>
            <w:pPr>
              <w:spacing w:after="0"/>
              <w:rPr>
                <w:sz w:val="18"/>
                <w:szCs w:val="18"/>
                <w:color w:val="auto"/>
              </w:rPr>
            </w:pPr>
          </w:p>
        </w:tc>
        <w:tc>
          <w:tcPr>
            <w:tcW w:w="1700" w:type="dxa"/>
            <w:vAlign w:val="bottom"/>
          </w:tcPr>
          <w:p>
            <w:pPr>
              <w:jc w:val="right"/>
              <w:ind w:right="211"/>
              <w:spacing w:after="0"/>
              <w:rPr>
                <w:sz w:val="20"/>
                <w:szCs w:val="20"/>
                <w:color w:val="auto"/>
              </w:rPr>
            </w:pPr>
            <w:r>
              <w:rPr>
                <w:rFonts w:ascii="Arial" w:cs="Arial" w:eastAsia="Arial" w:hAnsi="Arial"/>
                <w:sz w:val="16"/>
                <w:szCs w:val="16"/>
                <w:b w:val="1"/>
                <w:bCs w:val="1"/>
                <w:color w:val="auto"/>
                <w:w w:val="95"/>
              </w:rPr>
              <w:t>December 31, 2020</w:t>
            </w:r>
          </w:p>
        </w:tc>
      </w:tr>
      <w:tr>
        <w:trPr>
          <w:trHeight w:val="226"/>
        </w:trPr>
        <w:tc>
          <w:tcPr>
            <w:tcW w:w="7320" w:type="dxa"/>
            <w:vAlign w:val="bottom"/>
            <w:tcBorders>
              <w:top w:val="single" w:sz="8" w:color="auto"/>
            </w:tcBorders>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Senior Secured Credit Facility: </w:t>
            </w:r>
            <w:r>
              <w:rPr>
                <w:rFonts w:ascii="Arial" w:cs="Arial" w:eastAsia="Arial" w:hAnsi="Arial"/>
                <w:sz w:val="25"/>
                <w:szCs w:val="25"/>
                <w:color w:val="auto"/>
                <w:vertAlign w:val="superscript"/>
              </w:rPr>
              <w:t>(a)</w:t>
            </w:r>
          </w:p>
        </w:tc>
        <w:tc>
          <w:tcPr>
            <w:tcW w:w="30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r>
      <w:tr>
        <w:trPr>
          <w:trHeight w:val="230"/>
        </w:trPr>
        <w:tc>
          <w:tcPr>
            <w:tcW w:w="7320" w:type="dxa"/>
            <w:vAlign w:val="bottom"/>
          </w:tcPr>
          <w:p>
            <w:pPr>
              <w:ind w:left="360"/>
              <w:spacing w:after="0"/>
              <w:rPr>
                <w:sz w:val="20"/>
                <w:szCs w:val="20"/>
                <w:color w:val="auto"/>
              </w:rPr>
            </w:pPr>
            <w:r>
              <w:rPr>
                <w:rFonts w:ascii="Arial" w:cs="Arial" w:eastAsia="Arial" w:hAnsi="Arial"/>
                <w:sz w:val="18"/>
                <w:szCs w:val="18"/>
                <w:color w:val="auto"/>
              </w:rPr>
              <w:t>Term Loan A Facility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675,000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675,000</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30"/>
        </w:trPr>
        <w:tc>
          <w:tcPr>
            <w:tcW w:w="7320" w:type="dxa"/>
            <w:vAlign w:val="bottom"/>
          </w:tcPr>
          <w:p>
            <w:pPr>
              <w:ind w:left="360"/>
              <w:spacing w:after="0"/>
              <w:rPr>
                <w:sz w:val="20"/>
                <w:szCs w:val="20"/>
                <w:color w:val="auto"/>
              </w:rPr>
            </w:pPr>
            <w:r>
              <w:rPr>
                <w:rFonts w:ascii="Arial" w:cs="Arial" w:eastAsia="Arial" w:hAnsi="Arial"/>
                <w:sz w:val="18"/>
                <w:szCs w:val="18"/>
                <w:color w:val="auto"/>
              </w:rPr>
              <w:t>4.75% Notes due December 2022</w:t>
            </w:r>
          </w:p>
        </w:tc>
        <w:tc>
          <w:tcPr>
            <w:tcW w:w="30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5.00% Notes due April 2024</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30"/>
        </w:trPr>
        <w:tc>
          <w:tcPr>
            <w:tcW w:w="7320" w:type="dxa"/>
            <w:vAlign w:val="bottom"/>
          </w:tcPr>
          <w:p>
            <w:pPr>
              <w:ind w:left="360"/>
              <w:spacing w:after="0"/>
              <w:rPr>
                <w:sz w:val="20"/>
                <w:szCs w:val="20"/>
                <w:color w:val="auto"/>
              </w:rPr>
            </w:pPr>
            <w:r>
              <w:rPr>
                <w:rFonts w:ascii="Arial" w:cs="Arial" w:eastAsia="Arial" w:hAnsi="Arial"/>
                <w:sz w:val="18"/>
                <w:szCs w:val="18"/>
                <w:color w:val="auto"/>
              </w:rPr>
              <w:t>4.75% Notes due August 2025</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800,000</w:t>
            </w:r>
          </w:p>
        </w:tc>
      </w:tr>
      <w:tr>
        <w:trPr>
          <w:trHeight w:val="229"/>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4.25% Notes due February 2029</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2,875,000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2,875,000</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discount</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(18,337)</w:t>
            </w:r>
          </w:p>
        </w:tc>
      </w:tr>
      <w:tr>
        <w:trPr>
          <w:trHeight w:val="230"/>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deferred financing costs</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(7,356)</w:t>
            </w: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2,834,664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2,849,307</w:t>
            </w:r>
          </w:p>
        </w:tc>
      </w:tr>
      <w:tr>
        <w:trPr>
          <w:trHeight w:val="230"/>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portion of long-term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2,817,789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2,774,307</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right="80" w:hanging="409"/>
        <w:spacing w:after="0" w:line="277" w:lineRule="auto"/>
        <w:tabs>
          <w:tab w:leader="none" w:pos="65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$500 million revolving credit facility remains undrawn at June 30, 2021. Total undrawn revolver commitments are available to be drawn for general corporate purposes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On February 8, 2021, AMC Networks entered into Amendment No. 1 (“Amendment No. 1”) to the Second Amended and Restated Credit Agreement, dated as of July 28, 2017 (as amended by Amendment No. 1, the "Credit Agreement"), among AMC Networks and its subsidiary, AMC Network Entertainment LLC, as the Initial Borrowers, certain of AMC Networks' subsidiaries, as restricted subsidiaries, JPMorgan Chase Bank, N.A., as Administrative Agent, Collateral Agent and L/C Issuer, Bank of America, as an L/C Issuer, and the lenders party thereto. Amendment No. 1 extends the maturity dates of the $675 million term loan A facility and $500 million revolving credit facility under the Credit Agreement to February 8, 2026, and makes certain other amendments to the covenants and other provisions of the Credit Agreement.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February 8, 2021, AMC Networks issued, and certain of AMC Networks’ subsidiaries (hereinafter, the “Guarantors”) guaranteed, $1.0 billion aggregate principal amount of 4.25% senior notes due February 15, 2029 (the “4.25% Notes due 2029”) in a registered public offering and received net proceeds of $982.3 million, after deducting underwriting discounts and commissions and expenses. The Company used such proceeds to redeem (i) the remaining $400 million principal amount of the Company’s 4.75% senior notes due 2022 and (ii) $600 million principal amount of the Company’s 5.00% senior notes due 2024 on February 26, 2021 (the "Redemption Date"). The 4.75% senior notes due 2022 were redeemed at a redemption price of 100.000% of the principal amount of such notes and the 5.00% senior notes due 2024 were redeemed at a redemption price of 102.500% of the principal amount of such notes, in each case, plus accrued and unpaid interest to, but excluding, the Redemption Date. In connection with the redemptions, the Company incurred a loss on extinguishment of debt for the quarter ended March 31, 2021 of $22.1 million representing the redemption premium on the 5.00% senior notes due 2024, and the write-off of a portion of the unamortized discount and deferred financing costs related to both issuances.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Leases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leases included in the condensed consolidated balance sheets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580" w:type="dxa"/>
            <w:vAlign w:val="bottom"/>
            <w:gridSpan w:val="2"/>
          </w:tcPr>
          <w:p>
            <w:pPr>
              <w:ind w:left="740"/>
              <w:spacing w:after="0"/>
              <w:rPr>
                <w:sz w:val="20"/>
                <w:szCs w:val="20"/>
                <w:color w:val="auto"/>
              </w:rPr>
            </w:pPr>
            <w:r>
              <w:rPr>
                <w:rFonts w:ascii="Arial" w:cs="Arial" w:eastAsia="Arial" w:hAnsi="Arial"/>
                <w:sz w:val="16"/>
                <w:szCs w:val="16"/>
                <w:b w:val="1"/>
                <w:bCs w:val="1"/>
                <w:color w:val="auto"/>
              </w:rPr>
              <w:t>Balance Sheet Location</w:t>
            </w:r>
          </w:p>
        </w:tc>
        <w:tc>
          <w:tcPr>
            <w:tcW w:w="340" w:type="dxa"/>
            <w:vAlign w:val="bottom"/>
          </w:tcPr>
          <w:p>
            <w:pPr>
              <w:spacing w:after="0"/>
              <w:rPr>
                <w:sz w:val="18"/>
                <w:szCs w:val="18"/>
                <w:color w:val="auto"/>
              </w:rPr>
            </w:pPr>
          </w:p>
        </w:tc>
        <w:tc>
          <w:tcPr>
            <w:tcW w:w="186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 2021</w:t>
            </w:r>
          </w:p>
        </w:tc>
        <w:tc>
          <w:tcPr>
            <w:tcW w:w="240" w:type="dxa"/>
            <w:vAlign w:val="bottom"/>
          </w:tcPr>
          <w:p>
            <w:pPr>
              <w:spacing w:after="0"/>
              <w:rPr>
                <w:sz w:val="18"/>
                <w:szCs w:val="18"/>
                <w:color w:val="auto"/>
              </w:rPr>
            </w:pPr>
          </w:p>
        </w:tc>
        <w:tc>
          <w:tcPr>
            <w:tcW w:w="1860" w:type="dxa"/>
            <w:vAlign w:val="bottom"/>
          </w:tcPr>
          <w:p>
            <w:pPr>
              <w:jc w:val="right"/>
              <w:ind w:right="311"/>
              <w:spacing w:after="0"/>
              <w:rPr>
                <w:sz w:val="20"/>
                <w:szCs w:val="20"/>
                <w:color w:val="auto"/>
              </w:rPr>
            </w:pPr>
            <w:r>
              <w:rPr>
                <w:rFonts w:ascii="Arial" w:cs="Arial" w:eastAsia="Arial" w:hAnsi="Arial"/>
                <w:sz w:val="16"/>
                <w:szCs w:val="16"/>
                <w:b w:val="1"/>
                <w:bCs w:val="1"/>
                <w:color w:val="auto"/>
                <w:w w:val="99"/>
              </w:rPr>
              <w:t>December 31, 2020</w:t>
            </w:r>
          </w:p>
        </w:tc>
      </w:tr>
      <w:tr>
        <w:trPr>
          <w:trHeight w:val="186"/>
        </w:trPr>
        <w:tc>
          <w:tcPr>
            <w:tcW w:w="20" w:type="dxa"/>
            <w:vAlign w:val="bottom"/>
            <w:tcBorders>
              <w:top w:val="single" w:sz="8" w:color="auto"/>
            </w:tcBorders>
            <w:shd w:val="clear" w:color="auto" w:fill="CCEEFF"/>
          </w:tcPr>
          <w:p>
            <w:pPr>
              <w:spacing w:after="0"/>
              <w:rPr>
                <w:sz w:val="16"/>
                <w:szCs w:val="16"/>
                <w:color w:val="auto"/>
              </w:rPr>
            </w:pPr>
          </w:p>
        </w:tc>
        <w:tc>
          <w:tcPr>
            <w:tcW w:w="2340" w:type="dxa"/>
            <w:vAlign w:val="bottom"/>
            <w:tcBorders>
              <w:top w:val="single" w:sz="8" w:color="auto"/>
            </w:tcBorders>
            <w:gridSpan w:val="3"/>
            <w:shd w:val="clear" w:color="auto" w:fill="CCEEFF"/>
          </w:tcPr>
          <w:p>
            <w:pPr>
              <w:spacing w:after="0" w:line="186" w:lineRule="exact"/>
              <w:rPr>
                <w:sz w:val="20"/>
                <w:szCs w:val="20"/>
                <w:color w:val="auto"/>
              </w:rPr>
            </w:pPr>
            <w:r>
              <w:rPr>
                <w:rFonts w:ascii="Arial" w:cs="Arial" w:eastAsia="Arial" w:hAnsi="Arial"/>
                <w:sz w:val="18"/>
                <w:szCs w:val="18"/>
                <w:b w:val="1"/>
                <w:bCs w:val="1"/>
                <w:color w:val="auto"/>
              </w:rPr>
              <w:t>Assets</w:t>
            </w:r>
          </w:p>
        </w:tc>
        <w:tc>
          <w:tcPr>
            <w:tcW w:w="4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gridSpan w:val="3"/>
          </w:tcPr>
          <w:p>
            <w:pPr>
              <w:ind w:left="120"/>
              <w:spacing w:after="0"/>
              <w:rPr>
                <w:sz w:val="20"/>
                <w:szCs w:val="20"/>
                <w:color w:val="auto"/>
              </w:rPr>
            </w:pPr>
            <w:r>
              <w:rPr>
                <w:rFonts w:ascii="Arial" w:cs="Arial" w:eastAsia="Arial" w:hAnsi="Arial"/>
                <w:sz w:val="18"/>
                <w:szCs w:val="18"/>
                <w:color w:val="auto"/>
              </w:rPr>
              <w:t>Operating</w:t>
            </w:r>
          </w:p>
        </w:tc>
        <w:tc>
          <w:tcPr>
            <w:tcW w:w="4580" w:type="dxa"/>
            <w:vAlign w:val="bottom"/>
            <w:gridSpan w:val="2"/>
          </w:tcPr>
          <w:p>
            <w:pPr>
              <w:ind w:left="740"/>
              <w:spacing w:after="0"/>
              <w:rPr>
                <w:sz w:val="20"/>
                <w:szCs w:val="20"/>
                <w:color w:val="auto"/>
              </w:rPr>
            </w:pPr>
            <w:r>
              <w:rPr>
                <w:rFonts w:ascii="Arial" w:cs="Arial" w:eastAsia="Arial" w:hAnsi="Arial"/>
                <w:sz w:val="18"/>
                <w:szCs w:val="18"/>
                <w:color w:val="auto"/>
              </w:rPr>
              <w:t>Operating lease right-of-use asset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122,322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146,522</w:t>
            </w:r>
          </w:p>
        </w:tc>
      </w:tr>
      <w:tr>
        <w:trPr>
          <w:trHeight w:val="230"/>
        </w:trPr>
        <w:tc>
          <w:tcPr>
            <w:tcW w:w="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Finance</w:t>
            </w:r>
          </w:p>
        </w:tc>
        <w:tc>
          <w:tcPr>
            <w:tcW w:w="4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13,179</w:t>
            </w:r>
          </w:p>
        </w:tc>
      </w:tr>
      <w:tr>
        <w:trPr>
          <w:trHeight w:val="223"/>
        </w:trPr>
        <w:tc>
          <w:tcPr>
            <w:tcW w:w="20" w:type="dxa"/>
            <w:vAlign w:val="bottom"/>
          </w:tcPr>
          <w:p>
            <w:pPr>
              <w:spacing w:after="0"/>
              <w:rPr>
                <w:sz w:val="19"/>
                <w:szCs w:val="19"/>
                <w:color w:val="auto"/>
              </w:rPr>
            </w:pPr>
          </w:p>
        </w:tc>
        <w:tc>
          <w:tcPr>
            <w:tcW w:w="2340" w:type="dxa"/>
            <w:vAlign w:val="bottom"/>
            <w:gridSpan w:val="3"/>
          </w:tcPr>
          <w:p>
            <w:pPr>
              <w:ind w:left="120"/>
              <w:spacing w:after="0"/>
              <w:rPr>
                <w:sz w:val="20"/>
                <w:szCs w:val="20"/>
                <w:color w:val="auto"/>
              </w:rPr>
            </w:pPr>
            <w:r>
              <w:rPr>
                <w:rFonts w:ascii="Arial" w:cs="Arial" w:eastAsia="Arial" w:hAnsi="Arial"/>
                <w:sz w:val="18"/>
                <w:szCs w:val="18"/>
                <w:color w:val="auto"/>
              </w:rPr>
              <w:t>Total lease assets</w:t>
            </w:r>
          </w:p>
        </w:tc>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134,952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159,701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1"/>
              </w:rPr>
              <w:t>Liabilities</w:t>
            </w:r>
          </w:p>
        </w:tc>
        <w:tc>
          <w:tcPr>
            <w:tcW w:w="1560" w:type="dxa"/>
            <w:vAlign w:val="bottom"/>
            <w:tcBorders>
              <w:bottom w:val="single" w:sz="8" w:color="CCEEFF"/>
            </w:tcBorders>
            <w:shd w:val="clear" w:color="auto" w:fill="CCEEFF"/>
          </w:tcPr>
          <w:p>
            <w:pPr>
              <w:spacing w:after="0"/>
              <w:rPr>
                <w:sz w:val="15"/>
                <w:szCs w:val="15"/>
                <w:color w:val="auto"/>
              </w:rPr>
            </w:pPr>
          </w:p>
        </w:tc>
        <w:tc>
          <w:tcPr>
            <w:tcW w:w="4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2340" w:type="dxa"/>
            <w:vAlign w:val="bottom"/>
            <w:gridSpan w:val="3"/>
          </w:tcPr>
          <w:p>
            <w:pPr>
              <w:ind w:left="120"/>
              <w:spacing w:after="0"/>
              <w:rPr>
                <w:sz w:val="20"/>
                <w:szCs w:val="20"/>
                <w:color w:val="auto"/>
              </w:rPr>
            </w:pPr>
            <w:r>
              <w:rPr>
                <w:rFonts w:ascii="Arial" w:cs="Arial" w:eastAsia="Arial" w:hAnsi="Arial"/>
                <w:sz w:val="18"/>
                <w:szCs w:val="18"/>
                <w:color w:val="auto"/>
              </w:rPr>
              <w:t>Current:</w:t>
            </w:r>
          </w:p>
        </w:tc>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4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Current portion of lease obligations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28,813</w:t>
            </w:r>
          </w:p>
        </w:tc>
      </w:tr>
      <w:tr>
        <w:trPr>
          <w:trHeight w:val="230"/>
        </w:trPr>
        <w:tc>
          <w:tcPr>
            <w:tcW w:w="20" w:type="dxa"/>
            <w:vAlign w:val="bottom"/>
            <w:tcBorders>
              <w:bottom w:val="single" w:sz="8" w:color="CCEEFF"/>
            </w:tcBorders>
          </w:tcPr>
          <w:p>
            <w:pPr>
              <w:spacing w:after="0"/>
              <w:rPr>
                <w:sz w:val="19"/>
                <w:szCs w:val="19"/>
                <w:color w:val="auto"/>
              </w:rPr>
            </w:pPr>
          </w:p>
        </w:tc>
        <w:tc>
          <w:tcPr>
            <w:tcW w:w="234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Finance</w:t>
            </w:r>
          </w:p>
        </w:tc>
        <w:tc>
          <w:tcPr>
            <w:tcW w:w="4580" w:type="dxa"/>
            <w:vAlign w:val="bottom"/>
            <w:tcBorders>
              <w:bottom w:val="single" w:sz="8" w:color="CCEEFF"/>
            </w:tcBorders>
            <w:gridSpan w:val="2"/>
          </w:tcPr>
          <w:p>
            <w:pPr>
              <w:ind w:left="740"/>
              <w:spacing w:after="0"/>
              <w:rPr>
                <w:sz w:val="20"/>
                <w:szCs w:val="20"/>
                <w:color w:val="auto"/>
              </w:rPr>
            </w:pPr>
            <w:r>
              <w:rPr>
                <w:rFonts w:ascii="Arial" w:cs="Arial" w:eastAsia="Arial" w:hAnsi="Arial"/>
                <w:sz w:val="18"/>
                <w:szCs w:val="18"/>
                <w:color w:val="auto"/>
              </w:rPr>
              <w:t>Current portion of lease obligations</w:t>
            </w: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3,622</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32,435</w:t>
            </w:r>
          </w:p>
        </w:tc>
      </w:tr>
      <w:tr>
        <w:trPr>
          <w:trHeight w:val="210"/>
        </w:trPr>
        <w:tc>
          <w:tcPr>
            <w:tcW w:w="20" w:type="dxa"/>
            <w:vAlign w:val="bottom"/>
          </w:tcPr>
          <w:p>
            <w:pPr>
              <w:spacing w:after="0"/>
              <w:rPr>
                <w:sz w:val="18"/>
                <w:szCs w:val="18"/>
                <w:color w:val="auto"/>
              </w:rPr>
            </w:pPr>
          </w:p>
        </w:tc>
        <w:tc>
          <w:tcPr>
            <w:tcW w:w="2340" w:type="dxa"/>
            <w:vAlign w:val="bottom"/>
            <w:gridSpan w:val="3"/>
          </w:tcPr>
          <w:p>
            <w:pPr>
              <w:ind w:left="120"/>
              <w:spacing w:after="0"/>
              <w:rPr>
                <w:sz w:val="20"/>
                <w:szCs w:val="20"/>
                <w:color w:val="auto"/>
              </w:rPr>
            </w:pPr>
            <w:r>
              <w:rPr>
                <w:rFonts w:ascii="Arial" w:cs="Arial" w:eastAsia="Arial" w:hAnsi="Arial"/>
                <w:sz w:val="18"/>
                <w:szCs w:val="18"/>
                <w:color w:val="auto"/>
              </w:rPr>
              <w:t>Noncurrent:</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4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Lease obligations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166,452</w:t>
            </w:r>
          </w:p>
        </w:tc>
      </w:tr>
      <w:tr>
        <w:trPr>
          <w:trHeight w:val="229"/>
        </w:trPr>
        <w:tc>
          <w:tcPr>
            <w:tcW w:w="20" w:type="dxa"/>
            <w:vAlign w:val="bottom"/>
            <w:tcBorders>
              <w:bottom w:val="single" w:sz="8" w:color="CCEEFF"/>
            </w:tcBorders>
          </w:tcPr>
          <w:p>
            <w:pPr>
              <w:spacing w:after="0"/>
              <w:rPr>
                <w:sz w:val="19"/>
                <w:szCs w:val="19"/>
                <w:color w:val="auto"/>
              </w:rPr>
            </w:pPr>
          </w:p>
        </w:tc>
        <w:tc>
          <w:tcPr>
            <w:tcW w:w="234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Finance</w:t>
            </w:r>
          </w:p>
        </w:tc>
        <w:tc>
          <w:tcPr>
            <w:tcW w:w="4580" w:type="dxa"/>
            <w:vAlign w:val="bottom"/>
            <w:tcBorders>
              <w:bottom w:val="single" w:sz="8" w:color="CCEEFF"/>
            </w:tcBorders>
            <w:gridSpan w:val="2"/>
          </w:tcPr>
          <w:p>
            <w:pPr>
              <w:ind w:left="740"/>
              <w:spacing w:after="0"/>
              <w:rPr>
                <w:sz w:val="20"/>
                <w:szCs w:val="20"/>
                <w:color w:val="auto"/>
              </w:rPr>
            </w:pPr>
            <w:r>
              <w:rPr>
                <w:rFonts w:ascii="Arial" w:cs="Arial" w:eastAsia="Arial" w:hAnsi="Arial"/>
                <w:sz w:val="18"/>
                <w:szCs w:val="18"/>
                <w:color w:val="auto"/>
              </w:rPr>
              <w:t>Lease obligations</w:t>
            </w: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27,872</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194,324</w:t>
            </w:r>
          </w:p>
        </w:tc>
      </w:tr>
      <w:tr>
        <w:trPr>
          <w:trHeight w:val="34"/>
        </w:trPr>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 lease liabilities</w:t>
            </w:r>
          </w:p>
        </w:tc>
        <w:tc>
          <w:tcPr>
            <w:tcW w:w="4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226,759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7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 - Quoted prices for identical instruments in active markets.</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III - Instruments whose significant value drivers are unobservable.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for each of these hierarchy levels, the Company's financial assets and liabilities that are measured at fair value on a recurring basis at June 30, 2021 and December 31, 2020:</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I</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II</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Level III</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r>
      <w:tr>
        <w:trPr>
          <w:trHeight w:val="210"/>
        </w:trPr>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4320" w:type="dxa"/>
            <w:vAlign w:val="bottom"/>
            <w:tcBorders>
              <w:top w:val="single" w:sz="8" w:color="auto"/>
              <w:bottom w:val="single" w:sz="8" w:color="auto"/>
            </w:tcBorders>
            <w:shd w:val="clear" w:color="auto" w:fill="CCEEFF"/>
          </w:tcPr>
          <w:p>
            <w:pPr>
              <w:jc w:val="center"/>
              <w:ind w:right="719"/>
              <w:spacing w:after="0"/>
              <w:rPr>
                <w:sz w:val="20"/>
                <w:szCs w:val="20"/>
                <w:color w:val="auto"/>
              </w:rPr>
            </w:pPr>
            <w:r>
              <w:rPr>
                <w:rFonts w:ascii="Arial" w:cs="Arial" w:eastAsia="Arial" w:hAnsi="Arial"/>
                <w:sz w:val="16"/>
                <w:szCs w:val="16"/>
                <w:b w:val="1"/>
                <w:bCs w:val="1"/>
                <w:color w:val="auto"/>
                <w:w w:val="91"/>
              </w:rPr>
              <w:t>At June 30, 2021: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5100" w:type="dxa"/>
            <w:vAlign w:val="bottom"/>
            <w:gridSpan w:val="3"/>
          </w:tcPr>
          <w:p>
            <w:pPr>
              <w:spacing w:after="0" w:line="185" w:lineRule="exact"/>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140,037</w:t>
            </w:r>
          </w:p>
        </w:tc>
      </w:tr>
      <w:tr>
        <w:trPr>
          <w:trHeight w:val="229"/>
        </w:trPr>
        <w:tc>
          <w:tcPr>
            <w:tcW w:w="20" w:type="dxa"/>
            <w:vAlign w:val="bottom"/>
          </w:tcPr>
          <w:p>
            <w:pPr>
              <w:spacing w:after="0"/>
              <w:rPr>
                <w:sz w:val="19"/>
                <w:szCs w:val="19"/>
                <w:color w:val="auto"/>
              </w:rPr>
            </w:pPr>
          </w:p>
        </w:tc>
        <w:tc>
          <w:tcPr>
            <w:tcW w:w="5100" w:type="dxa"/>
            <w:vAlign w:val="bottom"/>
            <w:gridSpan w:val="3"/>
          </w:tcPr>
          <w:p>
            <w:pPr>
              <w:ind w:left="34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9,019</w:t>
            </w:r>
          </w:p>
        </w:tc>
      </w:tr>
      <w:tr>
        <w:trPr>
          <w:trHeight w:val="230"/>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derivatives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189"/>
        </w:trPr>
        <w:tc>
          <w:tcPr>
            <w:tcW w:w="20" w:type="dxa"/>
            <w:vAlign w:val="bottom"/>
          </w:tcPr>
          <w:p>
            <w:pPr>
              <w:spacing w:after="0"/>
              <w:rPr>
                <w:sz w:val="16"/>
                <w:szCs w:val="16"/>
                <w:color w:val="auto"/>
              </w:rPr>
            </w:pPr>
          </w:p>
        </w:tc>
        <w:tc>
          <w:tcPr>
            <w:tcW w:w="510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Interest rate swap contracts</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r>
      <w:tr>
        <w:trPr>
          <w:trHeight w:val="230"/>
        </w:trPr>
        <w:tc>
          <w:tcPr>
            <w:tcW w:w="20" w:type="dxa"/>
            <w:vAlign w:val="bottom"/>
          </w:tcPr>
          <w:p>
            <w:pPr>
              <w:spacing w:after="0"/>
              <w:rPr>
                <w:sz w:val="19"/>
                <w:szCs w:val="19"/>
                <w:color w:val="auto"/>
              </w:rPr>
            </w:pPr>
          </w:p>
        </w:tc>
        <w:tc>
          <w:tcPr>
            <w:tcW w:w="5100" w:type="dxa"/>
            <w:vAlign w:val="bottom"/>
            <w:gridSpan w:val="3"/>
          </w:tcPr>
          <w:p>
            <w:pPr>
              <w:ind w:left="340"/>
              <w:spacing w:after="0"/>
              <w:rPr>
                <w:sz w:val="20"/>
                <w:szCs w:val="20"/>
                <w:color w:val="auto"/>
              </w:rPr>
            </w:pPr>
            <w:r>
              <w:rPr>
                <w:rFonts w:ascii="Arial" w:cs="Arial" w:eastAsia="Arial" w:hAnsi="Arial"/>
                <w:sz w:val="18"/>
                <w:szCs w:val="18"/>
                <w:color w:val="auto"/>
              </w:rPr>
              <w:t>Foreign currency derivatives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2,948</w:t>
            </w:r>
          </w:p>
        </w:tc>
      </w:tr>
      <w:tr>
        <w:trPr>
          <w:trHeight w:val="270"/>
        </w:trPr>
        <w:tc>
          <w:tcPr>
            <w:tcW w:w="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tcPr>
          <w:p>
            <w:pPr>
              <w:jc w:val="center"/>
              <w:ind w:right="719"/>
              <w:spacing w:after="0"/>
              <w:rPr>
                <w:sz w:val="20"/>
                <w:szCs w:val="20"/>
                <w:color w:val="auto"/>
              </w:rPr>
            </w:pPr>
            <w:r>
              <w:rPr>
                <w:rFonts w:ascii="Arial" w:cs="Arial" w:eastAsia="Arial" w:hAnsi="Arial"/>
                <w:sz w:val="16"/>
                <w:szCs w:val="16"/>
                <w:b w:val="1"/>
                <w:bCs w:val="1"/>
                <w:color w:val="auto"/>
                <w:w w:val="91"/>
              </w:rPr>
              <w:t>At December 31, 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r>
      <w:tr>
        <w:trPr>
          <w:trHeight w:val="185"/>
        </w:trPr>
        <w:tc>
          <w:tcPr>
            <w:tcW w:w="20" w:type="dxa"/>
            <w:vAlign w:val="bottom"/>
            <w:shd w:val="clear" w:color="auto" w:fill="CCEEFF"/>
          </w:tcPr>
          <w:p>
            <w:pPr>
              <w:spacing w:after="0"/>
              <w:rPr>
                <w:sz w:val="16"/>
                <w:szCs w:val="16"/>
                <w:color w:val="auto"/>
              </w:rPr>
            </w:pPr>
          </w:p>
        </w:tc>
        <w:tc>
          <w:tcPr>
            <w:tcW w:w="5100" w:type="dxa"/>
            <w:vAlign w:val="bottom"/>
            <w:gridSpan w:val="3"/>
            <w:shd w:val="clear" w:color="auto" w:fill="CCEEFF"/>
          </w:tcPr>
          <w:p>
            <w:pPr>
              <w:spacing w:after="0" w:line="185"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3"/>
          </w:tcPr>
          <w:p>
            <w:pPr>
              <w:ind w:left="380"/>
              <w:spacing w:after="0"/>
              <w:rPr>
                <w:sz w:val="20"/>
                <w:szCs w:val="20"/>
                <w:color w:val="auto"/>
              </w:rPr>
            </w:pPr>
            <w:r>
              <w:rPr>
                <w:rFonts w:ascii="Arial" w:cs="Arial" w:eastAsia="Arial" w:hAnsi="Arial"/>
                <w:sz w:val="18"/>
                <w:szCs w:val="18"/>
                <w:color w:val="auto"/>
              </w:rPr>
              <w:t>Cash equivalents</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107,494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107,494</w:t>
            </w: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62,442</w:t>
            </w:r>
          </w:p>
        </w:tc>
      </w:tr>
      <w:tr>
        <w:trPr>
          <w:trHeight w:val="230"/>
        </w:trPr>
        <w:tc>
          <w:tcPr>
            <w:tcW w:w="20" w:type="dxa"/>
            <w:vAlign w:val="bottom"/>
          </w:tcPr>
          <w:p>
            <w:pPr>
              <w:spacing w:after="0"/>
              <w:rPr>
                <w:sz w:val="19"/>
                <w:szCs w:val="19"/>
                <w:color w:val="auto"/>
              </w:rPr>
            </w:pPr>
          </w:p>
        </w:tc>
        <w:tc>
          <w:tcPr>
            <w:tcW w:w="5100" w:type="dxa"/>
            <w:vAlign w:val="bottom"/>
            <w:gridSpan w:val="3"/>
          </w:tcPr>
          <w:p>
            <w:pPr>
              <w:ind w:left="380"/>
              <w:spacing w:after="0"/>
              <w:rPr>
                <w:sz w:val="20"/>
                <w:szCs w:val="20"/>
                <w:color w:val="auto"/>
              </w:rPr>
            </w:pPr>
            <w:r>
              <w:rPr>
                <w:rFonts w:ascii="Arial" w:cs="Arial" w:eastAsia="Arial" w:hAnsi="Arial"/>
                <w:sz w:val="18"/>
                <w:szCs w:val="18"/>
                <w:color w:val="auto"/>
              </w:rPr>
              <w:t>Foreign currency derivatives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1"/>
              </w:rPr>
              <w:t>Liabilities</w:t>
            </w:r>
          </w:p>
        </w:tc>
        <w:tc>
          <w:tcPr>
            <w:tcW w:w="4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100" w:type="dxa"/>
            <w:vAlign w:val="bottom"/>
            <w:gridSpan w:val="3"/>
          </w:tcPr>
          <w:p>
            <w:pPr>
              <w:ind w:left="340"/>
              <w:spacing w:after="0"/>
              <w:rPr>
                <w:sz w:val="20"/>
                <w:szCs w:val="20"/>
                <w:color w:val="auto"/>
              </w:rPr>
            </w:pPr>
            <w:r>
              <w:rPr>
                <w:rFonts w:ascii="Arial" w:cs="Arial" w:eastAsia="Arial" w:hAnsi="Arial"/>
                <w:sz w:val="18"/>
                <w:szCs w:val="18"/>
                <w:color w:val="auto"/>
              </w:rPr>
              <w:t>Interest rate swap contracts</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2,403</w:t>
            </w:r>
          </w:p>
        </w:tc>
        <w:tc>
          <w:tcPr>
            <w:tcW w:w="100" w:type="dxa"/>
            <w:vAlign w:val="bottom"/>
          </w:tcPr>
          <w:p>
            <w:pPr>
              <w:spacing w:after="0"/>
              <w:rPr>
                <w:sz w:val="19"/>
                <w:szCs w:val="19"/>
                <w:color w:val="auto"/>
              </w:rPr>
            </w:pP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2,403</w:t>
            </w:r>
          </w:p>
        </w:tc>
      </w:tr>
      <w:tr>
        <w:trPr>
          <w:trHeight w:val="230"/>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derivatives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w:t>
            </w:r>
          </w:p>
        </w:tc>
      </w:tr>
    </w:tbl>
    <w:p>
      <w:pPr>
        <w:spacing w:after="0" w:line="18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Company's cash equivalents and marketable securities are classified within Level I of the fair value hierarchy because they are valued using quoted market prices.</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Company's interest rate swap contracts and foreign currency derivatives are classified within Level II of the fair value hierarchy as their fair values are determined based on a market approach valuation technique that uses readily observable market parameters and the consideration of counterparty risk.</w:t>
      </w:r>
    </w:p>
    <w:p>
      <w:pPr>
        <w:spacing w:after="0" w:line="7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At June 30, 2021 and December 31, 2020, the Company did not have any assets or liabilities measured at fair value on a recurring basis that would be considered Level III.</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Fair value measurements are also used in nonrecurring valuations performed in connection with acquisition accounting and impairment testing. These nonrecurring valuations primarily include the valuation of intangible assets and property and equipment. All of our nonrecurring valuations use significant unobservable inputs and therefore fall under Level III of the fair value hierarchy.</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Facility Debt and Senior Notes</w:t>
      </w:r>
    </w:p>
    <w:p>
      <w:pPr>
        <w:spacing w:after="0" w:line="117"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carrying values and estimated fair values of the Company's financial instruments, excluding those that are carried at fair value in the condensed consolidated balance sheets, are summarized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June 30, 2021</w:t>
            </w:r>
          </w:p>
        </w:tc>
        <w:tc>
          <w:tcPr>
            <w:tcW w:w="14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ind w:left="260"/>
              <w:spacing w:after="0"/>
              <w:rPr>
                <w:sz w:val="20"/>
                <w:szCs w:val="20"/>
                <w:color w:val="auto"/>
              </w:rPr>
            </w:pPr>
            <w:r>
              <w:rPr>
                <w:rFonts w:ascii="Arial" w:cs="Arial" w:eastAsia="Arial" w:hAnsi="Arial"/>
                <w:sz w:val="16"/>
                <w:szCs w:val="16"/>
                <w:b w:val="1"/>
                <w:bCs w:val="1"/>
                <w:color w:val="auto"/>
              </w:rPr>
              <w:t>Carrying</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0" w:type="dxa"/>
            <w:vAlign w:val="bottom"/>
          </w:tcPr>
          <w:p>
            <w:pPr>
              <w:ind w:left="100"/>
              <w:spacing w:after="0"/>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3"/>
          </w:tcPr>
          <w:p>
            <w:pPr>
              <w:ind w:left="280"/>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ind w:left="8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18"/>
                <w:szCs w:val="18"/>
                <w:color w:val="auto"/>
              </w:rPr>
            </w:pPr>
          </w:p>
        </w:tc>
      </w:tr>
      <w:tr>
        <w:trPr>
          <w:trHeight w:val="206"/>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gridSpan w:val="2"/>
            <w:shd w:val="clear" w:color="auto" w:fill="CCEEFF"/>
          </w:tcPr>
          <w:p>
            <w:pPr>
              <w:spacing w:after="0" w:line="185" w:lineRule="exact"/>
              <w:rPr>
                <w:sz w:val="20"/>
                <w:szCs w:val="20"/>
                <w:color w:val="auto"/>
              </w:rPr>
            </w:pPr>
            <w:r>
              <w:rPr>
                <w:rFonts w:ascii="Arial" w:cs="Arial" w:eastAsia="Arial" w:hAnsi="Arial"/>
                <w:sz w:val="18"/>
                <w:szCs w:val="18"/>
                <w:color w:val="auto"/>
                <w:w w:val="90"/>
              </w:rPr>
              <w:t>Debt instruments:</w:t>
            </w:r>
          </w:p>
        </w:tc>
        <w:tc>
          <w:tcPr>
            <w:tcW w:w="600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CCEEFF"/>
            </w:tcBorders>
            <w:shd w:val="clear" w:color="auto" w:fill="CCEEFF"/>
          </w:tcPr>
          <w:p>
            <w:pPr>
              <w:spacing w:after="0"/>
              <w:rPr>
                <w:sz w:val="17"/>
                <w:szCs w:val="17"/>
                <w:color w:val="auto"/>
              </w:rPr>
            </w:pPr>
          </w:p>
        </w:tc>
        <w:tc>
          <w:tcPr>
            <w:tcW w:w="140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7300" w:type="dxa"/>
            <w:vAlign w:val="bottom"/>
            <w:gridSpan w:val="3"/>
          </w:tcPr>
          <w:p>
            <w:pPr>
              <w:ind w:left="340"/>
              <w:spacing w:after="0"/>
              <w:rPr>
                <w:sz w:val="20"/>
                <w:szCs w:val="20"/>
                <w:color w:val="auto"/>
              </w:rPr>
            </w:pPr>
            <w:r>
              <w:rPr>
                <w:rFonts w:ascii="Arial" w:cs="Arial" w:eastAsia="Arial" w:hAnsi="Arial"/>
                <w:sz w:val="18"/>
                <w:szCs w:val="18"/>
                <w:color w:val="auto"/>
              </w:rPr>
              <w:t>Term loan A facility</w:t>
            </w: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663,245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2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669,938</w:t>
            </w:r>
          </w:p>
        </w:tc>
        <w:tc>
          <w:tcPr>
            <w:tcW w:w="20" w:type="dxa"/>
            <w:vAlign w:val="bottom"/>
          </w:tcPr>
          <w:p>
            <w:pPr>
              <w:spacing w:after="0"/>
              <w:rPr>
                <w:sz w:val="19"/>
                <w:szCs w:val="19"/>
                <w:color w:val="auto"/>
              </w:rPr>
            </w:pPr>
          </w:p>
        </w:tc>
      </w:tr>
      <w:tr>
        <w:trPr>
          <w:trHeight w:val="230"/>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5.00%</w:t>
            </w: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April 2024</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404,500</w:t>
            </w:r>
          </w:p>
        </w:tc>
        <w:tc>
          <w:tcPr>
            <w:tcW w:w="20" w:type="dxa"/>
            <w:vAlign w:val="bottom"/>
          </w:tcPr>
          <w:p>
            <w:pPr>
              <w:spacing w:after="0"/>
              <w:rPr>
                <w:sz w:val="19"/>
                <w:szCs w:val="19"/>
                <w:color w:val="auto"/>
              </w:rPr>
            </w:pPr>
          </w:p>
        </w:tc>
      </w:tr>
      <w:tr>
        <w:trPr>
          <w:trHeight w:val="229"/>
        </w:trPr>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4.75%</w:t>
            </w: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Notes due August 2025</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791,097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821,000</w:t>
            </w:r>
          </w:p>
        </w:tc>
        <w:tc>
          <w:tcPr>
            <w:tcW w:w="20" w:type="dxa"/>
            <w:vAlign w:val="bottom"/>
          </w:tcPr>
          <w:p>
            <w:pPr>
              <w:spacing w:after="0"/>
              <w:rPr>
                <w:sz w:val="19"/>
                <w:szCs w:val="19"/>
                <w:color w:val="auto"/>
              </w:rPr>
            </w:pPr>
          </w:p>
        </w:tc>
      </w:tr>
      <w:tr>
        <w:trPr>
          <w:trHeight w:val="229"/>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4.25%</w:t>
            </w: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February 2029</w:t>
            </w: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983,112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1,006,250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2,834,664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2,901,688</w:t>
            </w:r>
          </w:p>
        </w:tc>
        <w:tc>
          <w:tcPr>
            <w:tcW w:w="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6"/>
          </w:tcPr>
          <w:p>
            <w:pPr>
              <w:jc w:val="right"/>
              <w:ind w:right="1173"/>
              <w:spacing w:after="0"/>
              <w:rPr>
                <w:sz w:val="20"/>
                <w:szCs w:val="20"/>
                <w:color w:val="auto"/>
              </w:rPr>
            </w:pPr>
            <w:r>
              <w:rPr>
                <w:rFonts w:ascii="Arial" w:cs="Arial" w:eastAsia="Arial" w:hAnsi="Arial"/>
                <w:sz w:val="16"/>
                <w:szCs w:val="16"/>
                <w:b w:val="1"/>
                <w:bCs w:val="1"/>
                <w:color w:val="auto"/>
              </w:rPr>
              <w:t>December 31, 2020</w:t>
            </w:r>
          </w:p>
        </w:tc>
        <w:tc>
          <w:tcPr>
            <w:tcW w:w="20" w:type="dxa"/>
            <w:vAlign w:val="bottom"/>
            <w:tcBorders>
              <w:bottom w:val="single" w:sz="8" w:color="auto"/>
            </w:tcBorders>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ind w:left="280"/>
              <w:spacing w:after="0"/>
              <w:rPr>
                <w:sz w:val="20"/>
                <w:szCs w:val="20"/>
                <w:color w:val="auto"/>
              </w:rPr>
            </w:pPr>
            <w:r>
              <w:rPr>
                <w:rFonts w:ascii="Arial" w:cs="Arial" w:eastAsia="Arial" w:hAnsi="Arial"/>
                <w:sz w:val="16"/>
                <w:szCs w:val="16"/>
                <w:b w:val="1"/>
                <w:bCs w:val="1"/>
                <w:color w:val="auto"/>
              </w:rPr>
              <w:t>Carrying</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0" w:type="dxa"/>
            <w:vAlign w:val="bottom"/>
          </w:tcPr>
          <w:p>
            <w:pPr>
              <w:jc w:val="right"/>
              <w:ind w:right="493"/>
              <w:spacing w:after="0"/>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3"/>
          </w:tcPr>
          <w:p>
            <w:pPr>
              <w:ind w:left="320"/>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ind w:left="12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18"/>
                <w:szCs w:val="18"/>
                <w:color w:val="auto"/>
              </w:rPr>
            </w:pPr>
          </w:p>
        </w:tc>
      </w:tr>
      <w:tr>
        <w:trPr>
          <w:trHeight w:val="206"/>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gridSpan w:val="2"/>
            <w:shd w:val="clear" w:color="auto" w:fill="CCEEFF"/>
          </w:tcPr>
          <w:p>
            <w:pPr>
              <w:spacing w:after="0" w:line="185" w:lineRule="exact"/>
              <w:rPr>
                <w:sz w:val="20"/>
                <w:szCs w:val="20"/>
                <w:color w:val="auto"/>
              </w:rPr>
            </w:pPr>
            <w:r>
              <w:rPr>
                <w:rFonts w:ascii="Arial" w:cs="Arial" w:eastAsia="Arial" w:hAnsi="Arial"/>
                <w:sz w:val="18"/>
                <w:szCs w:val="18"/>
                <w:color w:val="auto"/>
                <w:w w:val="90"/>
              </w:rPr>
              <w:t>Debt instruments:</w:t>
            </w:r>
          </w:p>
        </w:tc>
        <w:tc>
          <w:tcPr>
            <w:tcW w:w="600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CCEEFF"/>
            </w:tcBorders>
            <w:shd w:val="clear" w:color="auto" w:fill="CCEEFF"/>
          </w:tcPr>
          <w:p>
            <w:pPr>
              <w:spacing w:after="0"/>
              <w:rPr>
                <w:sz w:val="17"/>
                <w:szCs w:val="17"/>
                <w:color w:val="auto"/>
              </w:rPr>
            </w:pPr>
          </w:p>
        </w:tc>
        <w:tc>
          <w:tcPr>
            <w:tcW w:w="140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7300" w:type="dxa"/>
            <w:vAlign w:val="bottom"/>
            <w:gridSpan w:val="3"/>
          </w:tcPr>
          <w:p>
            <w:pPr>
              <w:ind w:left="340"/>
              <w:spacing w:after="0"/>
              <w:rPr>
                <w:sz w:val="20"/>
                <w:szCs w:val="20"/>
                <w:color w:val="auto"/>
              </w:rPr>
            </w:pPr>
            <w:r>
              <w:rPr>
                <w:rFonts w:ascii="Arial" w:cs="Arial" w:eastAsia="Arial" w:hAnsi="Arial"/>
                <w:sz w:val="18"/>
                <w:szCs w:val="18"/>
                <w:color w:val="auto"/>
              </w:rPr>
              <w:t>Term loan A facility</w:t>
            </w:r>
          </w:p>
        </w:tc>
        <w:tc>
          <w:tcPr>
            <w:tcW w:w="3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669,878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665,719</w:t>
            </w:r>
          </w:p>
        </w:tc>
        <w:tc>
          <w:tcPr>
            <w:tcW w:w="20" w:type="dxa"/>
            <w:vAlign w:val="bottom"/>
          </w:tcPr>
          <w:p>
            <w:pPr>
              <w:spacing w:after="0"/>
              <w:rPr>
                <w:sz w:val="19"/>
                <w:szCs w:val="19"/>
                <w:color w:val="auto"/>
              </w:rPr>
            </w:pPr>
          </w:p>
        </w:tc>
      </w:tr>
      <w:tr>
        <w:trPr>
          <w:trHeight w:val="230"/>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4.75%</w:t>
            </w: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December 2022</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400,500</w:t>
            </w:r>
          </w:p>
        </w:tc>
        <w:tc>
          <w:tcPr>
            <w:tcW w:w="20" w:type="dxa"/>
            <w:vAlign w:val="bottom"/>
            <w:shd w:val="clear" w:color="auto" w:fill="CCEEFF"/>
          </w:tcPr>
          <w:p>
            <w:pPr>
              <w:spacing w:after="0"/>
              <w:rPr>
                <w:sz w:val="19"/>
                <w:szCs w:val="19"/>
                <w:color w:val="auto"/>
              </w:rPr>
            </w:pPr>
          </w:p>
        </w:tc>
      </w:tr>
      <w:tr>
        <w:trPr>
          <w:trHeight w:val="229"/>
        </w:trPr>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5.00%</w:t>
            </w: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Notes due April 2024</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991,074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1,015,000</w:t>
            </w:r>
          </w:p>
        </w:tc>
        <w:tc>
          <w:tcPr>
            <w:tcW w:w="20" w:type="dxa"/>
            <w:vAlign w:val="bottom"/>
          </w:tcPr>
          <w:p>
            <w:pPr>
              <w:spacing w:after="0"/>
              <w:rPr>
                <w:sz w:val="19"/>
                <w:szCs w:val="19"/>
                <w:color w:val="auto"/>
              </w:rPr>
            </w:pPr>
          </w:p>
        </w:tc>
      </w:tr>
      <w:tr>
        <w:trPr>
          <w:trHeight w:val="229"/>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4.75%</w:t>
            </w: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August 2025</w:t>
            </w:r>
          </w:p>
        </w:tc>
        <w:tc>
          <w:tcPr>
            <w:tcW w:w="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790,125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826,160</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2,849,307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2,907,379</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manage interest rate risk, the Company enters into interest rate swap contracts to adjust the amount of total debt that is subject to variable interest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10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June 30, 2021, the Company had interest rate swap contracts outstanding with notional amounts aggregating $100.0 million that are designated as hedging instruments. The Company's outstanding interest rate swap contracts mature in December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our or our subsidiaries' respective functional currencies (non-functional currency risk), such as affiliation agreements, programming contracts, certain accounts payable and trade receivables (including intercompany amounts) that are denominated in a currency other than the applicable functional currency.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financial instruments included in the condensed consolidated balance sheets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4180" w:type="dxa"/>
            <w:vAlign w:val="bottom"/>
            <w:gridSpan w:val="2"/>
          </w:tcPr>
          <w:p>
            <w:pPr>
              <w:ind w:left="1660"/>
              <w:spacing w:after="0"/>
              <w:rPr>
                <w:sz w:val="20"/>
                <w:szCs w:val="20"/>
                <w:color w:val="auto"/>
              </w:rPr>
            </w:pPr>
            <w:r>
              <w:rPr>
                <w:rFonts w:ascii="Arial" w:cs="Arial" w:eastAsia="Arial" w:hAnsi="Arial"/>
                <w:sz w:val="16"/>
                <w:szCs w:val="16"/>
                <w:b w:val="1"/>
                <w:bCs w:val="1"/>
                <w:color w:val="auto"/>
              </w:rPr>
              <w:t>Balance Sheet</w:t>
            </w:r>
          </w:p>
        </w:tc>
        <w:tc>
          <w:tcPr>
            <w:tcW w:w="140" w:type="dxa"/>
            <w:vAlign w:val="bottom"/>
          </w:tcPr>
          <w:p>
            <w:pPr>
              <w:spacing w:after="0"/>
              <w:rPr>
                <w:sz w:val="16"/>
                <w:szCs w:val="16"/>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June 30, 2021</w:t>
            </w:r>
          </w:p>
        </w:tc>
        <w:tc>
          <w:tcPr>
            <w:tcW w:w="14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2"/>
              </w:rPr>
              <w:t>December 31, 2020</w:t>
            </w:r>
          </w:p>
        </w:tc>
        <w:tc>
          <w:tcPr>
            <w:tcW w:w="0" w:type="dxa"/>
            <w:vAlign w:val="bottom"/>
          </w:tcPr>
          <w:p>
            <w:pPr>
              <w:spacing w:after="0"/>
              <w:rPr>
                <w:sz w:val="1"/>
                <w:szCs w:val="1"/>
                <w:color w:val="auto"/>
              </w:rPr>
            </w:pPr>
          </w:p>
        </w:tc>
      </w:tr>
      <w:tr>
        <w:trPr>
          <w:trHeight w:val="213"/>
        </w:trPr>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180" w:type="dxa"/>
            <w:vAlign w:val="bottom"/>
            <w:gridSpan w:val="2"/>
          </w:tcPr>
          <w:p>
            <w:pPr>
              <w:ind w:left="1860"/>
              <w:spacing w:after="0"/>
              <w:rPr>
                <w:sz w:val="20"/>
                <w:szCs w:val="20"/>
                <w:color w:val="auto"/>
              </w:rPr>
            </w:pPr>
            <w:r>
              <w:rPr>
                <w:rFonts w:ascii="Arial" w:cs="Arial" w:eastAsia="Arial" w:hAnsi="Arial"/>
                <w:sz w:val="16"/>
                <w:szCs w:val="16"/>
                <w:b w:val="1"/>
                <w:bCs w:val="1"/>
                <w:color w:val="auto"/>
              </w:rPr>
              <w:t>Location</w:t>
            </w: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4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4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w w:val="94"/>
              </w:rPr>
              <w:t>Derivatives not designated as hedging instruments:</w:t>
            </w: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Foreign currency derivatives</w:t>
            </w:r>
          </w:p>
        </w:tc>
        <w:tc>
          <w:tcPr>
            <w:tcW w:w="4180" w:type="dxa"/>
            <w:vAlign w:val="bottom"/>
            <w:gridSpan w:val="2"/>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4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4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Foreign currency derivatives</w:t>
            </w:r>
          </w:p>
        </w:tc>
        <w:tc>
          <w:tcPr>
            <w:tcW w:w="4180" w:type="dxa"/>
            <w:vAlign w:val="bottom"/>
            <w:gridSpan w:val="2"/>
          </w:tcPr>
          <w:p>
            <w:pPr>
              <w:ind w:left="28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amounts of gains and losses related to the Company's derivative financial instruments designated as hedging instruments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4"/>
            <w:vMerge w:val="restart"/>
          </w:tcPr>
          <w:p>
            <w:pPr>
              <w:jc w:val="center"/>
              <w:ind w:right="235"/>
              <w:spacing w:after="0"/>
              <w:rPr>
                <w:sz w:val="20"/>
                <w:szCs w:val="20"/>
                <w:color w:val="auto"/>
              </w:rPr>
            </w:pPr>
            <w:r>
              <w:rPr>
                <w:rFonts w:ascii="Arial" w:cs="Arial" w:eastAsia="Arial" w:hAnsi="Arial"/>
                <w:sz w:val="16"/>
                <w:szCs w:val="16"/>
                <w:b w:val="1"/>
                <w:bCs w:val="1"/>
                <w:color w:val="auto"/>
                <w:w w:val="90"/>
              </w:rPr>
              <w:t>Gain or (Loss) on Derivatives</w:t>
            </w:r>
          </w:p>
        </w:tc>
        <w:tc>
          <w:tcPr>
            <w:tcW w:w="120" w:type="dxa"/>
            <w:vAlign w:val="bottom"/>
          </w:tcPr>
          <w:p>
            <w:pPr>
              <w:spacing w:after="0"/>
              <w:rPr>
                <w:sz w:val="16"/>
                <w:szCs w:val="16"/>
                <w:color w:val="auto"/>
              </w:rPr>
            </w:pPr>
          </w:p>
        </w:tc>
        <w:tc>
          <w:tcPr>
            <w:tcW w:w="20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Location of Gain or</w:t>
            </w:r>
          </w:p>
        </w:tc>
        <w:tc>
          <w:tcPr>
            <w:tcW w:w="340" w:type="dxa"/>
            <w:vAlign w:val="bottom"/>
          </w:tcPr>
          <w:p>
            <w:pPr>
              <w:spacing w:after="0"/>
              <w:rPr>
                <w:sz w:val="16"/>
                <w:szCs w:val="16"/>
                <w:color w:val="auto"/>
              </w:rPr>
            </w:pPr>
          </w:p>
        </w:tc>
        <w:tc>
          <w:tcPr>
            <w:tcW w:w="2880" w:type="dxa"/>
            <w:vAlign w:val="bottom"/>
            <w:gridSpan w:val="4"/>
          </w:tcPr>
          <w:p>
            <w:pPr>
              <w:jc w:val="right"/>
              <w:ind w:right="615"/>
              <w:spacing w:after="0"/>
              <w:rPr>
                <w:sz w:val="20"/>
                <w:szCs w:val="20"/>
                <w:color w:val="auto"/>
              </w:rPr>
            </w:pPr>
            <w:r>
              <w:rPr>
                <w:rFonts w:ascii="Arial" w:cs="Arial" w:eastAsia="Arial" w:hAnsi="Arial"/>
                <w:sz w:val="16"/>
                <w:szCs w:val="16"/>
                <w:b w:val="1"/>
                <w:bCs w:val="1"/>
                <w:color w:val="auto"/>
              </w:rPr>
              <w:t>Gain or (Loss) Reclassified</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4"/>
          </w:tcPr>
          <w:p>
            <w:pPr>
              <w:jc w:val="center"/>
              <w:ind w:right="235"/>
              <w:spacing w:after="0" w:line="162" w:lineRule="exact"/>
              <w:rPr>
                <w:sz w:val="20"/>
                <w:szCs w:val="20"/>
                <w:color w:val="auto"/>
              </w:rPr>
            </w:pPr>
            <w:r>
              <w:rPr>
                <w:rFonts w:ascii="Arial" w:cs="Arial" w:eastAsia="Arial" w:hAnsi="Arial"/>
                <w:sz w:val="16"/>
                <w:szCs w:val="16"/>
                <w:b w:val="1"/>
                <w:bCs w:val="1"/>
                <w:color w:val="auto"/>
                <w:w w:val="94"/>
              </w:rPr>
              <w:t>from Accumulated OCI</w:t>
            </w:r>
          </w:p>
        </w:tc>
        <w:tc>
          <w:tcPr>
            <w:tcW w:w="0" w:type="dxa"/>
            <w:vAlign w:val="bottom"/>
          </w:tcPr>
          <w:p>
            <w:pPr>
              <w:spacing w:after="0"/>
              <w:rPr>
                <w:sz w:val="1"/>
                <w:szCs w:val="1"/>
                <w:color w:val="auto"/>
              </w:rPr>
            </w:pPr>
          </w:p>
        </w:tc>
      </w:tr>
      <w:tr>
        <w:trPr>
          <w:trHeight w:val="213"/>
        </w:trPr>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4"/>
          </w:tcPr>
          <w:p>
            <w:pPr>
              <w:jc w:val="center"/>
              <w:ind w:right="195"/>
              <w:spacing w:after="0"/>
              <w:rPr>
                <w:sz w:val="20"/>
                <w:szCs w:val="20"/>
                <w:color w:val="auto"/>
              </w:rPr>
            </w:pPr>
            <w:r>
              <w:rPr>
                <w:rFonts w:ascii="Arial" w:cs="Arial" w:eastAsia="Arial" w:hAnsi="Arial"/>
                <w:sz w:val="16"/>
                <w:szCs w:val="16"/>
                <w:b w:val="1"/>
                <w:bCs w:val="1"/>
                <w:color w:val="auto"/>
                <w:w w:val="91"/>
              </w:rPr>
              <w:t>Recognized in OCI</w:t>
            </w:r>
          </w:p>
        </w:tc>
        <w:tc>
          <w:tcPr>
            <w:tcW w:w="120" w:type="dxa"/>
            <w:vAlign w:val="bottom"/>
          </w:tcPr>
          <w:p>
            <w:pPr>
              <w:spacing w:after="0"/>
              <w:rPr>
                <w:sz w:val="18"/>
                <w:szCs w:val="18"/>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(Loss) in Earnings</w:t>
            </w:r>
          </w:p>
        </w:tc>
        <w:tc>
          <w:tcPr>
            <w:tcW w:w="340" w:type="dxa"/>
            <w:vAlign w:val="bottom"/>
          </w:tcPr>
          <w:p>
            <w:pPr>
              <w:spacing w:after="0"/>
              <w:rPr>
                <w:sz w:val="18"/>
                <w:szCs w:val="18"/>
                <w:color w:val="auto"/>
              </w:rPr>
            </w:pPr>
          </w:p>
        </w:tc>
        <w:tc>
          <w:tcPr>
            <w:tcW w:w="1860" w:type="dxa"/>
            <w:vAlign w:val="bottom"/>
            <w:gridSpan w:val="3"/>
          </w:tcPr>
          <w:p>
            <w:pPr>
              <w:jc w:val="center"/>
              <w:ind w:left="638"/>
              <w:spacing w:after="0"/>
              <w:rPr>
                <w:sz w:val="20"/>
                <w:szCs w:val="20"/>
                <w:color w:val="auto"/>
              </w:rPr>
            </w:pPr>
            <w:r>
              <w:rPr>
                <w:rFonts w:ascii="Arial" w:cs="Arial" w:eastAsia="Arial" w:hAnsi="Arial"/>
                <w:sz w:val="16"/>
                <w:szCs w:val="16"/>
                <w:b w:val="1"/>
                <w:bCs w:val="1"/>
                <w:color w:val="auto"/>
                <w:w w:val="91"/>
              </w:rPr>
              <w:t>into Earnings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2860" w:type="dxa"/>
            <w:vAlign w:val="bottom"/>
            <w:tcBorders>
              <w:top w:val="single" w:sz="8" w:color="auto"/>
              <w:bottom w:val="single" w:sz="8" w:color="auto"/>
            </w:tcBorders>
            <w:gridSpan w:val="4"/>
          </w:tcPr>
          <w:p>
            <w:pPr>
              <w:jc w:val="center"/>
              <w:ind w:right="235"/>
              <w:spacing w:after="0"/>
              <w:rPr>
                <w:sz w:val="20"/>
                <w:szCs w:val="20"/>
                <w:color w:val="auto"/>
              </w:rPr>
            </w:pPr>
            <w:r>
              <w:rPr>
                <w:rFonts w:ascii="Arial" w:cs="Arial" w:eastAsia="Arial" w:hAnsi="Arial"/>
                <w:sz w:val="16"/>
                <w:szCs w:val="16"/>
                <w:b w:val="1"/>
                <w:bCs w:val="1"/>
                <w:color w:val="auto"/>
                <w:w w:val="92"/>
              </w:rPr>
              <w:t>Three Months Ended June 30,</w:t>
            </w:r>
          </w:p>
        </w:tc>
        <w:tc>
          <w:tcPr>
            <w:tcW w:w="120" w:type="dxa"/>
            <w:vAlign w:val="bottom"/>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2880" w:type="dxa"/>
            <w:vAlign w:val="bottom"/>
            <w:tcBorders>
              <w:top w:val="single" w:sz="8" w:color="auto"/>
              <w:bottom w:val="single" w:sz="8" w:color="auto"/>
            </w:tcBorders>
            <w:gridSpan w:val="4"/>
          </w:tcPr>
          <w:p>
            <w:pPr>
              <w:jc w:val="center"/>
              <w:ind w:right="255"/>
              <w:spacing w:after="0"/>
              <w:rPr>
                <w:sz w:val="20"/>
                <w:szCs w:val="20"/>
                <w:color w:val="auto"/>
              </w:rPr>
            </w:pPr>
            <w:r>
              <w:rPr>
                <w:rFonts w:ascii="Arial" w:cs="Arial" w:eastAsia="Arial" w:hAnsi="Arial"/>
                <w:sz w:val="16"/>
                <w:szCs w:val="16"/>
                <w:b w:val="1"/>
                <w:bCs w:val="1"/>
                <w:color w:val="auto"/>
                <w:w w:val="92"/>
              </w:rPr>
              <w:t>Three Months Ended June 30,</w:t>
            </w:r>
          </w:p>
        </w:tc>
        <w:tc>
          <w:tcPr>
            <w:tcW w:w="0" w:type="dxa"/>
            <w:vAlign w:val="bottom"/>
          </w:tcPr>
          <w:p>
            <w:pPr>
              <w:spacing w:after="0"/>
              <w:rPr>
                <w:sz w:val="1"/>
                <w:szCs w:val="1"/>
                <w:color w:val="auto"/>
              </w:rPr>
            </w:pPr>
          </w:p>
        </w:tc>
      </w:tr>
      <w:tr>
        <w:trPr>
          <w:trHeight w:val="236"/>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9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72"/>
        </w:trPr>
        <w:tc>
          <w:tcPr>
            <w:tcW w:w="270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b w:val="1"/>
                <w:bCs w:val="1"/>
                <w:color w:val="auto"/>
                <w:w w:val="95"/>
              </w:rPr>
              <w:t>Derivatives in cash flow hedging</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relationships: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Interest expense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2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gridSpan w:val="4"/>
            <w:vMerge w:val="restart"/>
          </w:tcPr>
          <w:p>
            <w:pPr>
              <w:jc w:val="center"/>
              <w:ind w:right="235"/>
              <w:spacing w:after="0"/>
              <w:rPr>
                <w:sz w:val="20"/>
                <w:szCs w:val="20"/>
                <w:color w:val="auto"/>
              </w:rPr>
            </w:pPr>
            <w:r>
              <w:rPr>
                <w:rFonts w:ascii="Arial" w:cs="Arial" w:eastAsia="Arial" w:hAnsi="Arial"/>
                <w:sz w:val="16"/>
                <w:szCs w:val="16"/>
                <w:b w:val="1"/>
                <w:bCs w:val="1"/>
                <w:color w:val="auto"/>
                <w:w w:val="90"/>
              </w:rPr>
              <w:t>Gain or (Loss) on Derivatives</w:t>
            </w:r>
          </w:p>
        </w:tc>
        <w:tc>
          <w:tcPr>
            <w:tcW w:w="120" w:type="dxa"/>
            <w:vAlign w:val="bottom"/>
          </w:tcPr>
          <w:p>
            <w:pPr>
              <w:spacing w:after="0"/>
              <w:rPr>
                <w:sz w:val="24"/>
                <w:szCs w:val="24"/>
                <w:color w:val="auto"/>
              </w:rPr>
            </w:pPr>
          </w:p>
        </w:tc>
        <w:tc>
          <w:tcPr>
            <w:tcW w:w="20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Location of Gain or</w:t>
            </w:r>
          </w:p>
        </w:tc>
        <w:tc>
          <w:tcPr>
            <w:tcW w:w="340" w:type="dxa"/>
            <w:vAlign w:val="bottom"/>
          </w:tcPr>
          <w:p>
            <w:pPr>
              <w:spacing w:after="0"/>
              <w:rPr>
                <w:sz w:val="24"/>
                <w:szCs w:val="24"/>
                <w:color w:val="auto"/>
              </w:rPr>
            </w:pPr>
          </w:p>
        </w:tc>
        <w:tc>
          <w:tcPr>
            <w:tcW w:w="2880" w:type="dxa"/>
            <w:vAlign w:val="bottom"/>
            <w:gridSpan w:val="4"/>
          </w:tcPr>
          <w:p>
            <w:pPr>
              <w:jc w:val="center"/>
              <w:ind w:right="295"/>
              <w:spacing w:after="0"/>
              <w:rPr>
                <w:sz w:val="20"/>
                <w:szCs w:val="20"/>
                <w:color w:val="auto"/>
              </w:rPr>
            </w:pPr>
            <w:r>
              <w:rPr>
                <w:rFonts w:ascii="Arial" w:cs="Arial" w:eastAsia="Arial" w:hAnsi="Arial"/>
                <w:sz w:val="16"/>
                <w:szCs w:val="16"/>
                <w:b w:val="1"/>
                <w:bCs w:val="1"/>
                <w:color w:val="auto"/>
                <w:w w:val="90"/>
              </w:rPr>
              <w:t>Gain or (Loss) Reclassified</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4"/>
          </w:tcPr>
          <w:p>
            <w:pPr>
              <w:jc w:val="center"/>
              <w:ind w:right="235"/>
              <w:spacing w:after="0" w:line="162" w:lineRule="exact"/>
              <w:rPr>
                <w:sz w:val="20"/>
                <w:szCs w:val="20"/>
                <w:color w:val="auto"/>
              </w:rPr>
            </w:pPr>
            <w:r>
              <w:rPr>
                <w:rFonts w:ascii="Arial" w:cs="Arial" w:eastAsia="Arial" w:hAnsi="Arial"/>
                <w:sz w:val="16"/>
                <w:szCs w:val="16"/>
                <w:b w:val="1"/>
                <w:bCs w:val="1"/>
                <w:color w:val="auto"/>
                <w:w w:val="94"/>
              </w:rPr>
              <w:t>from Accumulated OCI</w:t>
            </w:r>
          </w:p>
        </w:tc>
        <w:tc>
          <w:tcPr>
            <w:tcW w:w="0" w:type="dxa"/>
            <w:vAlign w:val="bottom"/>
          </w:tcPr>
          <w:p>
            <w:pPr>
              <w:spacing w:after="0"/>
              <w:rPr>
                <w:sz w:val="1"/>
                <w:szCs w:val="1"/>
                <w:color w:val="auto"/>
              </w:rPr>
            </w:pPr>
          </w:p>
        </w:tc>
      </w:tr>
      <w:tr>
        <w:trPr>
          <w:trHeight w:val="213"/>
        </w:trPr>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4"/>
          </w:tcPr>
          <w:p>
            <w:pPr>
              <w:jc w:val="center"/>
              <w:ind w:right="195"/>
              <w:spacing w:after="0"/>
              <w:rPr>
                <w:sz w:val="20"/>
                <w:szCs w:val="20"/>
                <w:color w:val="auto"/>
              </w:rPr>
            </w:pPr>
            <w:r>
              <w:rPr>
                <w:rFonts w:ascii="Arial" w:cs="Arial" w:eastAsia="Arial" w:hAnsi="Arial"/>
                <w:sz w:val="16"/>
                <w:szCs w:val="16"/>
                <w:b w:val="1"/>
                <w:bCs w:val="1"/>
                <w:color w:val="auto"/>
                <w:w w:val="91"/>
              </w:rPr>
              <w:t>Recognized in OCI</w:t>
            </w:r>
          </w:p>
        </w:tc>
        <w:tc>
          <w:tcPr>
            <w:tcW w:w="120" w:type="dxa"/>
            <w:vAlign w:val="bottom"/>
          </w:tcPr>
          <w:p>
            <w:pPr>
              <w:spacing w:after="0"/>
              <w:rPr>
                <w:sz w:val="18"/>
                <w:szCs w:val="18"/>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(Loss) in Earnings</w:t>
            </w:r>
          </w:p>
        </w:tc>
        <w:tc>
          <w:tcPr>
            <w:tcW w:w="340" w:type="dxa"/>
            <w:vAlign w:val="bottom"/>
          </w:tcPr>
          <w:p>
            <w:pPr>
              <w:spacing w:after="0"/>
              <w:rPr>
                <w:sz w:val="18"/>
                <w:szCs w:val="18"/>
                <w:color w:val="auto"/>
              </w:rPr>
            </w:pPr>
          </w:p>
        </w:tc>
        <w:tc>
          <w:tcPr>
            <w:tcW w:w="1860" w:type="dxa"/>
            <w:vAlign w:val="bottom"/>
            <w:gridSpan w:val="3"/>
          </w:tcPr>
          <w:p>
            <w:pPr>
              <w:jc w:val="center"/>
              <w:ind w:left="638"/>
              <w:spacing w:after="0"/>
              <w:rPr>
                <w:sz w:val="20"/>
                <w:szCs w:val="20"/>
                <w:color w:val="auto"/>
              </w:rPr>
            </w:pPr>
            <w:r>
              <w:rPr>
                <w:rFonts w:ascii="Arial" w:cs="Arial" w:eastAsia="Arial" w:hAnsi="Arial"/>
                <w:sz w:val="16"/>
                <w:szCs w:val="16"/>
                <w:b w:val="1"/>
                <w:bCs w:val="1"/>
                <w:color w:val="auto"/>
                <w:w w:val="91"/>
              </w:rPr>
              <w:t>into Earnings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2860" w:type="dxa"/>
            <w:vAlign w:val="bottom"/>
            <w:tcBorders>
              <w:top w:val="single" w:sz="8" w:color="auto"/>
              <w:bottom w:val="single" w:sz="8" w:color="auto"/>
            </w:tcBorders>
            <w:gridSpan w:val="4"/>
          </w:tcPr>
          <w:p>
            <w:pPr>
              <w:jc w:val="center"/>
              <w:ind w:right="235"/>
              <w:spacing w:after="0"/>
              <w:rPr>
                <w:sz w:val="20"/>
                <w:szCs w:val="20"/>
                <w:color w:val="auto"/>
              </w:rPr>
            </w:pPr>
            <w:r>
              <w:rPr>
                <w:rFonts w:ascii="Arial" w:cs="Arial" w:eastAsia="Arial" w:hAnsi="Arial"/>
                <w:sz w:val="16"/>
                <w:szCs w:val="16"/>
                <w:b w:val="1"/>
                <w:bCs w:val="1"/>
                <w:color w:val="auto"/>
                <w:w w:val="91"/>
              </w:rPr>
              <w:t>Six Months Ended June 30,</w:t>
            </w:r>
          </w:p>
        </w:tc>
        <w:tc>
          <w:tcPr>
            <w:tcW w:w="120" w:type="dxa"/>
            <w:vAlign w:val="bottom"/>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2880" w:type="dxa"/>
            <w:vAlign w:val="bottom"/>
            <w:tcBorders>
              <w:top w:val="single" w:sz="8" w:color="auto"/>
              <w:bottom w:val="single" w:sz="8" w:color="auto"/>
            </w:tcBorders>
            <w:gridSpan w:val="4"/>
          </w:tcPr>
          <w:p>
            <w:pPr>
              <w:jc w:val="center"/>
              <w:ind w:right="255"/>
              <w:spacing w:after="0"/>
              <w:rPr>
                <w:sz w:val="20"/>
                <w:szCs w:val="20"/>
                <w:color w:val="auto"/>
              </w:rPr>
            </w:pPr>
            <w:r>
              <w:rPr>
                <w:rFonts w:ascii="Arial" w:cs="Arial" w:eastAsia="Arial" w:hAnsi="Arial"/>
                <w:sz w:val="16"/>
                <w:szCs w:val="16"/>
                <w:b w:val="1"/>
                <w:bCs w:val="1"/>
                <w:color w:val="auto"/>
                <w:w w:val="91"/>
              </w:rPr>
              <w:t>Six Months Ended June 30,</w:t>
            </w:r>
          </w:p>
        </w:tc>
        <w:tc>
          <w:tcPr>
            <w:tcW w:w="0" w:type="dxa"/>
            <w:vAlign w:val="bottom"/>
          </w:tcPr>
          <w:p>
            <w:pPr>
              <w:spacing w:after="0"/>
              <w:rPr>
                <w:sz w:val="1"/>
                <w:szCs w:val="1"/>
                <w:color w:val="auto"/>
              </w:rPr>
            </w:pPr>
          </w:p>
        </w:tc>
      </w:tr>
      <w:tr>
        <w:trPr>
          <w:trHeight w:val="237"/>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9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72"/>
        </w:trPr>
        <w:tc>
          <w:tcPr>
            <w:tcW w:w="270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b w:val="1"/>
                <w:bCs w:val="1"/>
                <w:color w:val="auto"/>
                <w:w w:val="95"/>
              </w:rPr>
              <w:t>Derivatives in cash flow hedging</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relationships: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20" w:type="dxa"/>
            <w:vAlign w:val="bottom"/>
          </w:tcPr>
          <w:p>
            <w:pPr>
              <w:spacing w:after="0"/>
              <w:rPr>
                <w:sz w:val="19"/>
                <w:szCs w:val="19"/>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Interest expense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amounts of gains and losses related to the Company's derivative financial instruments not designated as hedging instruments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20" w:type="dxa"/>
            <w:vAlign w:val="bottom"/>
          </w:tcPr>
          <w:p>
            <w:pPr>
              <w:spacing w:after="0"/>
              <w:rPr>
                <w:sz w:val="16"/>
                <w:szCs w:val="16"/>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Location of Gain or (Loss) Recognized in Earnings</w:t>
            </w:r>
          </w:p>
        </w:tc>
        <w:tc>
          <w:tcPr>
            <w:tcW w:w="220" w:type="dxa"/>
            <w:vAlign w:val="bottom"/>
          </w:tcPr>
          <w:p>
            <w:pPr>
              <w:spacing w:after="0"/>
              <w:rPr>
                <w:sz w:val="16"/>
                <w:szCs w:val="16"/>
                <w:color w:val="auto"/>
              </w:rPr>
            </w:pPr>
          </w:p>
        </w:tc>
        <w:tc>
          <w:tcPr>
            <w:tcW w:w="5340" w:type="dxa"/>
            <w:vAlign w:val="bottom"/>
            <w:gridSpan w:val="10"/>
            <w:vMerge w:val="restart"/>
          </w:tcPr>
          <w:p>
            <w:pPr>
              <w:jc w:val="right"/>
              <w:ind w:right="455"/>
              <w:spacing w:after="0"/>
              <w:rPr>
                <w:sz w:val="20"/>
                <w:szCs w:val="20"/>
                <w:color w:val="auto"/>
              </w:rPr>
            </w:pPr>
            <w:r>
              <w:rPr>
                <w:rFonts w:ascii="Arial" w:cs="Arial" w:eastAsia="Arial" w:hAnsi="Arial"/>
                <w:sz w:val="16"/>
                <w:szCs w:val="16"/>
                <w:b w:val="1"/>
                <w:bCs w:val="1"/>
                <w:color w:val="auto"/>
                <w:w w:val="97"/>
              </w:rPr>
              <w:t>Amount of Gain or (Loss) Recognized in Earnings on Derivatives</w:t>
            </w: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on Derivatives</w:t>
            </w:r>
          </w:p>
        </w:tc>
        <w:tc>
          <w:tcPr>
            <w:tcW w:w="220" w:type="dxa"/>
            <w:vAlign w:val="bottom"/>
          </w:tcPr>
          <w:p>
            <w:pPr>
              <w:spacing w:after="0"/>
              <w:rPr>
                <w:sz w:val="18"/>
                <w:szCs w:val="18"/>
                <w:color w:val="auto"/>
              </w:rPr>
            </w:pPr>
          </w:p>
        </w:tc>
        <w:tc>
          <w:tcPr>
            <w:tcW w:w="5340" w:type="dxa"/>
            <w:vAlign w:val="bottom"/>
            <w:gridSpan w:val="10"/>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920" w:type="dxa"/>
            <w:vAlign w:val="bottom"/>
          </w:tcPr>
          <w:p>
            <w:pPr>
              <w:spacing w:after="0"/>
              <w:rPr>
                <w:sz w:val="24"/>
                <w:szCs w:val="24"/>
                <w:color w:val="auto"/>
              </w:rPr>
            </w:pPr>
          </w:p>
        </w:tc>
        <w:tc>
          <w:tcPr>
            <w:tcW w:w="3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20" w:type="dxa"/>
            <w:vAlign w:val="bottom"/>
            <w:tcBorders>
              <w:top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Borders>
              <w:top w:val="single" w:sz="8" w:color="auto"/>
            </w:tcBorders>
          </w:tcPr>
          <w:p>
            <w:pPr>
              <w:spacing w:after="0"/>
              <w:rPr>
                <w:sz w:val="24"/>
                <w:szCs w:val="24"/>
                <w:color w:val="auto"/>
              </w:rPr>
            </w:pPr>
          </w:p>
        </w:tc>
        <w:tc>
          <w:tcPr>
            <w:tcW w:w="2460" w:type="dxa"/>
            <w:vAlign w:val="bottom"/>
            <w:tcBorders>
              <w:top w:val="single" w:sz="8" w:color="auto"/>
            </w:tcBorders>
            <w:gridSpan w:val="4"/>
          </w:tcPr>
          <w:p>
            <w:pPr>
              <w:jc w:val="right"/>
              <w:ind w:right="335"/>
              <w:spacing w:after="0"/>
              <w:rPr>
                <w:sz w:val="20"/>
                <w:szCs w:val="20"/>
                <w:color w:val="auto"/>
              </w:rPr>
            </w:pPr>
            <w:r>
              <w:rPr>
                <w:rFonts w:ascii="Arial" w:cs="Arial" w:eastAsia="Arial" w:hAnsi="Arial"/>
                <w:sz w:val="16"/>
                <w:szCs w:val="16"/>
                <w:b w:val="1"/>
                <w:bCs w:val="1"/>
                <w:color w:val="auto"/>
                <w:w w:val="97"/>
              </w:rPr>
              <w:t>Six Months Ended June 30,</w:t>
            </w:r>
          </w:p>
        </w:tc>
        <w:tc>
          <w:tcPr>
            <w:tcW w:w="0" w:type="dxa"/>
            <w:vAlign w:val="bottom"/>
          </w:tcPr>
          <w:p>
            <w:pPr>
              <w:spacing w:after="0"/>
              <w:rPr>
                <w:sz w:val="1"/>
                <w:szCs w:val="1"/>
                <w:color w:val="auto"/>
              </w:rPr>
            </w:pPr>
          </w:p>
        </w:tc>
      </w:tr>
      <w:tr>
        <w:trPr>
          <w:trHeight w:val="237"/>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72"/>
        </w:trPr>
        <w:tc>
          <w:tcPr>
            <w:tcW w:w="19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Foreign currency</w:t>
            </w:r>
          </w:p>
        </w:tc>
        <w:tc>
          <w:tcPr>
            <w:tcW w:w="37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9"/>
              </w:rPr>
              <w:t>Miscellaneous, net</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2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23"/>
        </w:trPr>
        <w:tc>
          <w:tcPr>
            <w:tcW w:w="19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derivatives</w:t>
            </w:r>
          </w:p>
        </w:tc>
        <w:tc>
          <w:tcPr>
            <w:tcW w:w="3760" w:type="dxa"/>
            <w:vAlign w:val="bottom"/>
            <w:tcBorders>
              <w:bottom w:val="single" w:sz="8" w:color="CCEEFF"/>
            </w:tcBorders>
            <w:gridSpan w:val="2"/>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For the three and six months ended June 30, 2021, income tax expense was $11.3 million and $37.2 million, respectively, representing an effective tax rate of 21% for both periods. The items resulting in variances from the federal statutory rate of</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21% for the three months ended June 30, 2021 primarily consist of state and local income tax expense and tax expense for an increase in valuation allowances for foreign taxes and U.S. foreign tax, partially offset by a tax benefit from foreign operations. The items resulting in variances from the federal statutory rate of 21% for the six months ended June 30, 2021 primarily consist of a discrete tax benefit for excess tax benefits related to stock compensation, partially offset by state and local income tax expense.</w:t>
      </w:r>
    </w:p>
    <w:p>
      <w:pPr>
        <w:spacing w:after="0" w:line="7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For the three and six months ended June 30, 2020, income tax expense was $9.7 million and $43.3 million, respectively, representing an effective tax rate of 36% and 32%, respectively, as compared to the federal statutory rate of 21%. The effective tax rate differed from the federal statutory rate for both periods due primarily to tax expense from foreign operations, state and local income tax expense and tax expense resulting from an increase in valuation allowances for foreign taxes and U.S. foreign tax credits, partially offset by a discrete tax benefit relating to uncertain tax positions (including accrued interest) and a tax benefit related to a foreign-derived intangible income deduction. The discrete tax benefit relating to uncertain tax positions is primarily due to audit settlements and the filing of state income tax returns under voluntary disclosure agreements.</w:t>
      </w:r>
    </w:p>
    <w:p>
      <w:pPr>
        <w:spacing w:after="0" w:line="124" w:lineRule="exact"/>
        <w:rPr>
          <w:sz w:val="20"/>
          <w:szCs w:val="20"/>
          <w:color w:val="auto"/>
        </w:rPr>
      </w:pPr>
    </w:p>
    <w:p>
      <w:pPr>
        <w:jc w:val="both"/>
        <w:ind w:firstLine="486"/>
        <w:spacing w:after="0" w:line="243" w:lineRule="auto"/>
        <w:rPr>
          <w:sz w:val="20"/>
          <w:szCs w:val="20"/>
          <w:color w:val="auto"/>
        </w:rPr>
      </w:pPr>
      <w:r>
        <w:rPr>
          <w:rFonts w:ascii="Arial" w:cs="Arial" w:eastAsia="Arial" w:hAnsi="Arial"/>
          <w:sz w:val="18"/>
          <w:szCs w:val="18"/>
          <w:color w:val="auto"/>
        </w:rPr>
        <w:t>At June 30, 2021, the Company had foreign tax credit carry forwards of approximately $33.5 million, expiring on various dates from 2022 through 2031. These carryforwards have been reduced by a valuation allowance of $33.5 million as it is more likely than not that these carry forwards will not be realized. For the six months ended June 30, 2021, $0.5 million relating to amortization of tax deductible second component goodwill was realized as a reduction in tax liability (as determined on a 'with-and-without' approach).</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21" w:lineRule="exact"/>
        <w:rPr>
          <w:sz w:val="20"/>
          <w:szCs w:val="20"/>
          <w:color w:val="auto"/>
        </w:rPr>
      </w:pPr>
    </w:p>
    <w:p>
      <w:pPr>
        <w:jc w:val="both"/>
        <w:ind w:right="20" w:firstLine="445"/>
        <w:spacing w:after="0" w:line="308" w:lineRule="auto"/>
        <w:rPr>
          <w:sz w:val="20"/>
          <w:szCs w:val="20"/>
          <w:color w:val="auto"/>
        </w:rPr>
      </w:pPr>
      <w:r>
        <w:rPr>
          <w:rFonts w:ascii="Arial" w:cs="Arial" w:eastAsia="Arial" w:hAnsi="Arial"/>
          <w:sz w:val="17"/>
          <w:szCs w:val="17"/>
          <w:color w:val="auto"/>
        </w:rPr>
        <w:t>As of June 30, 2021, the Company's contractual obligations not reflected on the Company's condensed consolidated balance sheet increased $92.0 million, as compared to December 31, 2020, to $1,103.9 million. The increase primarily relates to additional commitments for program rights.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December 17, 2013, Frank Darabont ("Darabont"), Ferenc, Inc., Darkwoods Productions, Inc., and Creative Artists Agency, LLC (together, the "Plaintiffs"), filed a complaint in New York Supreme Court in connection with Darabont's rendering services as a writer, director and producer of the television series entitled The Walking Dead and the agreement between the parties related thereto. Plaintiffs asserted claims for breach of contract, breach of the covenant of good faith and fair dealing, for an accounting and for declaratory relief.</w:t>
      </w:r>
    </w:p>
    <w:p>
      <w:pPr>
        <w:spacing w:after="0" w:line="7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On January 18, 2018, Plaintiffs filed a second action in New York Supreme Court in connection with Darabont’s services on The Walking Dead television series and agreements between the parties related thereto. Plaintiffs asserted claims for breach of contract, breach of the covenant of good faith and fair dealing, and declaratory relief. The two actions were consolidated for a joint trial, scheduled to begin on April 4, 2022.</w:t>
      </w:r>
    </w:p>
    <w:p>
      <w:pPr>
        <w:spacing w:after="0" w:line="5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On July 16, 2021, the parties entered into a settlement agreement (the “Settlement Agreement”) to resolve the consolidated actions. The Settlement Agreement provides for a cash payment of $200 million (the “Settlement Payment”) to the plaintiffs and future revenue sharing related to certain future streaming exhibition of The Walking Dead and Fear The Walking Dead. With regard to the Settlement Payment, the Company has taken a charge of approximately $143 million in the quarter ended June 30, 2021 in consideration for the extinguishment of Plaintiffs’ rights to any compensation in connection with The Walking Dead and any related programs and the dismissal of the actions with prejudice, which amount is net of approximately $57 million of ordinary course accrued participations. The Settlement Agreement also includes customary provisions included in such agreements, including providing for mutual releases, covenants not to sue, waivers, confidentiality, non-disparagement and indemnification for third party claims. On July 21, 2021, the Plaintiffs filed a stipulation to discontinue the consolidated actions, with prejudice.</w:t>
      </w:r>
    </w:p>
    <w:p>
      <w:pPr>
        <w:spacing w:after="0" w:line="5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On August 14, 2017, Robert Kirkman, Robert Kirkman, LLC, Glen Mazzara, 44 Strong Productions, Inc., David Alpert, Circle of Confusion Productions, LLC, New Circle of Confusion Productions, Inc., Gale Anne Hurd, and Valhalla Entertainment, Inc. f/k/a Valhalla Motion Pictures, Inc. (together, the "California Plaintiffs") filed a complaint in California Superior Court in connection with California Plaintiffs’ rendering of services as writers and producers of the television series entitled The Walking Dead, as well as Fear the Walking Dead and/or Talking Dead, and the agreements between the parties related thereto (the "California Action"). The California Plaintiffs asserted that the Company has been improperly underpaying the California Plaintiffs under their contracts with the Company and they assert claims for breach of contract, breach of the covenant of good faith and fair dealing, inducing breach of contract, and liability for violation of Cal. Bus. &amp; Prof. Code § 17200. The California Plaintiffs seek compensatory and punitive damages and restitution. On August 8, 2019, the judge in the California Action ordered a trial to resolve certain issues of contract interpretation only. Following eight days of trial in February and March 2020, on July 22, 2020, the judge issued a Statement of Decision finding in the Company's favor on all</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7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seven matters of contract interpretation before the court in this first phase trial. On January 20, 2021, the California Plaintiffs filed a second amended complaint, eliminating eight named defendants and their claims under Cal. Bus. &amp; Prof. Code § 17200. On May 5, 2021, the California Plaintiffs filed a third amended complaint, repleading in part their claims for alleged breach of the covenant of good faith and fair dealing, inducing breach of contract, and certain breach of contract claims. On June 2, 2021, the Company filed a demurrer and motion to strike seeking to dismiss the claim for breach of the implied covenant of good faith and fair dealing and certain tort and breach of contract claims asserted in the third amended complaint. On July 27, 2021 the court granted in part and denied in part the Company's motion. On June 9, 2021, the judge in the California Action set a tentative trial date of November 1, 2021 with regard to claims not addressed in the first phase trial. The November 1, 2021 trial date is subject to the availability of the Company’s trial counsel, with a back-up date of May 9, 2022 if it is determined that the trial cannot proceed on November 1, 2021. The parties have resumed discovery in preparation for the November 1, 2021 trial. The Company believes that the remaining asserted claims are without merit and will vigorously defend against them. At this time, no determination can be made as to the ultimate outcome of this litigation or the potential liability, if any, on the part of the Company.</w:t>
      </w:r>
    </w:p>
    <w:p>
      <w:pPr>
        <w:spacing w:after="0" w:line="3"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is party to various lawsuits and claims in the ordinary course of business, including the matters described above.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Equity Plans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 June 2021, AMC Networks granted 29,916 restricted stock units ("RSUs") under the 2011 Stock Plan for Non-Employee Directors to non-employee directors that vested on the date of grant.</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March 2021, AMC Networks granted 535,278 RSUs to certain executive officers and employees under the AMC Networks Inc. Amended and Restated 2016 Employee Stock Plan. The RSUs vest ratably over a three-year period and the vesting criteria for 178,764 RSUs include the achievement of certain performance targets by the Company.</w:t>
      </w:r>
    </w:p>
    <w:p>
      <w:pPr>
        <w:spacing w:after="0" w:line="7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During the six months ended June 30, 2021, 617,051 RSUs and 368,296 performance restricted stock units (PRSUs) of AMC Networks Class A Common Stock previously issued to employees of the Company vested. On the vesting date, 263,671 RSUs and 168,712 PRSUs were surrendered to the Company to cover the required statutory tax withholding obligations and 353,380 RSU and 199,584 PRSU new shares of AMC Networks Class A Common Stock were issued. The units surrendered to satisfy the employees' statutory minimum tax withholding obligations for the applicable income and other employment tax had an aggregate value of $34.6 million, which has been reflected as a financing activity in the condensed consolidated statement of cash flows for the six months ended June 30, 2021.</w:t>
      </w:r>
    </w:p>
    <w:p>
      <w:pPr>
        <w:spacing w:after="0" w:line="84"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Share-based compensation expense included in selling, general and administrative expense was $16.3 million and $29.7 million for the three and six months ended June 30, 2021, respectively and $15.2 million and $30.7 million for the three and six months ended June 30, 2020, respectively.</w:t>
      </w:r>
    </w:p>
    <w:p>
      <w:pPr>
        <w:spacing w:after="0" w:line="16" w:lineRule="exact"/>
        <w:rPr>
          <w:sz w:val="20"/>
          <w:szCs w:val="20"/>
          <w:color w:val="auto"/>
        </w:rPr>
      </w:pPr>
    </w:p>
    <w:p>
      <w:pPr>
        <w:jc w:val="both"/>
        <w:ind w:right="20" w:firstLine="445"/>
        <w:spacing w:after="0" w:line="342" w:lineRule="auto"/>
        <w:rPr>
          <w:sz w:val="20"/>
          <w:szCs w:val="20"/>
          <w:color w:val="auto"/>
        </w:rPr>
      </w:pPr>
      <w:r>
        <w:rPr>
          <w:rFonts w:ascii="Arial" w:cs="Arial" w:eastAsia="Arial" w:hAnsi="Arial"/>
          <w:sz w:val="16"/>
          <w:szCs w:val="16"/>
          <w:color w:val="auto"/>
        </w:rPr>
        <w:t>As of June 30, 2021, there was $47.4 million of total unrecognized share-based compensation cost related to outstanding unvested share-based awards. The unrecognized compensation cost is expected to be recognized over a weighted-average remaining period of approximately 1.9 years.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Redeemable Noncontrolling Interests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activity related to redeemable noncontrolling interest for the six months ended June 30,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60" w:type="dxa"/>
            <w:vAlign w:val="bottom"/>
          </w:tcPr>
          <w:p>
            <w:pPr>
              <w:spacing w:after="0"/>
              <w:rPr>
                <w:sz w:val="16"/>
                <w:szCs w:val="16"/>
                <w:color w:val="auto"/>
              </w:rPr>
            </w:pPr>
          </w:p>
        </w:tc>
        <w:tc>
          <w:tcPr>
            <w:tcW w:w="238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 Months Ended June 30,</w:t>
            </w:r>
          </w:p>
        </w:tc>
      </w:tr>
      <w:tr>
        <w:trPr>
          <w:trHeight w:val="213"/>
        </w:trPr>
        <w:tc>
          <w:tcPr>
            <w:tcW w:w="88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951"/>
              <w:spacing w:after="0"/>
              <w:rPr>
                <w:sz w:val="20"/>
                <w:szCs w:val="20"/>
                <w:color w:val="auto"/>
              </w:rPr>
            </w:pPr>
            <w:r>
              <w:rPr>
                <w:rFonts w:ascii="Arial" w:cs="Arial" w:eastAsia="Arial" w:hAnsi="Arial"/>
                <w:sz w:val="16"/>
                <w:szCs w:val="16"/>
                <w:b w:val="1"/>
                <w:bCs w:val="1"/>
                <w:color w:val="auto"/>
              </w:rPr>
              <w:t>2021</w:t>
            </w:r>
          </w:p>
        </w:tc>
      </w:tr>
      <w:tr>
        <w:trPr>
          <w:trHeight w:val="22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December 31, 2020</w:t>
            </w:r>
          </w:p>
        </w:tc>
        <w:tc>
          <w:tcPr>
            <w:tcW w:w="7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315,649</w:t>
            </w:r>
          </w:p>
        </w:tc>
      </w:tr>
      <w:tr>
        <w:trPr>
          <w:trHeight w:val="230"/>
        </w:trPr>
        <w:tc>
          <w:tcPr>
            <w:tcW w:w="8860" w:type="dxa"/>
            <w:vAlign w:val="bottom"/>
          </w:tcPr>
          <w:p>
            <w:pPr>
              <w:ind w:left="760"/>
              <w:spacing w:after="0"/>
              <w:rPr>
                <w:sz w:val="20"/>
                <w:szCs w:val="20"/>
                <w:color w:val="auto"/>
              </w:rPr>
            </w:pPr>
            <w:r>
              <w:rPr>
                <w:rFonts w:ascii="Arial" w:cs="Arial" w:eastAsia="Arial" w:hAnsi="Arial"/>
                <w:sz w:val="18"/>
                <w:szCs w:val="18"/>
                <w:color w:val="auto"/>
              </w:rPr>
              <w:t>Net earnings</w:t>
            </w:r>
          </w:p>
        </w:tc>
        <w:tc>
          <w:tcPr>
            <w:tcW w:w="7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10,139</w:t>
            </w:r>
          </w:p>
        </w:tc>
      </w:tr>
      <w:tr>
        <w:trPr>
          <w:trHeight w:val="230"/>
        </w:trPr>
        <w:tc>
          <w:tcPr>
            <w:tcW w:w="88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Distributions</w:t>
            </w:r>
          </w:p>
        </w:tc>
        <w:tc>
          <w:tcPr>
            <w:tcW w:w="7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(10,351)</w:t>
            </w:r>
          </w:p>
        </w:tc>
      </w:tr>
      <w:tr>
        <w:trPr>
          <w:trHeight w:val="230"/>
        </w:trPr>
        <w:tc>
          <w:tcPr>
            <w:tcW w:w="8860" w:type="dxa"/>
            <w:vAlign w:val="bottom"/>
          </w:tcPr>
          <w:p>
            <w:pPr>
              <w:ind w:left="760"/>
              <w:spacing w:after="0"/>
              <w:rPr>
                <w:sz w:val="20"/>
                <w:szCs w:val="20"/>
                <w:color w:val="auto"/>
              </w:rPr>
            </w:pPr>
            <w:r>
              <w:rPr>
                <w:rFonts w:ascii="Arial" w:cs="Arial" w:eastAsia="Arial" w:hAnsi="Arial"/>
                <w:sz w:val="18"/>
                <w:szCs w:val="18"/>
                <w:color w:val="auto"/>
              </w:rPr>
              <w:t>Distribution related to spin-off transaction</w:t>
            </w:r>
          </w:p>
        </w:tc>
        <w:tc>
          <w:tcPr>
            <w:tcW w:w="7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(8,040)</w:t>
            </w:r>
          </w:p>
        </w:tc>
      </w:tr>
      <w:tr>
        <w:trPr>
          <w:trHeight w:val="230"/>
        </w:trPr>
        <w:tc>
          <w:tcPr>
            <w:tcW w:w="88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Transfer to noncontrolling interest</w:t>
            </w:r>
          </w:p>
        </w:tc>
        <w:tc>
          <w:tcPr>
            <w:tcW w:w="7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(18,367)</w:t>
            </w:r>
          </w:p>
        </w:tc>
      </w:tr>
      <w:tr>
        <w:trPr>
          <w:trHeight w:val="223"/>
        </w:trPr>
        <w:tc>
          <w:tcPr>
            <w:tcW w:w="8860" w:type="dxa"/>
            <w:vAlign w:val="bottom"/>
          </w:tcPr>
          <w:p>
            <w:pPr>
              <w:ind w:left="440"/>
              <w:spacing w:after="0"/>
              <w:rPr>
                <w:sz w:val="20"/>
                <w:szCs w:val="20"/>
                <w:color w:val="auto"/>
              </w:rPr>
            </w:pPr>
            <w:r>
              <w:rPr>
                <w:rFonts w:ascii="Arial" w:cs="Arial" w:eastAsia="Arial" w:hAnsi="Arial"/>
                <w:sz w:val="18"/>
                <w:szCs w:val="18"/>
                <w:color w:val="auto"/>
              </w:rPr>
              <w:t>June 30, 2021</w:t>
            </w: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289,030</w:t>
            </w:r>
          </w:p>
        </w:tc>
      </w:tr>
      <w:tr>
        <w:trPr>
          <w:trHeight w:val="20"/>
        </w:trPr>
        <w:tc>
          <w:tcPr>
            <w:tcW w:w="88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connection with the spin-off of the live comedy venue and talent management businesses of Levity Entertainment Group, LLC (see Note 4), $8.0 million of redeemable noncontrolling interests was distributed to the noncontrolling partners. In addition, as part of the transaction, the preexisting put rights of the noncontrolling interest holders were terminated.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Accordingly, the remaining $18.4 million of noncontrolling interests was transferred from Redeemable noncontrolling interests to Noncontrolling interests in the condensed consolidated balance sheet.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Related Party Transactions</w:t>
      </w:r>
    </w:p>
    <w:p>
      <w:pPr>
        <w:spacing w:after="0" w:line="12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 Company and its related parties routinely enter into transactions with each other in the ordinary course of business. Revenues, net from related parties amounted to $1.3 million and $1.2 million for the three months ended June 30, 2021 and 2020, respectively, and $2.5 million and $2.4 million for the six months ended June 30, 2021 and 2020, respectively. Amounts charged to the Company, included in selling, general and administrative expenses, pursuant to transactions with its related parties amounted to $0.5 million and $0.1 million for the three months ended June 30, 2021 and 2020, respectively, and $1.0 and $0.1 million for the six months ended June 30, 2021 and 2020,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Cash Flows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non-cash investing and financing activities and other supplemental data are as follows:</w:t>
      </w:r>
    </w:p>
    <w:p>
      <w:pPr>
        <w:spacing w:after="0" w:line="145"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20320</wp:posOffset>
            </wp:positionV>
            <wp:extent cx="21774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2020</w:t>
            </w:r>
          </w:p>
        </w:tc>
      </w:tr>
      <w:tr>
        <w:trPr>
          <w:trHeight w:val="226"/>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Finance lease additions</w:t>
            </w:r>
          </w:p>
        </w:tc>
        <w:tc>
          <w:tcPr>
            <w:tcW w:w="2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60" w:type="dxa"/>
            <w:vAlign w:val="bottom"/>
            <w:gridSpan w:val="3"/>
          </w:tcPr>
          <w:p>
            <w:pPr>
              <w:ind w:left="1020"/>
              <w:spacing w:after="0"/>
              <w:rPr>
                <w:sz w:val="20"/>
                <w:szCs w:val="20"/>
                <w:color w:val="auto"/>
              </w:rPr>
            </w:pPr>
            <w:r>
              <w:rPr>
                <w:rFonts w:ascii="Arial" w:cs="Arial" w:eastAsia="Arial" w:hAnsi="Arial"/>
                <w:sz w:val="18"/>
                <w:szCs w:val="18"/>
                <w:color w:val="auto"/>
              </w:rPr>
              <w:t>—  $</w:t>
            </w:r>
          </w:p>
        </w:tc>
        <w:tc>
          <w:tcPr>
            <w:tcW w:w="1280" w:type="dxa"/>
            <w:vAlign w:val="bottom"/>
          </w:tcPr>
          <w:p>
            <w:pPr>
              <w:jc w:val="right"/>
              <w:spacing w:after="0"/>
              <w:rPr>
                <w:sz w:val="20"/>
                <w:szCs w:val="20"/>
                <w:color w:val="auto"/>
              </w:rPr>
            </w:pPr>
            <w:r>
              <w:rPr>
                <w:rFonts w:ascii="Arial" w:cs="Arial" w:eastAsia="Arial" w:hAnsi="Arial"/>
                <w:sz w:val="18"/>
                <w:szCs w:val="18"/>
                <w:color w:val="auto"/>
              </w:rPr>
              <w:t>14,266</w:t>
            </w:r>
          </w:p>
        </w:tc>
      </w:tr>
      <w:tr>
        <w:trPr>
          <w:trHeight w:val="229"/>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incurred but not yet paid</w:t>
            </w:r>
          </w:p>
        </w:tc>
        <w:tc>
          <w:tcPr>
            <w:tcW w:w="2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Supplemental Data:</w:t>
            </w:r>
          </w:p>
        </w:tc>
        <w:tc>
          <w:tcPr>
            <w:tcW w:w="2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interest paid</w:t>
            </w:r>
          </w:p>
        </w:tc>
        <w:tc>
          <w:tcPr>
            <w:tcW w:w="2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68,129</w:t>
            </w: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Income taxes paid, net</w:t>
            </w:r>
          </w:p>
        </w:tc>
        <w:tc>
          <w:tcPr>
            <w:tcW w:w="24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45,058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29,723</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Segment Information</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 classifies its operations into two operating segments: Domestic Operations and International and Other. These operating segments represent strategic business units that are managed separately.</w:t>
      </w:r>
    </w:p>
    <w:p>
      <w:pPr>
        <w:spacing w:after="0" w:line="6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evaluates segment performance based on several factors, of which the primary financial measure is operating segment adjusted operating income ("AOI"), a non-GAAP measure. The Company defines AOI as operating income (loss) before depreciation and amortization, cloud computing amortization, share-based compensation expense or benefit, impairment and other charges (including gains or losses on sales or dispositions of businesses), restructuring and other related charges and including the Company’s proportionate share of adjusted operating income (loss) from majority-owned equity method investees. The Company has presented the components that reconcile adjusted operating income to operating income, an accepted GAAP measure, and other information as to the continuing operations of the Company's operating segments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rPr>
              <w:t>Three Months Ended June 30, 2021</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3"/>
              </w:rPr>
              <w:t>International</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Corporate / Inter-</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8"/>
              </w:rPr>
              <w:t>Domestic Operations</w:t>
            </w:r>
          </w:p>
        </w:tc>
        <w:tc>
          <w:tcPr>
            <w:tcW w:w="2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5"/>
              </w:rPr>
              <w:t>segment</w:t>
            </w:r>
          </w:p>
        </w:tc>
        <w:tc>
          <w:tcPr>
            <w:tcW w:w="220" w:type="dxa"/>
            <w:vAlign w:val="bottom"/>
          </w:tcPr>
          <w:p>
            <w:pPr>
              <w:spacing w:after="0"/>
              <w:rPr>
                <w:sz w:val="14"/>
                <w:szCs w:val="14"/>
                <w:color w:val="auto"/>
              </w:rPr>
            </w:pPr>
          </w:p>
        </w:tc>
        <w:tc>
          <w:tcPr>
            <w:tcW w:w="13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and Other</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Eliminations</w:t>
            </w: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Advertising</w:t>
            </w: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212,282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25,967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238,249</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and other</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533,143</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5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639,015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138,277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771,392</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68,256</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16,262</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22,604</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Impairment and other charges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142,918</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Cloud computing amortization</w:t>
            </w:r>
          </w:p>
        </w:tc>
        <w:tc>
          <w:tcPr>
            <w:tcW w:w="5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5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250,140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(24,608)</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250,637</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w w:val="92"/>
              </w:rPr>
              <w:t>Three Months Ended June 30, 2020</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3"/>
              </w:rPr>
              <w:t>International</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Corporate / Inter-</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8"/>
              </w:rPr>
              <w:t>Domestic Operations</w:t>
            </w:r>
          </w:p>
        </w:tc>
        <w:tc>
          <w:tcPr>
            <w:tcW w:w="2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5"/>
              </w:rPr>
              <w:t>segment</w:t>
            </w:r>
          </w:p>
        </w:tc>
        <w:tc>
          <w:tcPr>
            <w:tcW w:w="220" w:type="dxa"/>
            <w:vAlign w:val="bottom"/>
          </w:tcPr>
          <w:p>
            <w:pPr>
              <w:spacing w:after="0"/>
              <w:rPr>
                <w:sz w:val="14"/>
                <w:szCs w:val="14"/>
                <w:color w:val="auto"/>
              </w:rPr>
            </w:pPr>
          </w:p>
        </w:tc>
        <w:tc>
          <w:tcPr>
            <w:tcW w:w="13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and Other</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Eliminations</w:t>
            </w: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Advertising</w:t>
            </w: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187,434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14,810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202,244</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and other</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375,498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444,047</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562,932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90,682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646,291</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48,802</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9,482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15,235</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25,905</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4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130,411</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Majority-owned equity investees AOI</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48"/>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44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225,278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46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w w:val="91"/>
              </w:rPr>
              <w:t>Six Months Ended June 30, 2021</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3"/>
              </w:rPr>
              <w:t>International</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Corporate / Inter-</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8"/>
              </w:rPr>
              <w:t>Domestic Operations</w:t>
            </w:r>
          </w:p>
        </w:tc>
        <w:tc>
          <w:tcPr>
            <w:tcW w:w="2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5"/>
              </w:rPr>
              <w:t>segment</w:t>
            </w:r>
          </w:p>
        </w:tc>
        <w:tc>
          <w:tcPr>
            <w:tcW w:w="220" w:type="dxa"/>
            <w:vAlign w:val="bottom"/>
          </w:tcPr>
          <w:p>
            <w:pPr>
              <w:spacing w:after="0"/>
              <w:rPr>
                <w:sz w:val="14"/>
                <w:szCs w:val="14"/>
                <w:color w:val="auto"/>
              </w:rPr>
            </w:pPr>
          </w:p>
        </w:tc>
        <w:tc>
          <w:tcPr>
            <w:tcW w:w="13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and Other</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Eliminations</w:t>
            </w: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Advertising</w:t>
            </w: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411,424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47,538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458,962</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and other</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801,560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1,004,171</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1,212,984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259,444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1,463,133</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237,964</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14,633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29,708</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47,850</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Impairment and other charges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158,973</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Cloud computing amortization</w:t>
            </w:r>
          </w:p>
        </w:tc>
        <w:tc>
          <w:tcPr>
            <w:tcW w:w="4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4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492,673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48,668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(52,725)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488,616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3"/>
        </w:trPr>
        <w:tc>
          <w:tcPr>
            <w:tcW w:w="46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w w:val="91"/>
              </w:rPr>
              <w:t>Six Months Ended June 30, 2020</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3"/>
              </w:rPr>
              <w:t>International</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Corporate / Inter-</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8"/>
              </w:rPr>
              <w:t>Domestic Operations</w:t>
            </w:r>
          </w:p>
        </w:tc>
        <w:tc>
          <w:tcPr>
            <w:tcW w:w="2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5"/>
              </w:rPr>
              <w:t>segment</w:t>
            </w:r>
          </w:p>
        </w:tc>
        <w:tc>
          <w:tcPr>
            <w:tcW w:w="220" w:type="dxa"/>
            <w:vAlign w:val="bottom"/>
          </w:tcPr>
          <w:p>
            <w:pPr>
              <w:spacing w:after="0"/>
              <w:rPr>
                <w:sz w:val="14"/>
                <w:szCs w:val="14"/>
                <w:color w:val="auto"/>
              </w:rPr>
            </w:pPr>
          </w:p>
        </w:tc>
        <w:tc>
          <w:tcPr>
            <w:tcW w:w="13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and Other</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Eliminations</w:t>
            </w: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Advertising</w:t>
            </w: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400,660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34,174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434,834</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and other</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774,165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945,832</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1,174,825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215,510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1,380,666</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221,772</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21,661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30,747</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52,635</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9,473</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4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130,411</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Majority-owned equity investees AOI</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48"/>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44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477,386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447,732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Corporate overhead costs not allocated to the segments include such costs as executive salaries and benefits, costs of maintaining corporate headquarters, facilities and common support functions (such as human resources, legal, finance, strategic planning and information technology).</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Inter-segment eliminations are primarily licensing revenues recognized between the Domestic Operations and International and Other segments.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472"/>
              <w:spacing w:after="0"/>
              <w:rPr>
                <w:sz w:val="20"/>
                <w:szCs w:val="20"/>
                <w:color w:val="auto"/>
              </w:rPr>
            </w:pPr>
            <w:r>
              <w:rPr>
                <w:rFonts w:ascii="Arial" w:cs="Arial" w:eastAsia="Arial" w:hAnsi="Arial"/>
                <w:sz w:val="16"/>
                <w:szCs w:val="16"/>
                <w:b w:val="1"/>
                <w:bCs w:val="1"/>
                <w:color w:val="auto"/>
              </w:rPr>
              <w:t>Three Months Ended June 30,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5"/>
          </w:tcPr>
          <w:p>
            <w:pPr>
              <w:jc w:val="right"/>
              <w:ind w:right="772"/>
              <w:spacing w:after="0"/>
              <w:rPr>
                <w:sz w:val="20"/>
                <w:szCs w:val="20"/>
                <w:color w:val="auto"/>
              </w:rPr>
            </w:pPr>
            <w:r>
              <w:rPr>
                <w:rFonts w:ascii="Arial" w:cs="Arial" w:eastAsia="Arial" w:hAnsi="Arial"/>
                <w:sz w:val="16"/>
                <w:szCs w:val="16"/>
                <w:b w:val="1"/>
                <w:bCs w:val="1"/>
                <w:color w:val="auto"/>
              </w:rPr>
              <w:t>Six Months Ended June 30,</w:t>
            </w:r>
          </w:p>
        </w:tc>
      </w:tr>
      <w:tr>
        <w:trPr>
          <w:trHeight w:val="237"/>
        </w:trPr>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3"/>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2020</w:t>
            </w:r>
          </w:p>
        </w:tc>
      </w:tr>
      <w:tr>
        <w:trPr>
          <w:trHeight w:val="226"/>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Inter-segment revenues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Domestic Operations</w:t>
            </w:r>
          </w:p>
        </w:tc>
        <w:tc>
          <w:tcPr>
            <w:tcW w:w="320" w:type="dxa"/>
            <w:vAlign w:val="bottom"/>
          </w:tcPr>
          <w:p>
            <w:pPr>
              <w:jc w:val="right"/>
              <w:ind w:right="138"/>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8"/>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(6,196)</w:t>
            </w:r>
          </w:p>
        </w:tc>
        <w:tc>
          <w:tcPr>
            <w:tcW w:w="3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(6,926)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(7,557)</w:t>
            </w:r>
          </w:p>
        </w:tc>
      </w:tr>
      <w:tr>
        <w:trPr>
          <w:trHeight w:val="229"/>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International and Other</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r>
      <w:tr>
        <w:trPr>
          <w:trHeight w:val="223"/>
        </w:trPr>
        <w:tc>
          <w:tcPr>
            <w:tcW w:w="4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(9,669)</w:t>
            </w:r>
          </w:p>
        </w:tc>
      </w:tr>
      <w:tr>
        <w:trPr>
          <w:trHeight w:val="20"/>
        </w:trPr>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412"/>
        </w:trPr>
        <w:tc>
          <w:tcPr>
            <w:tcW w:w="5980" w:type="dxa"/>
            <w:vAlign w:val="bottom"/>
            <w:gridSpan w:val="7"/>
          </w:tcPr>
          <w:p>
            <w:pPr>
              <w:ind w:left="420"/>
              <w:spacing w:after="0"/>
              <w:rPr>
                <w:sz w:val="20"/>
                <w:szCs w:val="20"/>
                <w:color w:val="auto"/>
              </w:rPr>
            </w:pPr>
            <w:r>
              <w:rPr>
                <w:rFonts w:ascii="Arial" w:cs="Arial" w:eastAsia="Arial" w:hAnsi="Arial"/>
                <w:sz w:val="18"/>
                <w:szCs w:val="18"/>
                <w:color w:val="auto"/>
              </w:rPr>
              <w:t>The table below summarizes revenues based on customer location:</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80"/>
        </w:trPr>
        <w:tc>
          <w:tcPr>
            <w:tcW w:w="4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472"/>
              <w:spacing w:after="0"/>
              <w:rPr>
                <w:sz w:val="20"/>
                <w:szCs w:val="20"/>
                <w:color w:val="auto"/>
              </w:rPr>
            </w:pPr>
            <w:r>
              <w:rPr>
                <w:rFonts w:ascii="Arial" w:cs="Arial" w:eastAsia="Arial" w:hAnsi="Arial"/>
                <w:sz w:val="16"/>
                <w:szCs w:val="16"/>
                <w:b w:val="1"/>
                <w:bCs w:val="1"/>
                <w:color w:val="auto"/>
              </w:rPr>
              <w:t>Three Months Ended June 30,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5"/>
          </w:tcPr>
          <w:p>
            <w:pPr>
              <w:jc w:val="right"/>
              <w:ind w:right="772"/>
              <w:spacing w:after="0"/>
              <w:rPr>
                <w:sz w:val="20"/>
                <w:szCs w:val="20"/>
                <w:color w:val="auto"/>
              </w:rPr>
            </w:pPr>
            <w:r>
              <w:rPr>
                <w:rFonts w:ascii="Arial" w:cs="Arial" w:eastAsia="Arial" w:hAnsi="Arial"/>
                <w:sz w:val="16"/>
                <w:szCs w:val="16"/>
                <w:b w:val="1"/>
                <w:bCs w:val="1"/>
                <w:color w:val="auto"/>
              </w:rPr>
              <w:t>Six Months Ended June 30,</w:t>
            </w:r>
          </w:p>
        </w:tc>
      </w:tr>
      <w:tr>
        <w:trPr>
          <w:trHeight w:val="237"/>
        </w:trPr>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3"/>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2020</w:t>
            </w:r>
          </w:p>
        </w:tc>
      </w:tr>
      <w:tr>
        <w:trPr>
          <w:trHeight w:val="226"/>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58"/>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612,326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98"/>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523,395</w:t>
            </w:r>
          </w:p>
        </w:tc>
        <w:tc>
          <w:tcPr>
            <w:tcW w:w="3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1,189,474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1,148,388</w:t>
            </w:r>
          </w:p>
        </w:tc>
      </w:tr>
      <w:tr>
        <w:trPr>
          <w:trHeight w:val="229"/>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91,836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164,315</w:t>
            </w:r>
          </w:p>
        </w:tc>
      </w:tr>
      <w:tr>
        <w:trPr>
          <w:trHeight w:val="229"/>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39,511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31,060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72,068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67,963</w:t>
            </w:r>
          </w:p>
        </w:tc>
      </w:tr>
      <w:tr>
        <w:trPr>
          <w:trHeight w:val="248"/>
        </w:trPr>
        <w:tc>
          <w:tcPr>
            <w:tcW w:w="43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771,392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98"/>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1,463,133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1,380,666</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bottom w:val="single" w:sz="8" w:color="auto"/>
            </w:tcBorders>
            <w:gridSpan w:val="2"/>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730"/>
        </w:trPr>
        <w:tc>
          <w:tcPr>
            <w:tcW w:w="6340" w:type="dxa"/>
            <w:vAlign w:val="bottom"/>
            <w:gridSpan w:val="8"/>
          </w:tcPr>
          <w:p>
            <w:pPr>
              <w:ind w:left="420"/>
              <w:spacing w:after="0"/>
              <w:rPr>
                <w:sz w:val="20"/>
                <w:szCs w:val="20"/>
                <w:color w:val="auto"/>
              </w:rPr>
            </w:pPr>
            <w:r>
              <w:rPr>
                <w:rFonts w:ascii="Arial" w:cs="Arial" w:eastAsia="Arial" w:hAnsi="Arial"/>
                <w:sz w:val="18"/>
                <w:szCs w:val="18"/>
                <w:color w:val="auto"/>
                <w:w w:val="94"/>
              </w:rPr>
              <w:t>The table below summarizes property and equipment based on asset location:</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48"/>
        </w:trPr>
        <w:tc>
          <w:tcPr>
            <w:tcW w:w="4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3"/>
          </w:tcPr>
          <w:p>
            <w:pPr>
              <w:ind w:left="140"/>
              <w:spacing w:after="0"/>
              <w:rPr>
                <w:sz w:val="20"/>
                <w:szCs w:val="20"/>
                <w:color w:val="auto"/>
              </w:rPr>
            </w:pPr>
            <w:r>
              <w:rPr>
                <w:rFonts w:ascii="Arial" w:cs="Arial" w:eastAsia="Arial" w:hAnsi="Arial"/>
                <w:sz w:val="16"/>
                <w:szCs w:val="16"/>
                <w:b w:val="1"/>
                <w:bCs w:val="1"/>
                <w:color w:val="auto"/>
              </w:rPr>
              <w:t>June 30, 2021</w:t>
            </w:r>
          </w:p>
        </w:tc>
        <w:tc>
          <w:tcPr>
            <w:tcW w:w="160" w:type="dxa"/>
            <w:vAlign w:val="bottom"/>
          </w:tcPr>
          <w:p>
            <w:pPr>
              <w:spacing w:after="0"/>
              <w:rPr>
                <w:sz w:val="24"/>
                <w:szCs w:val="24"/>
                <w:color w:val="auto"/>
              </w:rPr>
            </w:pPr>
          </w:p>
        </w:tc>
        <w:tc>
          <w:tcPr>
            <w:tcW w:w="1600" w:type="dxa"/>
            <w:vAlign w:val="bottom"/>
          </w:tcPr>
          <w:p>
            <w:pPr>
              <w:jc w:val="right"/>
              <w:ind w:right="132"/>
              <w:spacing w:after="0"/>
              <w:rPr>
                <w:sz w:val="20"/>
                <w:szCs w:val="20"/>
                <w:color w:val="auto"/>
              </w:rPr>
            </w:pPr>
            <w:r>
              <w:rPr>
                <w:rFonts w:ascii="Arial" w:cs="Arial" w:eastAsia="Arial" w:hAnsi="Arial"/>
                <w:sz w:val="16"/>
                <w:szCs w:val="16"/>
                <w:b w:val="1"/>
                <w:bCs w:val="1"/>
                <w:color w:val="auto"/>
                <w:w w:val="94"/>
              </w:rPr>
              <w:t>December 31, 2020</w:t>
            </w:r>
          </w:p>
        </w:tc>
      </w:tr>
      <w:tr>
        <w:trPr>
          <w:trHeight w:val="226"/>
        </w:trPr>
        <w:tc>
          <w:tcPr>
            <w:tcW w:w="43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3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30"/>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206,042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239,387</w:t>
            </w:r>
          </w:p>
        </w:tc>
      </w:tr>
      <w:tr>
        <w:trPr>
          <w:trHeight w:val="230"/>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15,938</w:t>
            </w:r>
          </w:p>
        </w:tc>
      </w:tr>
      <w:tr>
        <w:trPr>
          <w:trHeight w:val="229"/>
        </w:trPr>
        <w:tc>
          <w:tcPr>
            <w:tcW w:w="43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r>
      <w:tr>
        <w:trPr>
          <w:trHeight w:val="248"/>
        </w:trPr>
        <w:tc>
          <w:tcPr>
            <w:tcW w:w="4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221,555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256,045</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84" w:lineRule="exact"/>
        <w:rPr>
          <w:sz w:val="20"/>
          <w:szCs w:val="20"/>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our revenues;</w:t>
      </w:r>
    </w:p>
    <w:p>
      <w:pPr>
        <w:spacing w:after="0" w:line="63"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demand, including changes in viewer consumption patterns, for our programming networks, our subscription streaming services, our programming, and our production services;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demand for advertising inventory and our ability to deliver guaranteed viewer ratings;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highly competitive nature of the cable, telecommunications, streaming and programming industries;</w:t>
      </w:r>
    </w:p>
    <w:p>
      <w:pPr>
        <w:spacing w:after="0" w:line="63" w:lineRule="exact"/>
        <w:rPr>
          <w:rFonts w:ascii="Arial" w:cs="Arial" w:eastAsia="Arial" w:hAnsi="Arial"/>
          <w:sz w:val="18"/>
          <w:szCs w:val="18"/>
          <w:color w:val="auto"/>
        </w:rPr>
      </w:pPr>
    </w:p>
    <w:p>
      <w:pPr>
        <w:ind w:left="820" w:right="20" w:hanging="326"/>
        <w:spacing w:after="0" w:line="27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and our ability to obtain or produce, desirable programming content for our networks, other forms of distribution, including digital and licensing in international markets, as well as our film distribution businesses;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demand for our owned original programming and our film content;</w:t>
      </w:r>
    </w:p>
    <w:p>
      <w:pPr>
        <w:spacing w:after="0" w:line="63" w:lineRule="exact"/>
        <w:rPr>
          <w:rFonts w:ascii="Arial" w:cs="Arial" w:eastAsia="Arial" w:hAnsi="Arial"/>
          <w:sz w:val="18"/>
          <w:szCs w:val="18"/>
          <w:color w:val="auto"/>
        </w:rPr>
      </w:pPr>
    </w:p>
    <w:p>
      <w:pPr>
        <w:ind w:left="820" w:right="120" w:hanging="326"/>
        <w:spacing w:after="0" w:line="27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COVID-19 on the economy and our business, including the measures taken by governmental authorities to address the pandemic, which may precipitate or exacerbate other risks and/or uncertainties;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security of our program rights and other electronic data;</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and renew distribution or affiliation agreements with distributors;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any of our key personnel and artistic talent;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domestic and foreign laws or regulations under which we operate;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operate;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U.S. or in the countries in which we operate;</w:t>
      </w:r>
    </w:p>
    <w:p>
      <w:pPr>
        <w:spacing w:after="0" w:line="63" w:lineRule="exact"/>
        <w:rPr>
          <w:rFonts w:ascii="Arial" w:cs="Arial" w:eastAsia="Arial" w:hAnsi="Arial"/>
          <w:sz w:val="18"/>
          <w:szCs w:val="18"/>
          <w:color w:val="auto"/>
        </w:rPr>
      </w:pPr>
    </w:p>
    <w:p>
      <w:pPr>
        <w:ind w:left="820" w:right="620" w:hanging="326"/>
        <w:spacing w:after="0" w:line="27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existing and proposed federal, state and international laws and regulations relating to data protection, privacy and security, including the European Union's General Data Protection Regulation ("GDPR");</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substantial debt and high leverage;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access to capital markets or significant increases in costs to borrow;</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our expenses;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our capital expenditures;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acquisitions and dispositions of assets;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successfully acquire new businesses and, if acquired, to integrate, and implement our plan with respect to businesses we acquire;</w:t>
      </w:r>
    </w:p>
    <w:p>
      <w:pPr>
        <w:spacing w:after="0" w:line="86" w:lineRule="exact"/>
        <w:rPr>
          <w:rFonts w:ascii="Arial" w:cs="Arial" w:eastAsia="Arial" w:hAnsi="Arial"/>
          <w:sz w:val="16"/>
          <w:szCs w:val="16"/>
          <w:color w:val="auto"/>
        </w:rPr>
      </w:pPr>
    </w:p>
    <w:p>
      <w:pPr>
        <w:ind w:left="820" w:right="320" w:hanging="326"/>
        <w:spacing w:after="0" w:line="27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problems we may discover post-closing with the operations, including the internal controls and financial reporting process, of businesses we acquire;</w:t>
      </w:r>
    </w:p>
    <w:p>
      <w:pPr>
        <w:spacing w:after="0" w:line="8" w:lineRule="exact"/>
        <w:rPr>
          <w:rFonts w:ascii="Arial" w:cs="Arial" w:eastAsia="Arial" w:hAnsi="Arial"/>
          <w:sz w:val="18"/>
          <w:szCs w:val="18"/>
          <w:color w:val="auto"/>
        </w:rPr>
      </w:pPr>
    </w:p>
    <w:p>
      <w:pPr>
        <w:ind w:left="820" w:right="440" w:hanging="326"/>
        <w:spacing w:after="0" w:line="298" w:lineRule="auto"/>
        <w:tabs>
          <w:tab w:leader="none" w:pos="815" w:val="left"/>
        </w:tabs>
        <w:numPr>
          <w:ilvl w:val="0"/>
          <w:numId w:val="6"/>
        </w:numPr>
        <w:rPr>
          <w:rFonts w:ascii="Arial" w:cs="Arial" w:eastAsia="Arial" w:hAnsi="Arial"/>
          <w:sz w:val="17"/>
          <w:szCs w:val="17"/>
          <w:color w:val="auto"/>
        </w:rPr>
      </w:pPr>
      <w:r>
        <w:rPr>
          <w:rFonts w:ascii="Arial" w:cs="Arial" w:eastAsia="Arial" w:hAnsi="Arial"/>
          <w:sz w:val="17"/>
          <w:szCs w:val="17"/>
          <w:color w:val="auto"/>
        </w:rPr>
        <w:t>uncertainties regarding the financial results of equity method investees, issuers of our investments in marketable equity securities and non-marketable equity securities and changes in the nature of key strategic relationships with partners and joint ventures;</w:t>
      </w: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litigation and other proceedings;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pending uncompleted transactions, if any, are completed on the terms and at the times set forth (if at all);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inherent in our programming and streaming businesses;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financial community and rating agency perceptions of our business, operations, financial condition and the industry in which we operate;</w:t>
      </w:r>
    </w:p>
    <w:p>
      <w:pPr>
        <w:spacing w:after="0" w:line="74" w:lineRule="exact"/>
        <w:rPr>
          <w:rFonts w:ascii="Arial" w:cs="Arial" w:eastAsia="Arial" w:hAnsi="Arial"/>
          <w:sz w:val="17"/>
          <w:szCs w:val="17"/>
          <w:color w:val="auto"/>
        </w:rPr>
      </w:pPr>
    </w:p>
    <w:p>
      <w:pPr>
        <w:ind w:left="820" w:right="220" w:hanging="326"/>
        <w:spacing w:after="0" w:line="27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events that are outside our control, such as political unrest in international markets, terrorist attacks, natural disasters and other similar events; and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5" w:name="page26"/>
    <w:bookmarkEnd w:id="25"/>
    <w:p>
      <w:pPr>
        <w:ind w:left="820" w:right="62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factors described under Item 1A, "Risk Factors" in our 2020 Annual Report on Form 10-K (the "2020 Form 10-K"), as filed with the Securities and Exchange Commission ("SEC").</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disclaim any obligation to update or revise the forward-looking statements contained herein, except as otherwise required by applicable federal securities laws.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Management's discussion and analysis, or MD&amp;A, of our results of operations and financial condition is provided as a supplement to, and should be read in conjunction with, the unaudited condensed consolidated financial statements and notes thereto included elsewhere herein and our 2020 Form 10-K to enhance the understanding of our financial condition, changes in financial condition and results of our operations. Unless the context otherwise requires, all references to "we," "us," "our," "AMC Networks" or the "Company" refer to AMC Networks Inc., together with its subsidiaries. MD&amp;A is organized as follows:</w:t>
      </w:r>
    </w:p>
    <w:p>
      <w:pPr>
        <w:spacing w:after="0" w:line="80"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 xml:space="preserve">Business Overview. </w:t>
      </w:r>
      <w:r>
        <w:rPr>
          <w:rFonts w:ascii="Arial" w:cs="Arial" w:eastAsia="Arial" w:hAnsi="Arial"/>
          <w:sz w:val="18"/>
          <w:szCs w:val="18"/>
          <w:color w:val="auto"/>
        </w:rPr>
        <w:t>This section provides a general description of our business and our operating segments, as well as other matters that we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are important in understanding our results of operations and financial condition and in anticipating future trends.</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This section provides an analysis of our results of operations for the three and six months ended June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and six months ended June 30, 2020. Our discussion is presented on both a consolidated and operating segment basis. Our two operating segments are: (i) Domestic Operations and (ii) International and Other.</w:t>
      </w:r>
    </w:p>
    <w:p>
      <w:pPr>
        <w:spacing w:after="0" w:line="76"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i w:val="1"/>
          <w:iCs w:val="1"/>
          <w:color w:val="auto"/>
        </w:rPr>
        <w:t xml:space="preserve">Liquidity and Capital Resources. </w:t>
      </w:r>
      <w:r>
        <w:rPr>
          <w:rFonts w:ascii="Arial" w:cs="Arial" w:eastAsia="Arial" w:hAnsi="Arial"/>
          <w:sz w:val="17"/>
          <w:szCs w:val="17"/>
          <w:color w:val="auto"/>
        </w:rPr>
        <w:t>This section provides a discussion of our financial condition as of June 30, 2021, as well as an analysis of our cash</w:t>
      </w:r>
      <w:r>
        <w:rPr>
          <w:rFonts w:ascii="Arial" w:cs="Arial" w:eastAsia="Arial" w:hAnsi="Arial"/>
          <w:sz w:val="17"/>
          <w:szCs w:val="17"/>
          <w:i w:val="1"/>
          <w:iCs w:val="1"/>
          <w:color w:val="auto"/>
        </w:rPr>
        <w:t xml:space="preserve"> </w:t>
      </w:r>
      <w:r>
        <w:rPr>
          <w:rFonts w:ascii="Arial" w:cs="Arial" w:eastAsia="Arial" w:hAnsi="Arial"/>
          <w:sz w:val="17"/>
          <w:szCs w:val="17"/>
          <w:color w:val="auto"/>
        </w:rPr>
        <w:t>flows for the six months ended June 30, 2021 and 2020. The discussion of our financial condition and liquidity includes summaries of (i) our primary sources of liquidity and (ii) our contractual obligations that existed at June 30, 2021 as compared to December 31, 2020.</w:t>
      </w:r>
    </w:p>
    <w:p>
      <w:pPr>
        <w:spacing w:after="0" w:line="57"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This section provides an update, if any, to our significant accounting policies or critical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since December 31,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 Changes</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the first quarter of 2021, we changed our presentation of operating segments, reflecting a reorganized operating structure focused on a multi-platform distribution approach to content monetization. Our streaming services and IFC Films, previously included in the International and Other segment, are now included within Domestic Operations (formerly referred to as the National Networks segment). In addition, certain corporate overhead costs will no longer be allocated to the operating segments. Operating segment information for the prior period has been recast to reflect these changes. The new reporting structure consists of the following two operating segments:</w:t>
      </w:r>
    </w:p>
    <w:p>
      <w:pPr>
        <w:spacing w:after="0" w:line="80" w:lineRule="exact"/>
        <w:rPr>
          <w:sz w:val="20"/>
          <w:szCs w:val="20"/>
          <w:color w:val="auto"/>
        </w:rPr>
      </w:pPr>
    </w:p>
    <w:p>
      <w:pPr>
        <w:jc w:val="both"/>
        <w:ind w:left="660" w:hanging="328"/>
        <w:spacing w:after="0" w:line="273" w:lineRule="auto"/>
        <w:tabs>
          <w:tab w:leader="none" w:pos="655"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Domestic Operations: </w:t>
      </w:r>
      <w:r>
        <w:rPr>
          <w:rFonts w:ascii="Arial" w:cs="Arial" w:eastAsia="Arial" w:hAnsi="Arial"/>
          <w:sz w:val="17"/>
          <w:szCs w:val="17"/>
          <w:color w:val="auto"/>
        </w:rPr>
        <w:t>Includes activities of our five national programming networks, our streaming services, AMC Studios operation, IFC Films</w:t>
      </w:r>
      <w:r>
        <w:rPr>
          <w:rFonts w:ascii="Arial" w:cs="Arial" w:eastAsia="Arial" w:hAnsi="Arial"/>
          <w:sz w:val="17"/>
          <w:szCs w:val="17"/>
          <w:i w:val="1"/>
          <w:iCs w:val="1"/>
          <w:color w:val="auto"/>
        </w:rPr>
        <w:t xml:space="preserve"> </w:t>
      </w:r>
      <w:r>
        <w:rPr>
          <w:rFonts w:ascii="Arial" w:cs="Arial" w:eastAsia="Arial" w:hAnsi="Arial"/>
          <w:sz w:val="17"/>
          <w:szCs w:val="17"/>
          <w:color w:val="auto"/>
        </w:rPr>
        <w:t>and AMC Broadcasting &amp; Technology. Our national programming networks are AMC, WE tv, BBC AMERICA, IFC, and SundanceTV. Our streaming services consist of our targeted subscription streaming services (Acorn TV, Shudder, Sundance Now, and ALLBLK), AMC+ and other streaming initiatives. Our AMC Studios operation produces original programming for our programming networks and also licenses such programming worldwide. IFC Films is our film distribution business and AMC Networks Broadcasting &amp; Technology is our technical services business, which primarily services most of the national programming networks.</w:t>
      </w:r>
    </w:p>
    <w:p>
      <w:pPr>
        <w:spacing w:after="0" w:line="69" w:lineRule="exact"/>
        <w:rPr>
          <w:rFonts w:ascii="Arial" w:cs="Arial" w:eastAsia="Arial" w:hAnsi="Arial"/>
          <w:sz w:val="17"/>
          <w:szCs w:val="17"/>
          <w:i w:val="1"/>
          <w:iCs w:val="1"/>
          <w:color w:val="auto"/>
        </w:rPr>
      </w:pPr>
    </w:p>
    <w:p>
      <w:pPr>
        <w:jc w:val="both"/>
        <w:ind w:left="660" w:hanging="328"/>
        <w:spacing w:after="0" w:line="286"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International and Other</w:t>
      </w:r>
      <w:r>
        <w:rPr>
          <w:rFonts w:ascii="Arial" w:cs="Arial" w:eastAsia="Arial" w:hAnsi="Arial"/>
          <w:sz w:val="17"/>
          <w:szCs w:val="17"/>
          <w:color w:val="auto"/>
        </w:rPr>
        <w:t>: Includes AMC Networks International ("AMCNI"), our international programming businesses consisting of a portfolio</w:t>
      </w:r>
      <w:r>
        <w:rPr>
          <w:rFonts w:ascii="Arial" w:cs="Arial" w:eastAsia="Arial" w:hAnsi="Arial"/>
          <w:sz w:val="17"/>
          <w:szCs w:val="17"/>
          <w:i w:val="1"/>
          <w:iCs w:val="1"/>
          <w:color w:val="auto"/>
        </w:rPr>
        <w:t xml:space="preserve"> </w:t>
      </w:r>
      <w:r>
        <w:rPr>
          <w:rFonts w:ascii="Arial" w:cs="Arial" w:eastAsia="Arial" w:hAnsi="Arial"/>
          <w:sz w:val="17"/>
          <w:szCs w:val="17"/>
          <w:color w:val="auto"/>
        </w:rPr>
        <w:t>of channels around the world and 25/7 Media (formerly Levity), our production services business. See Note 4 to the unaudited condensed consolidated financial statements for additional information relating to the spin-off of the Levity comedy venues business.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Financial Results Overview</w:t>
      </w:r>
    </w:p>
    <w:p>
      <w:pPr>
        <w:spacing w:after="0" w:line="117"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tables presented below set forth our consolidated revenues, net, operating income (loss) and adjusted operating income ("AOI"), defined below, for the periods indicated.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Pr>
          <w:p>
            <w:pPr>
              <w:spacing w:after="0"/>
              <w:rPr>
                <w:sz w:val="18"/>
                <w:szCs w:val="18"/>
                <w:color w:val="auto"/>
              </w:rPr>
            </w:pPr>
          </w:p>
        </w:tc>
        <w:tc>
          <w:tcPr>
            <w:tcW w:w="2920" w:type="dxa"/>
            <w:vAlign w:val="bottom"/>
            <w:gridSpan w:val="4"/>
          </w:tcPr>
          <w:p>
            <w:pPr>
              <w:jc w:val="right"/>
              <w:ind w:right="61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454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4540" w:type="dxa"/>
            <w:vAlign w:val="bottom"/>
            <w:gridSpan w:val="4"/>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Revenues, net</w:t>
            </w: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4"/>
          </w:tcPr>
          <w:p>
            <w:pPr>
              <w:spacing w:after="0"/>
              <w:rPr>
                <w:sz w:val="20"/>
                <w:szCs w:val="20"/>
                <w:color w:val="auto"/>
              </w:rPr>
            </w:pPr>
            <w:r>
              <w:rPr>
                <w:rFonts w:ascii="Arial" w:cs="Arial" w:eastAsia="Arial" w:hAnsi="Arial"/>
                <w:sz w:val="18"/>
                <w:szCs w:val="18"/>
                <w:color w:val="auto"/>
              </w:rPr>
              <w:t>Domestic Operations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639,015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562,932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1,212,984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1,174,825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International and Other</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215,510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5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Inter-segment Eliminations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Consolidated revenues,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771,392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1,463,133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1,380,666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54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b w:val="1"/>
                <w:bCs w:val="1"/>
                <w:color w:val="auto"/>
              </w:rPr>
              <w:t>Operating income (loss)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4540" w:type="dxa"/>
            <w:vAlign w:val="bottom"/>
            <w:gridSpan w:val="4"/>
            <w:vMerge w:val="continue"/>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Domestic Operations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4"/>
          </w:tcPr>
          <w:p>
            <w:pPr>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19,963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(125,562)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(121,201)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Corporate / Inter-segment Eliminations</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gridSpan w:val="4"/>
          </w:tcPr>
          <w:p>
            <w:pPr>
              <w:spacing w:after="0"/>
              <w:rPr>
                <w:sz w:val="20"/>
                <w:szCs w:val="20"/>
                <w:color w:val="auto"/>
              </w:rPr>
            </w:pPr>
            <w:r>
              <w:rPr>
                <w:rFonts w:ascii="Arial" w:cs="Arial" w:eastAsia="Arial" w:hAnsi="Arial"/>
                <w:sz w:val="18"/>
                <w:szCs w:val="18"/>
                <w:color w:val="auto"/>
              </w:rPr>
              <w:t>Consolidated operating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68,256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48,802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237,964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221,772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454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AOI</w:t>
            </w:r>
          </w:p>
        </w:tc>
        <w:tc>
          <w:tcPr>
            <w:tcW w:w="3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4"/>
          </w:tcPr>
          <w:p>
            <w:pPr>
              <w:spacing w:after="0"/>
              <w:rPr>
                <w:sz w:val="20"/>
                <w:szCs w:val="20"/>
                <w:color w:val="auto"/>
              </w:rPr>
            </w:pPr>
            <w:r>
              <w:rPr>
                <w:rFonts w:ascii="Arial" w:cs="Arial" w:eastAsia="Arial" w:hAnsi="Arial"/>
                <w:sz w:val="18"/>
                <w:szCs w:val="18"/>
                <w:color w:val="auto"/>
              </w:rPr>
              <w:t>Domestic Operations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250,140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236,353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492,673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477,386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International and Other</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5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Corporate / Inter-segment Eliminations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(63,080)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Consolidated AOI</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488,616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depreciation and amortization, cloud computing amortization, share-based compensation expense or benefit, impairment and other charges (including gains or losses on sales or dispositions of businesses), restructuring and other related charges and including the Company’s proportionate share of adjusted operating income (loss) from majority-owned equity method investees. From time to time, we may exclude the impact of certain events, gains, losses or other charges (such as significant legal settlements) from AOI that affect our operating performance.</w:t>
      </w:r>
    </w:p>
    <w:p>
      <w:pPr>
        <w:spacing w:after="0" w:line="70"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w:t>
      </w:r>
    </w:p>
    <w:p>
      <w:pPr>
        <w:spacing w:after="0" w:line="1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Internally, we use revenues, net and AOI measures as the most important indicators of our business performance, and evaluate management's effectiveness with specific reference to these indicators.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7" w:name="page28"/>
    <w:bookmarkEnd w:id="27"/>
    <w:p>
      <w:pPr>
        <w:ind w:left="460"/>
        <w:spacing w:after="0"/>
        <w:rPr>
          <w:sz w:val="20"/>
          <w:szCs w:val="20"/>
          <w:color w:val="auto"/>
        </w:rPr>
      </w:pPr>
      <w:r>
        <w:rPr>
          <w:rFonts w:ascii="Arial" w:cs="Arial" w:eastAsia="Arial" w:hAnsi="Arial"/>
          <w:sz w:val="18"/>
          <w:szCs w:val="18"/>
          <w:color w:val="auto"/>
        </w:rPr>
        <w:t>The following is a reconciliation of consolidated operating income to AOI for the periods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Pr>
          <w:p>
            <w:pPr>
              <w:spacing w:after="0"/>
              <w:rPr>
                <w:sz w:val="18"/>
                <w:szCs w:val="18"/>
                <w:color w:val="auto"/>
              </w:rPr>
            </w:pPr>
          </w:p>
        </w:tc>
        <w:tc>
          <w:tcPr>
            <w:tcW w:w="2920" w:type="dxa"/>
            <w:vAlign w:val="bottom"/>
            <w:gridSpan w:val="4"/>
          </w:tcPr>
          <w:p>
            <w:pPr>
              <w:jc w:val="right"/>
              <w:ind w:right="611"/>
              <w:spacing w:after="0"/>
              <w:rPr>
                <w:sz w:val="20"/>
                <w:szCs w:val="20"/>
                <w:color w:val="auto"/>
              </w:rPr>
            </w:pPr>
            <w:r>
              <w:rPr>
                <w:rFonts w:ascii="Arial" w:cs="Arial" w:eastAsia="Arial" w:hAnsi="Arial"/>
                <w:sz w:val="16"/>
                <w:szCs w:val="16"/>
                <w:b w:val="1"/>
                <w:bCs w:val="1"/>
                <w:color w:val="auto"/>
              </w:rPr>
              <w:t>Six Months Ended June 30,</w:t>
            </w:r>
          </w:p>
        </w:tc>
      </w:tr>
      <w:tr>
        <w:trPr>
          <w:trHeight w:val="236"/>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2020</w:t>
            </w:r>
          </w:p>
        </w:tc>
      </w:tr>
      <w:tr>
        <w:trPr>
          <w:trHeight w:val="22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221,772</w:t>
            </w: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30,747</w:t>
            </w: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52,635</w:t>
            </w: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9,473</w:t>
            </w: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and other charges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130,411</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Cloud computing amortization</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w:t>
            </w: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color w:val="auto"/>
              </w:rPr>
              <w:t>AOI</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250,637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225,278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488,616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447,732</w:t>
            </w:r>
          </w:p>
        </w:tc>
      </w:tr>
      <w:tr>
        <w:trPr>
          <w:trHeight w:val="20"/>
        </w:trPr>
        <w:tc>
          <w:tcPr>
            <w:tcW w:w="4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Domestic Operations</w:t>
      </w:r>
    </w:p>
    <w:p>
      <w:pPr>
        <w:spacing w:after="0" w:line="117"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In our Domestic Operations segment, we earn revenue principally from: (i) the distribution of our programming, through our programming networks and owned subscription streaming services, (ii) the sale of advertising, and (iii) the licensing of our original programming to distributors, including the distribution of programming of IFC Films. Distribution revenue primarily includes subscription fees paid by distributors to carry our programming networks and streaming services, and content licensing revenue from the licensing of original programming for digital, foreign and home video distribution. Subscription fees paid by distributors represent the largest component of distribution revenue. Our subscription fee revenues for our programming networks are based on a per subscriber fee, and, to a lesser extent, fixed fees under multi-year contracts, commonly referred to as "affiliation agreements," which generally provide for annual rate increases. The specific subscription fee revenues we earn vary from period to period, distributor to distributor and also vary among our programming services, but are generally based upon the number of each distributor's subscribers who receive our programming, referred to as viewing subscribers. Subscription fees for our streaming services are paid on a monthly basis. Content licensing revenue from the licensing of original programming for digital and foreign distribution is recognized upon availability or distribution by the licensee.</w:t>
      </w:r>
    </w:p>
    <w:p>
      <w:pPr>
        <w:spacing w:after="0" w:line="6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Under affiliation agreements with our distributors, we have the right to sell a specified amount of national advertising time on our programming networks. Our advertising revenues are more variable than subscription fee revenues because the majority of our advertising is sold on a short-term basis, not under long-term contracts. Our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w:t>
      </w:r>
    </w:p>
    <w:p>
      <w:pPr>
        <w:spacing w:after="0" w:line="80"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Programming expense, included in technical and operating expense, represents the largest expense of the Domestic Operations segment and primarily consists of amortization and write-offs of programming rights, such as those for original programming, feature films and licensed series, as well as participation and residual costs. The other components of technical and operating expense primarily include distribution and production related costs and program operating costs including cost of delivery, such as origination, transmission, uplinking and encryption.</w:t>
      </w:r>
    </w:p>
    <w:p>
      <w:pPr>
        <w:spacing w:after="0" w:line="6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success of our business depends on original programming, both scripted and unscripted, across all of our programming services. These original series generally result in higher ratings for our networks.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We will continue to increase our investment in programming across all of our networks. There may be significant changes in the level of our technical and operating expenses due to the amortization of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individual-film-forecast-computation method.</w:t>
      </w:r>
    </w:p>
    <w:p>
      <w:pPr>
        <w:spacing w:after="0" w:line="5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Most original series require us to make up-front investments, which are often significant amounts.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International and Other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International and Other segment primarily includes the operations of AMCNI and 25/7 Media (formerly Levity).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8" w:name="page29"/>
    <w:bookmarkEnd w:id="28"/>
    <w:p>
      <w:pPr>
        <w:jc w:val="both"/>
        <w:ind w:firstLine="445"/>
        <w:spacing w:after="0" w:line="290" w:lineRule="auto"/>
        <w:rPr>
          <w:sz w:val="20"/>
          <w:szCs w:val="20"/>
          <w:color w:val="auto"/>
        </w:rPr>
      </w:pPr>
      <w:r>
        <w:rPr>
          <w:rFonts w:ascii="Arial" w:cs="Arial" w:eastAsia="Arial" w:hAnsi="Arial"/>
          <w:sz w:val="16"/>
          <w:szCs w:val="16"/>
          <w:color w:val="auto"/>
        </w:rPr>
        <w:t>In our International and Other segment, we earn revenue principally from the international distribution of programming and, to a lesser extent, the sale of advertising from our AMCNI programming networks. We also earn revenue through production services from 25/7 Media. For the six months ended June 30, 2021, distribution revenues represented 82% of the revenues of the International and Other segment. Distribution revenue primarily includes subscription fees paid by distributors or consumers to carry our programming networks and production services revenue generated from 25/7 Media. Our subscription revenues are generally based on either a per-subscriber fee or a fixed contractual annual fee, under multi-year affiliation agreements, which may provide for annual rate increases. Our production services revenues are based on master production agreements whereby a third-party engages us to produce content on its behalf. Production services revenues are recognized based on the percentage of cost incurred to total estimated cost of the contract. Distribution revenues are derived from the distribution of our programming networks primarily in Europe and to a lesser extent, Latin America.</w:t>
      </w:r>
    </w:p>
    <w:p>
      <w:pPr>
        <w:spacing w:after="0" w:line="57"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Programming expense, program operating costs and production costs incurred to produce content for third parties are included in technical and operating expense, and represent the largest expense of the International and Other segment. Programming expense primarily consist of amortization of acquired content, costs of dubbing and sub-titling of programs, production costs, participation and residual costs. Program operating costs include costs such as origination, transmission, uplinking and encryption of our linear AMCNI channels as well as content hosting and delivery costs at our various on-line content distribution initiatives.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Corporate / Inter-segment Eliminations</w:t>
      </w:r>
    </w:p>
    <w:p>
      <w:pPr>
        <w:spacing w:after="0" w:line="117" w:lineRule="exact"/>
        <w:rPr>
          <w:sz w:val="20"/>
          <w:szCs w:val="20"/>
          <w:color w:val="auto"/>
        </w:rPr>
      </w:pPr>
    </w:p>
    <w:p>
      <w:pPr>
        <w:jc w:val="both"/>
        <w:ind w:right="20" w:firstLine="445"/>
        <w:spacing w:after="0" w:line="259" w:lineRule="auto"/>
        <w:rPr>
          <w:sz w:val="20"/>
          <w:szCs w:val="20"/>
          <w:color w:val="auto"/>
        </w:rPr>
      </w:pPr>
      <w:r>
        <w:rPr>
          <w:rFonts w:ascii="Arial" w:cs="Arial" w:eastAsia="Arial" w:hAnsi="Arial"/>
          <w:sz w:val="18"/>
          <w:szCs w:val="18"/>
          <w:color w:val="auto"/>
        </w:rPr>
        <w:t>Corporate operations primarily consist of executive management and administrative support services, such as executive salaries and benefits costs, costs of maintaining corporate headquarters, facilities and common support functions (such as human resources, legal, finance, strategic planning and information technology). The segment financial information set forth below, including the discussion related to individual line items, does not reflect inter-segment eliminations unless specifically indicated.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continues to monitor the ongoing impact of the COVID-19 pandemic on all aspects of its business. The Company cannot reasonably predict the ultimate impact of the COVID-19 pandemic, including the extent of any adverse impact on our business, results of operations and financial condition, which will depend on, among other things, the duration and spread of the pandemic, the impact of governmental regulations that have been, and may continue to be, imposed in response to the pandemic, the effectiveness of actions taken to contain or mitigate the outbreak, the availability, safety and efficacy of vaccines, and global economic conditions. The Company does not expect the COVID-19 pandemic and its related economic impact to affect its liquidity position or its ongoing ability to meet the covenants in its debt instruments.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Economic Conditions</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future performance is dependent, to a large extent, on general economic conditions including the impact of direct competition, our ability to manage our businesses effectively, and our relative strength and leverage in the marketplace, both with suppliers and customers.</w:t>
      </w:r>
    </w:p>
    <w:p>
      <w:pPr>
        <w:spacing w:after="0" w:line="6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Capital and credit market disruptions, as well as other events such as the COVID-19 pandemic, could cause economic downturns, which may lead to lower demand for our products, such as lower demand for television advertising and a decrease in the number of subscribers receiving our programming services from our distributors. Events such as these may adversely impact our results of operations,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amounts presented and discussed below represent 100% of each operating segment's revenues, net and expenses. Where we have management control of an entity, we consolidate 100% of such entity in our consolidated statements of operations notwithstanding that a third-party owns a significant interest in such entity. The noncontrolling owner's interest in the operating results of majority-owned or controlled subsidiaries are reflected in net income attributable to noncontrolling interests in our consolidated statements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2021 Compared to Three Months Ended June 30, 2020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w w:val="98"/>
              </w:rPr>
              <w:t>Three Months Ended 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113"/>
              <w:spacing w:after="0" w:line="130"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93"/>
              <w:spacing w:after="0" w:line="13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1"/>
                <w:szCs w:val="11"/>
                <w:color w:val="auto"/>
              </w:rPr>
            </w:pPr>
          </w:p>
        </w:tc>
        <w:tc>
          <w:tcPr>
            <w:tcW w:w="120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1"/>
                <w:szCs w:val="11"/>
                <w:color w:val="auto"/>
              </w:rPr>
            </w:pPr>
          </w:p>
        </w:tc>
        <w:tc>
          <w:tcPr>
            <w:tcW w:w="122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Revenues,</w:t>
            </w:r>
          </w:p>
        </w:tc>
        <w:tc>
          <w:tcPr>
            <w:tcW w:w="180" w:type="dxa"/>
            <w:vAlign w:val="bottom"/>
          </w:tcPr>
          <w:p>
            <w:pPr>
              <w:spacing w:after="0"/>
              <w:rPr>
                <w:sz w:val="11"/>
                <w:szCs w:val="11"/>
                <w:color w:val="auto"/>
              </w:rPr>
            </w:pPr>
          </w:p>
        </w:tc>
        <w:tc>
          <w:tcPr>
            <w:tcW w:w="8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Pr>
          <w:p>
            <w:pPr>
              <w:spacing w:after="0"/>
              <w:rPr>
                <w:sz w:val="11"/>
                <w:szCs w:val="11"/>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3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net</w:t>
            </w:r>
          </w:p>
        </w:tc>
        <w:tc>
          <w:tcPr>
            <w:tcW w:w="20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net</w:t>
            </w: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771,392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646,291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125,101</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9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Technical and operating (excluding depreciation</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338,841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282,503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56,338</w:t>
            </w:r>
          </w:p>
        </w:tc>
        <w:tc>
          <w:tcPr>
            <w:tcW w:w="1180" w:type="dxa"/>
            <w:vAlign w:val="bottom"/>
            <w:gridSpan w:val="2"/>
            <w:vMerge w:val="restart"/>
            <w:shd w:val="clear" w:color="auto" w:fill="CCEEFF"/>
          </w:tcPr>
          <w:p>
            <w:pPr>
              <w:jc w:val="right"/>
              <w:ind w:right="139"/>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and amortization)</w:t>
            </w: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198,618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155,163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43,455</w:t>
            </w:r>
          </w:p>
        </w:tc>
        <w:tc>
          <w:tcPr>
            <w:tcW w:w="1180" w:type="dxa"/>
            <w:vAlign w:val="bottom"/>
            <w:gridSpan w:val="2"/>
          </w:tcPr>
          <w:p>
            <w:pPr>
              <w:jc w:val="right"/>
              <w:ind w:right="139"/>
              <w:spacing w:after="0"/>
              <w:rPr>
                <w:sz w:val="20"/>
                <w:szCs w:val="20"/>
                <w:color w:val="auto"/>
              </w:rPr>
            </w:pPr>
            <w:r>
              <w:rPr>
                <w:rFonts w:ascii="Arial" w:cs="Arial" w:eastAsia="Arial" w:hAnsi="Arial"/>
                <w:sz w:val="18"/>
                <w:szCs w:val="18"/>
                <w:color w:val="auto"/>
              </w:rPr>
              <w:t>28.0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118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360"/>
              <w:spacing w:after="0"/>
              <w:rPr>
                <w:sz w:val="20"/>
                <w:szCs w:val="20"/>
                <w:color w:val="auto"/>
              </w:rPr>
            </w:pPr>
            <w:r>
              <w:rPr>
                <w:rFonts w:ascii="Arial" w:cs="Arial" w:eastAsia="Arial" w:hAnsi="Arial"/>
                <w:sz w:val="18"/>
                <w:szCs w:val="18"/>
                <w:color w:val="auto"/>
              </w:rPr>
              <w:t>Impairment and other charges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142,918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130,411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12,507</w:t>
            </w:r>
          </w:p>
        </w:tc>
        <w:tc>
          <w:tcPr>
            <w:tcW w:w="1180" w:type="dxa"/>
            <w:vAlign w:val="bottom"/>
            <w:gridSpan w:val="2"/>
          </w:tcPr>
          <w:p>
            <w:pPr>
              <w:jc w:val="right"/>
              <w:ind w:right="139"/>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118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(95.6)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703,136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133"/>
              <w:spacing w:after="0"/>
              <w:rPr>
                <w:sz w:val="20"/>
                <w:szCs w:val="20"/>
                <w:color w:val="auto"/>
              </w:rPr>
            </w:pPr>
            <w:r>
              <w:rPr>
                <w:rFonts w:ascii="Arial" w:cs="Arial" w:eastAsia="Arial" w:hAnsi="Arial"/>
                <w:sz w:val="18"/>
                <w:szCs w:val="18"/>
                <w:color w:val="auto"/>
              </w:rPr>
              <w:t>91.2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597,489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ind w:right="133"/>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105,647</w:t>
            </w:r>
          </w:p>
        </w:tc>
        <w:tc>
          <w:tcPr>
            <w:tcW w:w="1180" w:type="dxa"/>
            <w:vAlign w:val="bottom"/>
            <w:tcBorders>
              <w:bottom w:val="single" w:sz="8" w:color="CCEEFF"/>
            </w:tcBorders>
            <w:gridSpan w:val="2"/>
          </w:tcPr>
          <w:p>
            <w:pPr>
              <w:jc w:val="right"/>
              <w:ind w:right="139"/>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19,454</w:t>
            </w:r>
          </w:p>
        </w:tc>
        <w:tc>
          <w:tcPr>
            <w:tcW w:w="118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118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Miscellaneous, net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133"/>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ind w:right="13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5,461</w:t>
            </w:r>
          </w:p>
        </w:tc>
        <w:tc>
          <w:tcPr>
            <w:tcW w:w="1180" w:type="dxa"/>
            <w:vAlign w:val="bottom"/>
            <w:tcBorders>
              <w:bottom w:val="single" w:sz="8" w:color="CCEEFF"/>
            </w:tcBorders>
            <w:gridSpan w:val="2"/>
          </w:tcPr>
          <w:p>
            <w:pPr>
              <w:jc w:val="right"/>
              <w:ind w:right="139"/>
              <w:spacing w:after="0"/>
              <w:rPr>
                <w:sz w:val="20"/>
                <w:szCs w:val="20"/>
                <w:color w:val="auto"/>
              </w:rPr>
            </w:pPr>
            <w:r>
              <w:rPr>
                <w:rFonts w:ascii="Arial" w:cs="Arial" w:eastAsia="Arial" w:hAnsi="Arial"/>
                <w:sz w:val="18"/>
                <w:szCs w:val="18"/>
                <w:color w:val="auto"/>
              </w:rPr>
              <w:t>62.7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7,524</w:t>
            </w:r>
          </w:p>
        </w:tc>
        <w:tc>
          <w:tcPr>
            <w:tcW w:w="118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(34.4)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360"/>
              <w:spacing w:after="0"/>
              <w:rPr>
                <w:sz w:val="20"/>
                <w:szCs w:val="20"/>
                <w:color w:val="auto"/>
              </w:rPr>
            </w:pPr>
            <w:r>
              <w:rPr>
                <w:rFonts w:ascii="Arial" w:cs="Arial" w:eastAsia="Arial" w:hAnsi="Arial"/>
                <w:sz w:val="18"/>
                <w:szCs w:val="18"/>
                <w:color w:val="auto"/>
                <w:w w:val="91"/>
              </w:rPr>
              <w:t>Net income from operations before income taxes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53,919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26,978</w:t>
            </w:r>
          </w:p>
        </w:tc>
        <w:tc>
          <w:tcPr>
            <w:tcW w:w="1180" w:type="dxa"/>
            <w:vAlign w:val="bottom"/>
            <w:gridSpan w:val="2"/>
          </w:tcPr>
          <w:p>
            <w:pPr>
              <w:jc w:val="right"/>
              <w:ind w:right="139"/>
              <w:spacing w:after="0"/>
              <w:rPr>
                <w:sz w:val="20"/>
                <w:szCs w:val="20"/>
                <w:color w:val="auto"/>
              </w:rPr>
            </w:pPr>
            <w:r>
              <w:rPr>
                <w:rFonts w:ascii="Arial" w:cs="Arial" w:eastAsia="Arial" w:hAnsi="Arial"/>
                <w:sz w:val="18"/>
                <w:szCs w:val="18"/>
                <w:color w:val="auto"/>
              </w:rPr>
              <w:t>100.1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18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25,364</w:t>
            </w:r>
          </w:p>
        </w:tc>
        <w:tc>
          <w:tcPr>
            <w:tcW w:w="1180" w:type="dxa"/>
            <w:vAlign w:val="bottom"/>
            <w:gridSpan w:val="2"/>
          </w:tcPr>
          <w:p>
            <w:pPr>
              <w:jc w:val="right"/>
              <w:ind w:right="139"/>
              <w:spacing w:after="0"/>
              <w:rPr>
                <w:sz w:val="20"/>
                <w:szCs w:val="20"/>
                <w:color w:val="auto"/>
              </w:rPr>
            </w:pPr>
            <w:r>
              <w:rPr>
                <w:rFonts w:ascii="Arial" w:cs="Arial" w:eastAsia="Arial" w:hAnsi="Arial"/>
                <w:sz w:val="18"/>
                <w:szCs w:val="18"/>
                <w:color w:val="auto"/>
              </w:rPr>
              <w:t>147.2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118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195.3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920" w:type="dxa"/>
            <w:vAlign w:val="bottom"/>
          </w:tcPr>
          <w:p>
            <w:pPr>
              <w:ind w:left="20"/>
              <w:spacing w:after="0" w:line="156" w:lineRule="exact"/>
              <w:rPr>
                <w:sz w:val="20"/>
                <w:szCs w:val="20"/>
                <w:color w:val="auto"/>
              </w:rPr>
            </w:pPr>
            <w:r>
              <w:rPr>
                <w:rFonts w:ascii="Arial" w:cs="Arial" w:eastAsia="Arial" w:hAnsi="Arial"/>
                <w:sz w:val="18"/>
                <w:szCs w:val="18"/>
                <w:color w:val="auto"/>
              </w:rPr>
              <w:t>Net income attributable to AMC Networks'</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35,885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14,961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20,924</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139.9 %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920" w:type="dxa"/>
            <w:vAlign w:val="bottom"/>
          </w:tcPr>
          <w:p>
            <w:pPr>
              <w:ind w:left="20"/>
              <w:spacing w:after="0" w:line="202" w:lineRule="exact"/>
              <w:rPr>
                <w:sz w:val="20"/>
                <w:szCs w:val="20"/>
                <w:color w:val="auto"/>
              </w:rPr>
            </w:pPr>
            <w:r>
              <w:rPr>
                <w:rFonts w:ascii="Arial" w:cs="Arial" w:eastAsia="Arial" w:hAnsi="Arial"/>
                <w:sz w:val="18"/>
                <w:szCs w:val="18"/>
                <w:color w:val="auto"/>
              </w:rPr>
              <w:t>stockholders</w:t>
            </w:r>
          </w:p>
        </w:tc>
        <w:tc>
          <w:tcPr>
            <w:tcW w:w="2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vMerge w:val="restart"/>
          </w:tcPr>
          <w:p>
            <w:pPr>
              <w:jc w:val="right"/>
              <w:ind w:right="513"/>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6"/>
        </w:trPr>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0" w:name="page31"/>
    <w:bookmarkEnd w:id="30"/>
    <w:p>
      <w:pPr>
        <w:ind w:left="420"/>
        <w:spacing w:after="0"/>
        <w:rPr>
          <w:sz w:val="20"/>
          <w:szCs w:val="20"/>
          <w:color w:val="auto"/>
        </w:rPr>
      </w:pPr>
      <w:r>
        <w:rPr>
          <w:rFonts w:ascii="Arial" w:cs="Arial" w:eastAsia="Arial" w:hAnsi="Arial"/>
          <w:sz w:val="18"/>
          <w:szCs w:val="18"/>
          <w:b w:val="1"/>
          <w:bCs w:val="1"/>
          <w:color w:val="auto"/>
        </w:rPr>
        <w:t>Domestic Operations Segment Results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Domestic Operations segment results for the periods indicated.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10"/>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9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center"/>
              <w:ind w:right="174"/>
              <w:spacing w:after="0" w:line="130" w:lineRule="exact"/>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114"/>
              <w:spacing w:after="0" w:line="130"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5"/>
            <w:vMerge w:val="restart"/>
          </w:tcPr>
          <w:p>
            <w:pPr>
              <w:jc w:val="right"/>
              <w:ind w:right="68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3"/>
          </w:tcPr>
          <w:p>
            <w:pPr>
              <w:jc w:val="center"/>
              <w:ind w:right="380"/>
              <w:spacing w:after="0" w:line="135" w:lineRule="exact"/>
              <w:rPr>
                <w:sz w:val="20"/>
                <w:szCs w:val="20"/>
                <w:color w:val="auto"/>
              </w:rPr>
            </w:pPr>
            <w:r>
              <w:rPr>
                <w:rFonts w:ascii="Arial" w:cs="Arial" w:eastAsia="Arial" w:hAnsi="Arial"/>
                <w:sz w:val="14"/>
                <w:szCs w:val="14"/>
                <w:b w:val="1"/>
                <w:bCs w:val="1"/>
                <w:color w:val="auto"/>
                <w:w w:val="88"/>
              </w:rPr>
              <w:t>Revenues,</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5"/>
            <w:vMerge w:val="restart"/>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Revenues,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1"/>
                <w:szCs w:val="11"/>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3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5"/>
            <w:vMerge w:val="continue"/>
          </w:tcPr>
          <w:p>
            <w:pPr>
              <w:spacing w:after="0"/>
              <w:rPr>
                <w:sz w:val="16"/>
                <w:szCs w:val="16"/>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5"/>
              </w:rPr>
              <w:t>net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5"/>
            <w:vMerge w:val="continue"/>
          </w:tcPr>
          <w:p>
            <w:pPr>
              <w:spacing w:after="0"/>
              <w:rPr>
                <w:sz w:val="16"/>
                <w:szCs w:val="16"/>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net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639,015</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562,932</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76,083</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8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Technical and operating (excluding</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268,399</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42.0</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235,335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41.8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33,064</w:t>
            </w:r>
          </w:p>
        </w:tc>
        <w:tc>
          <w:tcPr>
            <w:tcW w:w="1180" w:type="dxa"/>
            <w:vAlign w:val="bottom"/>
            <w:gridSpan w:val="2"/>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14.0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127,568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97,506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30,062</w:t>
            </w:r>
          </w:p>
        </w:tc>
        <w:tc>
          <w:tcPr>
            <w:tcW w:w="1180" w:type="dxa"/>
            <w:vAlign w:val="bottom"/>
            <w:gridSpan w:val="2"/>
          </w:tcPr>
          <w:p>
            <w:pPr>
              <w:jc w:val="right"/>
              <w:ind w:right="135"/>
              <w:spacing w:after="0"/>
              <w:rPr>
                <w:sz w:val="20"/>
                <w:szCs w:val="20"/>
                <w:color w:val="auto"/>
              </w:rPr>
            </w:pPr>
            <w:r>
              <w:rPr>
                <w:rFonts w:ascii="Arial" w:cs="Arial" w:eastAsia="Arial" w:hAnsi="Arial"/>
                <w:sz w:val="18"/>
                <w:szCs w:val="18"/>
                <w:color w:val="auto"/>
              </w:rPr>
              <w:t>30.8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1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360"/>
              <w:spacing w:after="0"/>
              <w:rPr>
                <w:sz w:val="20"/>
                <w:szCs w:val="20"/>
                <w:color w:val="auto"/>
              </w:rPr>
            </w:pPr>
            <w:r>
              <w:rPr>
                <w:rFonts w:ascii="Arial" w:cs="Arial" w:eastAsia="Arial" w:hAnsi="Arial"/>
                <w:sz w:val="18"/>
                <w:szCs w:val="18"/>
                <w:color w:val="auto"/>
              </w:rPr>
              <w:t>Impairment and other charges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22.4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5"/>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143,000</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related charges</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18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(82.1)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88,116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217,586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(129,470)</w:t>
            </w:r>
          </w:p>
        </w:tc>
        <w:tc>
          <w:tcPr>
            <w:tcW w:w="1180" w:type="dxa"/>
            <w:vAlign w:val="bottom"/>
            <w:gridSpan w:val="2"/>
          </w:tcPr>
          <w:p>
            <w:pPr>
              <w:jc w:val="right"/>
              <w:ind w:right="95"/>
              <w:spacing w:after="0"/>
              <w:rPr>
                <w:sz w:val="20"/>
                <w:szCs w:val="20"/>
                <w:color w:val="auto"/>
              </w:rPr>
            </w:pPr>
            <w:r>
              <w:rPr>
                <w:rFonts w:ascii="Arial" w:cs="Arial" w:eastAsia="Arial" w:hAnsi="Arial"/>
                <w:sz w:val="18"/>
                <w:szCs w:val="18"/>
                <w:color w:val="auto"/>
              </w:rPr>
              <w:t>(59.5)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1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50.5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11,716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11,301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415</w:t>
            </w:r>
          </w:p>
        </w:tc>
        <w:tc>
          <w:tcPr>
            <w:tcW w:w="1180" w:type="dxa"/>
            <w:vAlign w:val="bottom"/>
            <w:gridSpan w:val="2"/>
          </w:tcPr>
          <w:p>
            <w:pPr>
              <w:jc w:val="right"/>
              <w:ind w:right="135"/>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and other charges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22.4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143,000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(988)</w:t>
            </w:r>
          </w:p>
        </w:tc>
        <w:tc>
          <w:tcPr>
            <w:tcW w:w="1180" w:type="dxa"/>
            <w:vAlign w:val="bottom"/>
            <w:gridSpan w:val="2"/>
          </w:tcPr>
          <w:p>
            <w:pPr>
              <w:jc w:val="right"/>
              <w:ind w:right="95"/>
              <w:spacing w:after="0"/>
              <w:rPr>
                <w:sz w:val="20"/>
                <w:szCs w:val="20"/>
                <w:color w:val="auto"/>
              </w:rPr>
            </w:pPr>
            <w:r>
              <w:rPr>
                <w:rFonts w:ascii="Arial" w:cs="Arial" w:eastAsia="Arial" w:hAnsi="Arial"/>
                <w:sz w:val="18"/>
                <w:szCs w:val="18"/>
                <w:color w:val="auto"/>
              </w:rPr>
              <w:t>(82.1)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18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(114.1)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AOI</w:t>
            </w: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250,140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39.1 %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236,353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42.0 %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820" w:type="dxa"/>
            <w:vAlign w:val="bottom"/>
            <w:vMerge w:val="restart"/>
          </w:tcPr>
          <w:p>
            <w:pPr>
              <w:ind w:left="460"/>
              <w:spacing w:after="0"/>
              <w:rPr>
                <w:sz w:val="20"/>
                <w:szCs w:val="20"/>
                <w:color w:val="auto"/>
              </w:rPr>
            </w:pPr>
            <w:r>
              <w:rPr>
                <w:rFonts w:ascii="Arial" w:cs="Arial" w:eastAsia="Arial" w:hAnsi="Arial"/>
                <w:sz w:val="18"/>
                <w:szCs w:val="18"/>
                <w:b w:val="1"/>
                <w:bCs w:val="1"/>
                <w:color w:val="auto"/>
                <w:w w:val="95"/>
              </w:rPr>
              <w:t>International and Other Segment Results</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3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80" w:type="dxa"/>
            <w:vAlign w:val="bottom"/>
            <w:gridSpan w:val="18"/>
          </w:tcPr>
          <w:p>
            <w:pPr>
              <w:ind w:left="420"/>
              <w:spacing w:after="0"/>
              <w:rPr>
                <w:sz w:val="20"/>
                <w:szCs w:val="20"/>
                <w:color w:val="auto"/>
              </w:rPr>
            </w:pPr>
            <w:r>
              <w:rPr>
                <w:rFonts w:ascii="Arial" w:cs="Arial" w:eastAsia="Arial" w:hAnsi="Arial"/>
                <w:sz w:val="18"/>
                <w:szCs w:val="18"/>
                <w:color w:val="auto"/>
                <w:w w:val="94"/>
              </w:rPr>
              <w:t>The following table sets forth our International and Other segment results for the periods indicated.</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0"/>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tcPr>
          <w:p>
            <w:pPr>
              <w:jc w:val="center"/>
              <w:ind w:right="260"/>
              <w:spacing w:after="0" w:line="130"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180"/>
              <w:spacing w:after="0" w:line="130"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5"/>
            <w:vMerge w:val="restart"/>
          </w:tcPr>
          <w:p>
            <w:pPr>
              <w:jc w:val="right"/>
              <w:ind w:right="66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Revenues,</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5"/>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Revenues,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1"/>
                <w:szCs w:val="11"/>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3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5"/>
            <w:vMerge w:val="continue"/>
          </w:tcPr>
          <w:p>
            <w:pPr>
              <w:spacing w:after="0"/>
              <w:rPr>
                <w:sz w:val="16"/>
                <w:szCs w:val="16"/>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net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5"/>
            <w:vMerge w:val="continue"/>
          </w:tcPr>
          <w:p>
            <w:pPr>
              <w:spacing w:after="0"/>
              <w:rPr>
                <w:sz w:val="16"/>
                <w:szCs w:val="16"/>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net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138,277</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90,682</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47,595</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8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89"/>
              </w:rPr>
              <w:t>Technical and operating (excluding depreciation</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73,795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53.4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54,190</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59.8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19,605</w:t>
            </w:r>
          </w:p>
        </w:tc>
        <w:tc>
          <w:tcPr>
            <w:tcW w:w="1180" w:type="dxa"/>
            <w:vAlign w:val="bottom"/>
            <w:gridSpan w:val="2"/>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36.2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and amortization)</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40,290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29.1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21,818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18,472</w:t>
            </w:r>
          </w:p>
        </w:tc>
        <w:tc>
          <w:tcPr>
            <w:tcW w:w="1180" w:type="dxa"/>
            <w:vAlign w:val="bottom"/>
            <w:gridSpan w:val="2"/>
          </w:tcPr>
          <w:p>
            <w:pPr>
              <w:jc w:val="right"/>
              <w:ind w:right="135"/>
              <w:spacing w:after="0"/>
              <w:rPr>
                <w:sz w:val="20"/>
                <w:szCs w:val="20"/>
                <w:color w:val="auto"/>
              </w:rPr>
            </w:pPr>
            <w:r>
              <w:rPr>
                <w:rFonts w:ascii="Arial" w:cs="Arial" w:eastAsia="Arial" w:hAnsi="Arial"/>
                <w:sz w:val="18"/>
                <w:szCs w:val="18"/>
                <w:color w:val="auto"/>
              </w:rPr>
              <w:t>84.7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118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(42.8)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360"/>
              <w:spacing w:after="0"/>
              <w:rPr>
                <w:sz w:val="20"/>
                <w:szCs w:val="20"/>
                <w:color w:val="auto"/>
              </w:rPr>
            </w:pPr>
            <w:r>
              <w:rPr>
                <w:rFonts w:ascii="Arial" w:cs="Arial" w:eastAsia="Arial" w:hAnsi="Arial"/>
                <w:sz w:val="18"/>
                <w:szCs w:val="18"/>
                <w:color w:val="auto"/>
              </w:rPr>
              <w:t>Impairment charges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130,411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143.8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(130,493)</w:t>
            </w:r>
          </w:p>
        </w:tc>
        <w:tc>
          <w:tcPr>
            <w:tcW w:w="1180" w:type="dxa"/>
            <w:vAlign w:val="bottom"/>
            <w:gridSpan w:val="2"/>
          </w:tcPr>
          <w:p>
            <w:pPr>
              <w:jc w:val="right"/>
              <w:ind w:right="95"/>
              <w:spacing w:after="0"/>
              <w:rPr>
                <w:sz w:val="20"/>
                <w:szCs w:val="20"/>
                <w:color w:val="auto"/>
              </w:rPr>
            </w:pPr>
            <w:r>
              <w:rPr>
                <w:rFonts w:ascii="Arial" w:cs="Arial" w:eastAsia="Arial" w:hAnsi="Arial"/>
                <w:sz w:val="18"/>
                <w:szCs w:val="18"/>
                <w:color w:val="auto"/>
              </w:rPr>
              <w:t>(100.1)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related charges</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118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(100.8)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19,963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14.4 %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(125,562)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145,525</w:t>
            </w:r>
          </w:p>
        </w:tc>
        <w:tc>
          <w:tcPr>
            <w:tcW w:w="1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1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4,328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7,563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(3,235)</w:t>
            </w:r>
          </w:p>
        </w:tc>
        <w:tc>
          <w:tcPr>
            <w:tcW w:w="1180" w:type="dxa"/>
            <w:vAlign w:val="bottom"/>
            <w:gridSpan w:val="2"/>
          </w:tcPr>
          <w:p>
            <w:pPr>
              <w:jc w:val="right"/>
              <w:ind w:right="95"/>
              <w:spacing w:after="0"/>
              <w:rPr>
                <w:sz w:val="20"/>
                <w:szCs w:val="20"/>
                <w:color w:val="auto"/>
              </w:rPr>
            </w:pPr>
            <w:r>
              <w:rPr>
                <w:rFonts w:ascii="Arial" w:cs="Arial" w:eastAsia="Arial" w:hAnsi="Arial"/>
                <w:sz w:val="18"/>
                <w:szCs w:val="18"/>
                <w:color w:val="auto"/>
              </w:rPr>
              <w:t>(42.8)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and other charges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130,411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143.8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(130,493)</w:t>
            </w:r>
          </w:p>
        </w:tc>
        <w:tc>
          <w:tcPr>
            <w:tcW w:w="118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(100.1)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134"/>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w:t>
            </w:r>
          </w:p>
        </w:tc>
        <w:tc>
          <w:tcPr>
            <w:tcW w:w="1180" w:type="dxa"/>
            <w:vAlign w:val="bottom"/>
            <w:tcBorders>
              <w:bottom w:val="single" w:sz="8" w:color="CCEEFF"/>
            </w:tcBorders>
            <w:gridSpan w:val="2"/>
          </w:tcPr>
          <w:p>
            <w:pPr>
              <w:jc w:val="right"/>
              <w:ind w:right="95"/>
              <w:spacing w:after="0"/>
              <w:rPr>
                <w:sz w:val="20"/>
                <w:szCs w:val="20"/>
                <w:color w:val="auto"/>
              </w:rPr>
            </w:pPr>
            <w:r>
              <w:rPr>
                <w:rFonts w:ascii="Arial" w:cs="Arial" w:eastAsia="Arial" w:hAnsi="Arial"/>
                <w:sz w:val="18"/>
                <w:szCs w:val="18"/>
                <w:color w:val="auto"/>
              </w:rPr>
              <w:t>(100.8)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AOI</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25,105</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15,583</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61.1 %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514"/>
              <w:spacing w:after="0"/>
              <w:rPr>
                <w:sz w:val="20"/>
                <w:szCs w:val="20"/>
                <w:color w:val="auto"/>
              </w:rPr>
            </w:pPr>
            <w:r>
              <w:rPr>
                <w:rFonts w:ascii="Arial" w:cs="Arial" w:eastAsia="Arial" w:hAnsi="Arial"/>
                <w:sz w:val="18"/>
                <w:szCs w:val="18"/>
                <w:color w:val="auto"/>
              </w:rPr>
              <w:t>29</w:t>
            </w: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2"/>
        </w:trPr>
        <w:tc>
          <w:tcPr>
            <w:tcW w:w="3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1" w:name="page32"/>
    <w:bookmarkEnd w:id="31"/>
    <w:p>
      <w:pPr>
        <w:ind w:left="460"/>
        <w:spacing w:after="0"/>
        <w:rPr>
          <w:sz w:val="20"/>
          <w:szCs w:val="20"/>
          <w:color w:val="auto"/>
        </w:rPr>
      </w:pPr>
      <w:r>
        <w:rPr>
          <w:rFonts w:ascii="Arial" w:cs="Arial" w:eastAsia="Arial" w:hAnsi="Arial"/>
          <w:sz w:val="18"/>
          <w:szCs w:val="18"/>
          <w:b w:val="1"/>
          <w:bCs w:val="1"/>
          <w:color w:val="auto"/>
        </w:rPr>
        <w:t>Revenues,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Revenues, net increased $125.1 million to $771.4 million for the three months ended June 30, 2021 as compared to the three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The net change by segment was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8"/>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360" w:type="dxa"/>
            <w:vAlign w:val="bottom"/>
            <w:gridSpan w:val="2"/>
          </w:tcPr>
          <w:p>
            <w:pPr>
              <w:ind w:left="320"/>
              <w:spacing w:after="0"/>
              <w:rPr>
                <w:sz w:val="20"/>
                <w:szCs w:val="20"/>
                <w:color w:val="auto"/>
              </w:rPr>
            </w:pPr>
            <w:r>
              <w:rPr>
                <w:rFonts w:ascii="Arial" w:cs="Arial" w:eastAsia="Arial" w:hAnsi="Arial"/>
                <w:sz w:val="14"/>
                <w:szCs w:val="14"/>
                <w:b w:val="1"/>
                <w:bCs w:val="1"/>
                <w:color w:val="auto"/>
              </w:rPr>
              <w:t>% of total</w:t>
            </w:r>
          </w:p>
        </w:tc>
        <w:tc>
          <w:tcPr>
            <w:tcW w:w="260" w:type="dxa"/>
            <w:vAlign w:val="bottom"/>
          </w:tcPr>
          <w:p>
            <w:pPr>
              <w:spacing w:after="0"/>
              <w:rPr>
                <w:sz w:val="16"/>
                <w:szCs w:val="16"/>
                <w:color w:val="auto"/>
              </w:rPr>
            </w:pPr>
          </w:p>
        </w:tc>
        <w:tc>
          <w:tcPr>
            <w:tcW w:w="880" w:type="dxa"/>
            <w:vAlign w:val="bottom"/>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80" w:type="dxa"/>
            <w:vAlign w:val="bottom"/>
          </w:tcPr>
          <w:p>
            <w:pPr>
              <w:jc w:val="right"/>
              <w:ind w:right="259"/>
              <w:spacing w:after="0"/>
              <w:rPr>
                <w:sz w:val="20"/>
                <w:szCs w:val="20"/>
                <w:color w:val="auto"/>
              </w:rPr>
            </w:pPr>
            <w:r>
              <w:rPr>
                <w:rFonts w:ascii="Arial" w:cs="Arial" w:eastAsia="Arial" w:hAnsi="Arial"/>
                <w:sz w:val="14"/>
                <w:szCs w:val="14"/>
                <w:b w:val="1"/>
                <w:bCs w:val="1"/>
                <w:color w:val="auto"/>
              </w:rPr>
              <w:t>% of total</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280" w:type="dxa"/>
            <w:vAlign w:val="bottom"/>
          </w:tcPr>
          <w:p>
            <w:pPr>
              <w:ind w:left="34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639,015</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562,932</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76,083</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2"/>
              </w:rPr>
              <w:t>13.5 %</w:t>
            </w: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138,277</w:t>
            </w:r>
          </w:p>
        </w:tc>
        <w:tc>
          <w:tcPr>
            <w:tcW w:w="1360" w:type="dxa"/>
            <w:vAlign w:val="bottom"/>
            <w:gridSpan w:val="2"/>
          </w:tcPr>
          <w:p>
            <w:pPr>
              <w:jc w:val="right"/>
              <w:ind w:right="142"/>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90,682</w:t>
            </w:r>
          </w:p>
        </w:tc>
        <w:tc>
          <w:tcPr>
            <w:tcW w:w="1380" w:type="dxa"/>
            <w:vAlign w:val="bottom"/>
            <w:gridSpan w:val="2"/>
          </w:tcPr>
          <w:p>
            <w:pPr>
              <w:jc w:val="right"/>
              <w:ind w:right="139"/>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47,595</w:t>
            </w:r>
          </w:p>
        </w:tc>
        <w:tc>
          <w:tcPr>
            <w:tcW w:w="1380" w:type="dxa"/>
            <w:vAlign w:val="bottom"/>
            <w:gridSpan w:val="2"/>
          </w:tcPr>
          <w:p>
            <w:pPr>
              <w:ind w:left="840"/>
              <w:spacing w:after="0"/>
              <w:rPr>
                <w:sz w:val="20"/>
                <w:szCs w:val="20"/>
                <w:color w:val="auto"/>
              </w:rPr>
            </w:pPr>
            <w:r>
              <w:rPr>
                <w:rFonts w:ascii="Arial" w:cs="Arial" w:eastAsia="Arial" w:hAnsi="Arial"/>
                <w:sz w:val="18"/>
                <w:szCs w:val="18"/>
                <w:color w:val="auto"/>
              </w:rPr>
              <w:t>52.5</w:t>
            </w: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36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(7,323)</w:t>
            </w:r>
          </w:p>
        </w:tc>
        <w:tc>
          <w:tcPr>
            <w:tcW w:w="13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3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(19.4)</w:t>
            </w:r>
          </w:p>
        </w:tc>
      </w:tr>
      <w:tr>
        <w:trPr>
          <w:trHeight w:val="223"/>
        </w:trPr>
        <w:tc>
          <w:tcPr>
            <w:tcW w:w="348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771,392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646,291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125,101</w:t>
            </w:r>
          </w:p>
        </w:tc>
        <w:tc>
          <w:tcPr>
            <w:tcW w:w="1380" w:type="dxa"/>
            <w:vAlign w:val="bottom"/>
            <w:gridSpan w:val="2"/>
          </w:tcPr>
          <w:p>
            <w:pPr>
              <w:ind w:left="840"/>
              <w:spacing w:after="0"/>
              <w:rPr>
                <w:sz w:val="20"/>
                <w:szCs w:val="20"/>
                <w:color w:val="auto"/>
              </w:rPr>
            </w:pPr>
            <w:r>
              <w:rPr>
                <w:rFonts w:ascii="Arial" w:cs="Arial" w:eastAsia="Arial" w:hAnsi="Arial"/>
                <w:sz w:val="18"/>
                <w:szCs w:val="18"/>
                <w:color w:val="auto"/>
                <w:w w:val="92"/>
              </w:rPr>
              <w:t>19.4 %</w:t>
            </w:r>
          </w:p>
        </w:tc>
      </w:tr>
      <w:tr>
        <w:trPr>
          <w:trHeight w:val="20"/>
        </w:trPr>
        <w:tc>
          <w:tcPr>
            <w:tcW w:w="3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Domestic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Domestic Operations revenues, net was attributable to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175"/>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 of total</w:t>
            </w:r>
          </w:p>
        </w:tc>
        <w:tc>
          <w:tcPr>
            <w:tcW w:w="26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 of total</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260" w:type="dxa"/>
            <w:vAlign w:val="bottom"/>
          </w:tcPr>
          <w:p>
            <w:pPr>
              <w:ind w:left="32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212,282</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187,434</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24,848</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2"/>
              </w:rPr>
              <w:t>13.3 %</w:t>
            </w:r>
          </w:p>
        </w:tc>
      </w:tr>
      <w:tr>
        <w:trPr>
          <w:trHeight w:val="229"/>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Distribution and other</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426,733</w:t>
            </w:r>
          </w:p>
        </w:tc>
        <w:tc>
          <w:tcPr>
            <w:tcW w:w="1360" w:type="dxa"/>
            <w:vAlign w:val="bottom"/>
            <w:tcBorders>
              <w:bottom w:val="single" w:sz="8" w:color="CCEEFF"/>
            </w:tcBorders>
            <w:gridSpan w:val="2"/>
          </w:tcPr>
          <w:p>
            <w:pPr>
              <w:jc w:val="right"/>
              <w:ind w:right="142"/>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375,498</w:t>
            </w:r>
          </w:p>
        </w:tc>
        <w:tc>
          <w:tcPr>
            <w:tcW w:w="1360" w:type="dxa"/>
            <w:vAlign w:val="bottom"/>
            <w:tcBorders>
              <w:bottom w:val="single" w:sz="8" w:color="CCEEFF"/>
            </w:tcBorders>
            <w:gridSpan w:val="2"/>
          </w:tcPr>
          <w:p>
            <w:pPr>
              <w:jc w:val="right"/>
              <w:ind w:right="139"/>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51,235</w:t>
            </w:r>
          </w:p>
        </w:tc>
        <w:tc>
          <w:tcPr>
            <w:tcW w:w="1380" w:type="dxa"/>
            <w:vAlign w:val="bottom"/>
            <w:tcBorders>
              <w:bottom w:val="single" w:sz="8" w:color="CCEEFF"/>
            </w:tcBorders>
            <w:gridSpan w:val="2"/>
          </w:tcPr>
          <w:p>
            <w:pPr>
              <w:ind w:left="840"/>
              <w:spacing w:after="0"/>
              <w:rPr>
                <w:sz w:val="20"/>
                <w:szCs w:val="20"/>
                <w:color w:val="auto"/>
              </w:rPr>
            </w:pPr>
            <w:r>
              <w:rPr>
                <w:rFonts w:ascii="Arial" w:cs="Arial" w:eastAsia="Arial" w:hAnsi="Arial"/>
                <w:sz w:val="18"/>
                <w:szCs w:val="18"/>
                <w:color w:val="auto"/>
              </w:rPr>
              <w:t>13.6</w:t>
            </w:r>
          </w:p>
        </w:tc>
      </w:tr>
      <w:tr>
        <w:trPr>
          <w:trHeight w:val="248"/>
        </w:trPr>
        <w:tc>
          <w:tcPr>
            <w:tcW w:w="3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639,015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562,932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76,083</w:t>
            </w:r>
          </w:p>
        </w:tc>
        <w:tc>
          <w:tcPr>
            <w:tcW w:w="13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w w:val="92"/>
              </w:rPr>
              <w:t>13.5 %</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121" w:lineRule="exact"/>
        <w:rPr>
          <w:sz w:val="20"/>
          <w:szCs w:val="20"/>
          <w:color w:val="auto"/>
        </w:rPr>
      </w:pPr>
    </w:p>
    <w:p>
      <w:pPr>
        <w:jc w:val="both"/>
        <w:ind w:left="980" w:hanging="324"/>
        <w:spacing w:after="0" w:line="259"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increase of $24.8 million in advertising revenues was primarily attributable to higher pricing and ad-supported streaming growth, partially offset by a reduction in the number of episodes of our original programming and lower ratings. Most of our advertising revenues vary based on the number and timing of our original programming series and the popularity of our programming as measured by Nielsen. Due to these factors, we expect advertising revenues to vary from quarter to quarter.</w:t>
      </w:r>
    </w:p>
    <w:p>
      <w:pPr>
        <w:spacing w:after="0" w:line="119" w:lineRule="exact"/>
        <w:rPr>
          <w:rFonts w:ascii="Arial" w:cs="Arial" w:eastAsia="Arial" w:hAnsi="Arial"/>
          <w:sz w:val="18"/>
          <w:szCs w:val="18"/>
          <w:color w:val="auto"/>
        </w:rPr>
      </w:pPr>
    </w:p>
    <w:p>
      <w:pPr>
        <w:jc w:val="both"/>
        <w:ind w:left="980" w:hanging="324"/>
        <w:spacing w:after="0" w:line="262" w:lineRule="auto"/>
        <w:tabs>
          <w:tab w:leader="none" w:pos="975" w:val="left"/>
        </w:tabs>
        <w:numPr>
          <w:ilvl w:val="0"/>
          <w:numId w:val="9"/>
        </w:numPr>
        <w:rPr>
          <w:rFonts w:ascii="Arial" w:cs="Arial" w:eastAsia="Arial" w:hAnsi="Arial"/>
          <w:sz w:val="21"/>
          <w:szCs w:val="21"/>
          <w:color w:val="auto"/>
        </w:rPr>
      </w:pPr>
      <w:r>
        <w:rPr>
          <w:rFonts w:ascii="Arial" w:cs="Arial" w:eastAsia="Arial" w:hAnsi="Arial"/>
          <w:sz w:val="17"/>
          <w:szCs w:val="17"/>
          <w:color w:val="auto"/>
        </w:rPr>
        <w:t>The increase of $51.2 million in distribution and other revenues was primarily related to a 21% increase in subscription revenues driven by an increase in subscribers to our streaming services as well as the one-time beneficial impact of a distribution agreement renewal. Excluding the one-time beneficial impact, subscription revenues increased 17%. The increase in subscription revenue was partially offset by a 10% decrease in content licensing revenues related to the number of original programs we distributed as compared to the prior comparable period as a result of COVID-19 pandemic production delays. Subscription revenues vary based on the impact of renewals of affiliation agreements and streaming service subscription trends, and content licensing revenues vary based on the timing of availability of our programming to distributors. Because of these factors, we expect distribution revenues to vary from quarter to quarter.</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International and Other revenues, net was attributable to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175"/>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 of total</w:t>
            </w:r>
          </w:p>
        </w:tc>
        <w:tc>
          <w:tcPr>
            <w:tcW w:w="26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 of total</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260" w:type="dxa"/>
            <w:vAlign w:val="bottom"/>
          </w:tcPr>
          <w:p>
            <w:pPr>
              <w:ind w:left="32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25,967</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14,810</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11,157</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2"/>
              </w:rPr>
              <w:t>75.3 %</w:t>
            </w:r>
          </w:p>
        </w:tc>
      </w:tr>
      <w:tr>
        <w:trPr>
          <w:trHeight w:val="230"/>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Distribution and other</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112,310</w:t>
            </w:r>
          </w:p>
        </w:tc>
        <w:tc>
          <w:tcPr>
            <w:tcW w:w="1360" w:type="dxa"/>
            <w:vAlign w:val="bottom"/>
            <w:tcBorders>
              <w:bottom w:val="single" w:sz="8" w:color="CCEEFF"/>
            </w:tcBorders>
            <w:gridSpan w:val="2"/>
          </w:tcPr>
          <w:p>
            <w:pPr>
              <w:jc w:val="right"/>
              <w:ind w:right="142"/>
              <w:spacing w:after="0"/>
              <w:rPr>
                <w:sz w:val="20"/>
                <w:szCs w:val="20"/>
                <w:color w:val="auto"/>
              </w:rPr>
            </w:pPr>
            <w:r>
              <w:rPr>
                <w:rFonts w:ascii="Arial" w:cs="Arial" w:eastAsia="Arial" w:hAnsi="Arial"/>
                <w:sz w:val="18"/>
                <w:szCs w:val="18"/>
                <w:color w:val="auto"/>
              </w:rPr>
              <w:t>81.2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75,872</w:t>
            </w:r>
          </w:p>
        </w:tc>
        <w:tc>
          <w:tcPr>
            <w:tcW w:w="1360" w:type="dxa"/>
            <w:vAlign w:val="bottom"/>
            <w:tcBorders>
              <w:bottom w:val="single" w:sz="8" w:color="CCEEFF"/>
            </w:tcBorders>
            <w:gridSpan w:val="2"/>
          </w:tcPr>
          <w:p>
            <w:pPr>
              <w:jc w:val="right"/>
              <w:ind w:right="139"/>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36,438</w:t>
            </w:r>
          </w:p>
        </w:tc>
        <w:tc>
          <w:tcPr>
            <w:tcW w:w="1380" w:type="dxa"/>
            <w:vAlign w:val="bottom"/>
            <w:tcBorders>
              <w:bottom w:val="single" w:sz="8" w:color="CCEEFF"/>
            </w:tcBorders>
            <w:gridSpan w:val="2"/>
          </w:tcPr>
          <w:p>
            <w:pPr>
              <w:ind w:left="840"/>
              <w:spacing w:after="0"/>
              <w:rPr>
                <w:sz w:val="20"/>
                <w:szCs w:val="20"/>
                <w:color w:val="auto"/>
              </w:rPr>
            </w:pPr>
            <w:r>
              <w:rPr>
                <w:rFonts w:ascii="Arial" w:cs="Arial" w:eastAsia="Arial" w:hAnsi="Arial"/>
                <w:sz w:val="18"/>
                <w:szCs w:val="18"/>
                <w:color w:val="auto"/>
              </w:rPr>
              <w:t>48.0</w:t>
            </w:r>
          </w:p>
        </w:tc>
      </w:tr>
      <w:tr>
        <w:trPr>
          <w:trHeight w:val="248"/>
        </w:trPr>
        <w:tc>
          <w:tcPr>
            <w:tcW w:w="3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138,277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90,682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47,595</w:t>
            </w:r>
          </w:p>
        </w:tc>
        <w:tc>
          <w:tcPr>
            <w:tcW w:w="13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w w:val="92"/>
              </w:rPr>
              <w:t>52.5 %</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increase in advertising revenues is primarily related to higher pricing and an increase in ratings, as well as the favorable impact of foreign currency translation. The increase in distribution revenues related to the resumption of production activities at 25/7 Media and the favorable impact of foreign currency fluctuations at AMCNI.</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components of technical and operating expense primarily include the amortization and impairments or write-offs of program rights, such as those for original programming, feature films and licensed series, participation and residual costs, distribution and production related costs and program operating costs, such as origination, transmission, uplinking and encryption.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2" w:name="page33"/>
    <w:bookmarkEnd w:id="32"/>
    <w:p>
      <w:pPr>
        <w:ind w:left="460"/>
        <w:spacing w:after="0"/>
        <w:rPr>
          <w:sz w:val="20"/>
          <w:szCs w:val="20"/>
          <w:color w:val="auto"/>
        </w:rPr>
      </w:pPr>
      <w:r>
        <w:rPr>
          <w:rFonts w:ascii="Arial" w:cs="Arial" w:eastAsia="Arial" w:hAnsi="Arial"/>
          <w:sz w:val="16"/>
          <w:szCs w:val="16"/>
          <w:color w:val="auto"/>
        </w:rPr>
        <w:t>Technical and operating expense (excluding depreciation and amortization) increased $56.3 million to $338.8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as compared to the three months ended June 30, 2020. The net change by segment was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8"/>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268,399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235,335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2"/>
              </w:rPr>
              <w:t>14.0 %</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19"/>
                <w:szCs w:val="19"/>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73,795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54,190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19,605</w:t>
            </w:r>
          </w:p>
        </w:tc>
        <w:tc>
          <w:tcPr>
            <w:tcW w:w="1640" w:type="dxa"/>
            <w:vAlign w:val="bottom"/>
            <w:gridSpan w:val="2"/>
          </w:tcPr>
          <w:p>
            <w:pPr>
              <w:ind w:left="1100"/>
              <w:spacing w:after="0"/>
              <w:rPr>
                <w:sz w:val="20"/>
                <w:szCs w:val="20"/>
                <w:color w:val="auto"/>
              </w:rPr>
            </w:pPr>
            <w:r>
              <w:rPr>
                <w:rFonts w:ascii="Arial" w:cs="Arial" w:eastAsia="Arial" w:hAnsi="Arial"/>
                <w:sz w:val="18"/>
                <w:szCs w:val="18"/>
                <w:color w:val="auto"/>
              </w:rPr>
              <w:t>36.2</w:t>
            </w: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(3,353)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(7,022)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16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(52.3)</w:t>
            </w:r>
          </w:p>
        </w:tc>
      </w:tr>
      <w:tr>
        <w:trPr>
          <w:trHeight w:val="223"/>
        </w:trPr>
        <w:tc>
          <w:tcPr>
            <w:tcW w:w="4860" w:type="dxa"/>
            <w:vAlign w:val="bottom"/>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338,841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282,503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56,338</w:t>
            </w:r>
          </w:p>
        </w:tc>
        <w:tc>
          <w:tcPr>
            <w:tcW w:w="1640" w:type="dxa"/>
            <w:vAlign w:val="bottom"/>
            <w:gridSpan w:val="2"/>
          </w:tcPr>
          <w:p>
            <w:pPr>
              <w:ind w:left="1100"/>
              <w:spacing w:after="0"/>
              <w:rPr>
                <w:sz w:val="20"/>
                <w:szCs w:val="20"/>
                <w:color w:val="auto"/>
              </w:rPr>
            </w:pPr>
            <w:r>
              <w:rPr>
                <w:rFonts w:ascii="Arial" w:cs="Arial" w:eastAsia="Arial" w:hAnsi="Arial"/>
                <w:sz w:val="18"/>
                <w:szCs w:val="18"/>
                <w:color w:val="auto"/>
                <w:w w:val="92"/>
              </w:rPr>
              <w:t>19.9 %</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r>
      <w:tr>
        <w:trPr>
          <w:trHeight w:val="223"/>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Percentage of revenues,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Domestic Operations</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increase in technical and operating expense of $33.1 million was primarily related to an increase in other direct programming costs. There were no significant program write-offs for three months ended June 30, 2021. There was $7.5 million of program write-offs for three months ended June 30, 2020. Programming write-offs are based on management's periodic assessment of programming usefulness.</w:t>
      </w:r>
    </w:p>
    <w:p>
      <w:pPr>
        <w:spacing w:after="0" w:line="7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There may be significant changes in the level of our technical and operating expenses from quarter to quarter and year to year due to original programming costs and/or content acquisition costs and/or the impact of management's periodic assessment of programming usefulness. Such costs will also fluctuate with the level of revenues derived from owned original programming in each period as these costs are amortized based on the film-forecast-computation method. As additional competition for programming increases and alternate distribution technologies continue to develop in the industry, costs for content acquisition and original programming may increase.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Technical and operating expense increased $19.6 million primarily due to an increase at 25/7 Media related to the resumption of production activities.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components of selling, general and administrative expense primarily include sales, marketing and advertising expenses, administrative costs and costs of non-production facilities.</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Selling, general and administrative expense increased $43.5 million to $198.6 million for the three months ended June 30, 2021, as compared to the three months ended June 30, 2020. The net change by segment was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8"/>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127,568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97,506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30,062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2"/>
              </w:rPr>
              <w:t>30.8 %</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19"/>
                <w:szCs w:val="19"/>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40,290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21,818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rPr>
              <w:t>18,472</w:t>
            </w:r>
          </w:p>
        </w:tc>
        <w:tc>
          <w:tcPr>
            <w:tcW w:w="1640" w:type="dxa"/>
            <w:vAlign w:val="bottom"/>
            <w:gridSpan w:val="2"/>
          </w:tcPr>
          <w:p>
            <w:pPr>
              <w:ind w:left="1100"/>
              <w:spacing w:after="0"/>
              <w:rPr>
                <w:sz w:val="20"/>
                <w:szCs w:val="20"/>
                <w:color w:val="auto"/>
              </w:rPr>
            </w:pPr>
            <w:r>
              <w:rPr>
                <w:rFonts w:ascii="Arial" w:cs="Arial" w:eastAsia="Arial" w:hAnsi="Arial"/>
                <w:sz w:val="18"/>
                <w:szCs w:val="18"/>
                <w:color w:val="auto"/>
              </w:rPr>
              <w:t>84.7</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 Inter-segment eliminations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30,760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35,839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4"/>
              </w:rPr>
              <w:t>(5,079)</w:t>
            </w:r>
          </w:p>
        </w:tc>
        <w:tc>
          <w:tcPr>
            <w:tcW w:w="16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(14.2)</w:t>
            </w:r>
          </w:p>
        </w:tc>
      </w:tr>
      <w:tr>
        <w:trPr>
          <w:trHeight w:val="223"/>
        </w:trPr>
        <w:tc>
          <w:tcPr>
            <w:tcW w:w="4860" w:type="dxa"/>
            <w:vAlign w:val="bottom"/>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198,618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155,163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43,455</w:t>
            </w:r>
          </w:p>
        </w:tc>
        <w:tc>
          <w:tcPr>
            <w:tcW w:w="1640" w:type="dxa"/>
            <w:vAlign w:val="bottom"/>
            <w:gridSpan w:val="2"/>
          </w:tcPr>
          <w:p>
            <w:pPr>
              <w:ind w:left="1100"/>
              <w:spacing w:after="0"/>
              <w:rPr>
                <w:sz w:val="20"/>
                <w:szCs w:val="20"/>
                <w:color w:val="auto"/>
              </w:rPr>
            </w:pPr>
            <w:r>
              <w:rPr>
                <w:rFonts w:ascii="Arial" w:cs="Arial" w:eastAsia="Arial" w:hAnsi="Arial"/>
                <w:sz w:val="18"/>
                <w:szCs w:val="18"/>
                <w:color w:val="auto"/>
                <w:w w:val="92"/>
              </w:rPr>
              <w:t>28.0 %</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r>
      <w:tr>
        <w:trPr>
          <w:trHeight w:val="224"/>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Percentage of revenues,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bl>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Domestic Operations</w:t>
      </w:r>
    </w:p>
    <w:p>
      <w:pPr>
        <w:spacing w:after="0" w:line="117"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Selling, general and administrative expense increased $30.1 million principally due to higher advertising and subscriber acquisition expenses related to our streaming services.</w:t>
      </w:r>
    </w:p>
    <w:p>
      <w:pPr>
        <w:spacing w:after="0" w:line="62"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There may be significant changes in the level of our selling, general and administrative expense from quarter to quarter and year to year due to the timing of promotions and marketing of original programming series.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Selling, general and administrative expense increased $18.5 million, primarily related to increased selling expenses, including commissions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AMCNI.</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Corporate / Inter-segment eliminations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decrease in corporate charges is due primarily to lower administrative costs and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3" w:name="page34"/>
    <w:bookmarkEnd w:id="33"/>
    <w:p>
      <w:pPr>
        <w:ind w:left="460"/>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Depreciation and amortization expense decreased $3.3 million to $22.6 million for the three months ended June 30, 2021 as compared to the three months ended June 30, 2020. The net change by segment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(3,235)</w:t>
            </w:r>
          </w:p>
        </w:tc>
        <w:tc>
          <w:tcPr>
            <w:tcW w:w="1680" w:type="dxa"/>
            <w:vAlign w:val="bottom"/>
            <w:gridSpan w:val="2"/>
          </w:tcPr>
          <w:p>
            <w:pPr>
              <w:jc w:val="right"/>
              <w:ind w:right="99"/>
              <w:spacing w:after="0"/>
              <w:rPr>
                <w:sz w:val="20"/>
                <w:szCs w:val="20"/>
                <w:color w:val="auto"/>
              </w:rPr>
            </w:pPr>
            <w:r>
              <w:rPr>
                <w:rFonts w:ascii="Arial" w:cs="Arial" w:eastAsia="Arial" w:hAnsi="Arial"/>
                <w:sz w:val="18"/>
                <w:szCs w:val="18"/>
                <w:color w:val="auto"/>
              </w:rPr>
              <w:t>(42.8)</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 Inter-segment Eliminations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(6.8)</w:t>
            </w:r>
          </w:p>
        </w:tc>
      </w:tr>
      <w:tr>
        <w:trPr>
          <w:trHeight w:val="223"/>
        </w:trPr>
        <w:tc>
          <w:tcPr>
            <w:tcW w:w="50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(12.7)%</w:t>
            </w: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decrease in depreciation and amortization expense in the International and Other segment was primarily due to the lower carrying values of long-lived assets resulting from the impairment charge recognized in June 2020.</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Impairment and other charges</w:t>
      </w:r>
    </w:p>
    <w:p>
      <w:pPr>
        <w:spacing w:after="0" w:line="10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6"/>
          <w:szCs w:val="16"/>
          <w:color w:val="auto"/>
        </w:rPr>
        <w:t xml:space="preserve">On July 16, 2021, the Company entered into a settlement agreement (the “Settlement Agreement”) with Frank Darabont, Ferenc, Inc., Darkwoods Productions, Inc., and Creative Artists Agency, LLC (together, the "Plaintiffs") in actions brought in connection with Frank Darabont’s rendering services as a writer, director and producer of the television series entitled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The consolidated cases were initially brought in 2013 and 2018 and the trial of the consolidated cases was scheduled to commence on April 4, 2022. The Settlement Agreement provides for a cash payment of $200 million (the “Settlement Payment”) to the Plaintiffs and future revenue sharing related to certain future streaming exhibition of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and </w:t>
      </w:r>
      <w:r>
        <w:rPr>
          <w:rFonts w:ascii="Arial" w:cs="Arial" w:eastAsia="Arial" w:hAnsi="Arial"/>
          <w:sz w:val="16"/>
          <w:szCs w:val="16"/>
          <w:i w:val="1"/>
          <w:iCs w:val="1"/>
          <w:color w:val="auto"/>
        </w:rPr>
        <w:t>Fear The</w:t>
      </w:r>
      <w:r>
        <w:rPr>
          <w:rFonts w:ascii="Arial" w:cs="Arial" w:eastAsia="Arial" w:hAnsi="Arial"/>
          <w:sz w:val="16"/>
          <w:szCs w:val="16"/>
          <w:color w:val="auto"/>
        </w:rPr>
        <w:t xml:space="preserve"> </w:t>
      </w:r>
      <w:r>
        <w:rPr>
          <w:rFonts w:ascii="Arial" w:cs="Arial" w:eastAsia="Arial" w:hAnsi="Arial"/>
          <w:sz w:val="16"/>
          <w:szCs w:val="16"/>
          <w:i w:val="1"/>
          <w:iCs w:val="1"/>
          <w:color w:val="auto"/>
        </w:rPr>
        <w:t>Walking Dead</w:t>
      </w:r>
      <w:r>
        <w:rPr>
          <w:rFonts w:ascii="Arial" w:cs="Arial" w:eastAsia="Arial" w:hAnsi="Arial"/>
          <w:sz w:val="16"/>
          <w:szCs w:val="16"/>
          <w:color w:val="auto"/>
        </w:rPr>
        <w:t>. With regard to the Settlement Payment, the Company recorded a charge of $143.0 million, included in Impairment and other charges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consideration for the extinguishment of Plaintiffs’ rights to any compensation in connection with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and any related programs and the dismissal of the actions with prejudice, which amount is net of $57.0 million of ordinary course accrued participations.</w:t>
      </w:r>
    </w:p>
    <w:p>
      <w:pPr>
        <w:spacing w:after="0" w:line="56" w:lineRule="exact"/>
        <w:rPr>
          <w:sz w:val="20"/>
          <w:szCs w:val="20"/>
          <w:color w:val="auto"/>
        </w:rPr>
      </w:pPr>
    </w:p>
    <w:p>
      <w:pPr>
        <w:jc w:val="both"/>
        <w:ind w:firstLine="405"/>
        <w:spacing w:after="0" w:line="225" w:lineRule="auto"/>
        <w:rPr>
          <w:sz w:val="20"/>
          <w:szCs w:val="20"/>
          <w:color w:val="auto"/>
        </w:rPr>
      </w:pPr>
      <w:r>
        <w:rPr>
          <w:rFonts w:ascii="Arial" w:cs="Arial" w:eastAsia="Arial" w:hAnsi="Arial"/>
          <w:sz w:val="18"/>
          <w:szCs w:val="18"/>
          <w:color w:val="auto"/>
        </w:rPr>
        <w:t>In June 2020, as a result of the continuing impact of the COVID-19 pandemic, we qualitatively assessed whether it was more likely than not that goodwill and long-lived assets were impaired as of June 30, 2020. Based on our then current projections and updated forecasts, we determined that sufficient indicators of potential impairment of long-lived assets existed and, in connection with the preparation of the Company's second quarter financial information, the Company performed a recoverability test of certain long-lived asset groups within the AMCNI reporting unit. This resulted in an impairment charge of $105.3 million primarily related to certain identifiable intangible assets, as well as property and equipment, and operating lease right-of-use assets. The Company then performed a goodwill impairment test and determined that the carrying value of the AMCNI reporting unit exceeded its fair value, resulting in an impairment charge of $25.1 million.</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Restructuring and other related charges</w:t>
      </w:r>
    </w:p>
    <w:p>
      <w:pPr>
        <w:spacing w:after="0" w:line="1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Restructuring and other related charges of $0.2 million for the three months ended June 30, 2021 are associated with the restructuring plan announced in November 2020.</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Restructuring and other related charges of $3.5 million for the three months ended June 30, 2020 primarily consisted of charges at AMCNI of $2.3 million related to costs associated with termination of distribution in certain territories and charges of $1.2 million related to severance associated with previously announced restructuring activities.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 (Loss)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8"/>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376"/>
              <w:spacing w:after="0"/>
              <w:rPr>
                <w:sz w:val="20"/>
                <w:szCs w:val="20"/>
                <w:color w:val="auto"/>
              </w:rPr>
            </w:pPr>
            <w:r>
              <w:rPr>
                <w:rFonts w:ascii="Arial" w:cs="Arial" w:eastAsia="Arial" w:hAnsi="Arial"/>
                <w:sz w:val="18"/>
                <w:szCs w:val="18"/>
                <w:color w:val="auto"/>
                <w:w w:val="87"/>
              </w:rPr>
              <w:t>88,116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(129,470)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20" w:type="dxa"/>
            <w:vAlign w:val="bottom"/>
          </w:tcPr>
          <w:p>
            <w:pPr>
              <w:spacing w:after="0"/>
              <w:rPr>
                <w:sz w:val="19"/>
                <w:szCs w:val="19"/>
                <w:color w:val="auto"/>
              </w:rPr>
            </w:pPr>
          </w:p>
        </w:tc>
        <w:tc>
          <w:tcPr>
            <w:tcW w:w="1100" w:type="dxa"/>
            <w:vAlign w:val="bottom"/>
          </w:tcPr>
          <w:p>
            <w:pPr>
              <w:jc w:val="center"/>
              <w:ind w:left="356"/>
              <w:spacing w:after="0"/>
              <w:rPr>
                <w:sz w:val="20"/>
                <w:szCs w:val="20"/>
                <w:color w:val="auto"/>
              </w:rPr>
            </w:pPr>
            <w:r>
              <w:rPr>
                <w:rFonts w:ascii="Arial" w:cs="Arial" w:eastAsia="Arial" w:hAnsi="Arial"/>
                <w:sz w:val="18"/>
                <w:szCs w:val="18"/>
                <w:color w:val="auto"/>
                <w:w w:val="90"/>
              </w:rPr>
              <w:t>19,963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(125,562)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145,525</w:t>
            </w:r>
          </w:p>
        </w:tc>
        <w:tc>
          <w:tcPr>
            <w:tcW w:w="1680" w:type="dxa"/>
            <w:vAlign w:val="bottom"/>
            <w:gridSpan w:val="2"/>
          </w:tcPr>
          <w:p>
            <w:pPr>
              <w:jc w:val="right"/>
              <w:ind w:right="99"/>
              <w:spacing w:after="0"/>
              <w:rPr>
                <w:sz w:val="20"/>
                <w:szCs w:val="20"/>
                <w:color w:val="auto"/>
              </w:rPr>
            </w:pPr>
            <w:r>
              <w:rPr>
                <w:rFonts w:ascii="Arial" w:cs="Arial" w:eastAsia="Arial" w:hAnsi="Arial"/>
                <w:sz w:val="18"/>
                <w:szCs w:val="18"/>
                <w:color w:val="auto"/>
              </w:rPr>
              <w:t>(115.9)</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 Inter-segment Eliminations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336"/>
              <w:spacing w:after="0"/>
              <w:rPr>
                <w:sz w:val="20"/>
                <w:szCs w:val="20"/>
                <w:color w:val="auto"/>
              </w:rPr>
            </w:pPr>
            <w:r>
              <w:rPr>
                <w:rFonts w:ascii="Arial" w:cs="Arial" w:eastAsia="Arial" w:hAnsi="Arial"/>
                <w:sz w:val="18"/>
                <w:szCs w:val="18"/>
                <w:color w:val="auto"/>
                <w:w w:val="89"/>
              </w:rPr>
              <w:t>(39,823)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(7.9)</w:t>
            </w:r>
          </w:p>
        </w:tc>
      </w:tr>
      <w:tr>
        <w:trPr>
          <w:trHeight w:val="223"/>
        </w:trPr>
        <w:tc>
          <w:tcPr>
            <w:tcW w:w="50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356"/>
              <w:spacing w:after="0"/>
              <w:rPr>
                <w:sz w:val="20"/>
                <w:szCs w:val="20"/>
                <w:color w:val="auto"/>
              </w:rPr>
            </w:pPr>
            <w:r>
              <w:rPr>
                <w:rFonts w:ascii="Arial" w:cs="Arial" w:eastAsia="Arial" w:hAnsi="Arial"/>
                <w:sz w:val="18"/>
                <w:szCs w:val="18"/>
                <w:color w:val="auto"/>
                <w:w w:val="90"/>
              </w:rPr>
              <w:t>68,256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48,802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39.9 %</w:t>
            </w:r>
          </w:p>
        </w:tc>
      </w:tr>
      <w:tr>
        <w:trPr>
          <w:trHeight w:val="20"/>
        </w:trPr>
        <w:tc>
          <w:tcPr>
            <w:tcW w:w="5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decrease in operating income at the Domestic Operations segment was primarily attributable to the $143.0 million charge taken in connection with the Settlement Agreement discussed above, as well as increases in technical and operating expense of $33.1 million and selling, general and administrative expense of $30.1 million, partially offset by an increase in revenue of $76.1 million.</w:t>
      </w:r>
    </w:p>
    <w:p>
      <w:pPr>
        <w:spacing w:after="0" w:line="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increase in operating income at the International and Other segment was primarily attributable the impairment charges of 130.4 million taken in 2020, as well as an increase in revenues of $47.6 million, partially offset by increases in technical and operating expense of $19.6 million and selling, general and administrative expense of $18.5 million.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4" w:name="page35"/>
    <w:bookmarkEnd w:id="34"/>
    <w:p>
      <w:pPr>
        <w:ind w:left="420"/>
        <w:spacing w:after="0"/>
        <w:rPr>
          <w:sz w:val="20"/>
          <w:szCs w:val="20"/>
          <w:color w:val="auto"/>
        </w:rPr>
      </w:pPr>
      <w:r>
        <w:rPr>
          <w:rFonts w:ascii="Arial" w:cs="Arial" w:eastAsia="Arial" w:hAnsi="Arial"/>
          <w:sz w:val="18"/>
          <w:szCs w:val="18"/>
          <w:b w:val="1"/>
          <w:bCs w:val="1"/>
          <w:color w:val="auto"/>
        </w:rPr>
        <w:t>AOI</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our consolidated operating income to AOI:</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8"/>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39.9 %</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1,027</w:t>
            </w:r>
          </w:p>
        </w:tc>
        <w:tc>
          <w:tcPr>
            <w:tcW w:w="1680" w:type="dxa"/>
            <w:vAlign w:val="bottom"/>
            <w:gridSpan w:val="2"/>
          </w:tcPr>
          <w:p>
            <w:pPr>
              <w:jc w:val="right"/>
              <w:ind w:right="136"/>
              <w:spacing w:after="0"/>
              <w:rPr>
                <w:sz w:val="20"/>
                <w:szCs w:val="20"/>
                <w:color w:val="auto"/>
              </w:rPr>
            </w:pPr>
            <w:r>
              <w:rPr>
                <w:rFonts w:ascii="Arial" w:cs="Arial" w:eastAsia="Arial" w:hAnsi="Arial"/>
                <w:sz w:val="18"/>
                <w:szCs w:val="18"/>
                <w:color w:val="auto"/>
              </w:rPr>
              <w:t>6.7</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168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(12.7)</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Impairment and other charges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142,918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130,411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12,507</w:t>
            </w:r>
          </w:p>
        </w:tc>
        <w:tc>
          <w:tcPr>
            <w:tcW w:w="1680" w:type="dxa"/>
            <w:vAlign w:val="bottom"/>
            <w:gridSpan w:val="2"/>
          </w:tcPr>
          <w:p>
            <w:pPr>
              <w:jc w:val="right"/>
              <w:ind w:right="136"/>
              <w:spacing w:after="0"/>
              <w:rPr>
                <w:sz w:val="20"/>
                <w:szCs w:val="20"/>
                <w:color w:val="auto"/>
              </w:rPr>
            </w:pPr>
            <w:r>
              <w:rPr>
                <w:rFonts w:ascii="Arial" w:cs="Arial" w:eastAsia="Arial" w:hAnsi="Arial"/>
                <w:sz w:val="18"/>
                <w:szCs w:val="18"/>
                <w:color w:val="auto"/>
              </w:rPr>
              <w:t>9.6</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168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(95.6)</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Majority-owned equity investees AOI</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(1,618)</w:t>
            </w:r>
          </w:p>
        </w:tc>
        <w:tc>
          <w:tcPr>
            <w:tcW w:w="1680" w:type="dxa"/>
            <w:vAlign w:val="bottom"/>
            <w:gridSpan w:val="2"/>
          </w:tcPr>
          <w:p>
            <w:pPr>
              <w:jc w:val="right"/>
              <w:ind w:right="96"/>
              <w:spacing w:after="0"/>
              <w:rPr>
                <w:sz w:val="20"/>
                <w:szCs w:val="20"/>
                <w:color w:val="auto"/>
              </w:rPr>
            </w:pPr>
            <w:r>
              <w:rPr>
                <w:rFonts w:ascii="Arial" w:cs="Arial" w:eastAsia="Arial" w:hAnsi="Arial"/>
                <w:sz w:val="18"/>
                <w:szCs w:val="18"/>
                <w:color w:val="auto"/>
              </w:rPr>
              <w:t>(114.1)</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Cloud computing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AOI</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250,637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225,278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11.3 %</w:t>
            </w:r>
          </w:p>
        </w:tc>
      </w:tr>
      <w:tr>
        <w:trPr>
          <w:trHeight w:val="21"/>
        </w:trPr>
        <w:tc>
          <w:tcPr>
            <w:tcW w:w="5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AOI increased $25.4 million for the three months ended June 30, 2021 as compared to the three months ended June 30, 2020. The net change by segment was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9,522</w:t>
            </w:r>
          </w:p>
        </w:tc>
        <w:tc>
          <w:tcPr>
            <w:tcW w:w="1680" w:type="dxa"/>
            <w:vAlign w:val="bottom"/>
            <w:gridSpan w:val="2"/>
          </w:tcPr>
          <w:p>
            <w:pPr>
              <w:jc w:val="right"/>
              <w:ind w:right="139"/>
              <w:spacing w:after="0"/>
              <w:rPr>
                <w:sz w:val="20"/>
                <w:szCs w:val="20"/>
                <w:color w:val="auto"/>
              </w:rPr>
            </w:pPr>
            <w:r>
              <w:rPr>
                <w:rFonts w:ascii="Arial" w:cs="Arial" w:eastAsia="Arial" w:hAnsi="Arial"/>
                <w:sz w:val="18"/>
                <w:szCs w:val="18"/>
                <w:color w:val="auto"/>
              </w:rPr>
              <w:t>61.1</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 Inter-segment Eliminations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(7.7)</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AOI</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250,637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225,278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11.3 %</w:t>
            </w:r>
          </w:p>
        </w:tc>
      </w:tr>
      <w:tr>
        <w:trPr>
          <w:trHeight w:val="21"/>
        </w:trPr>
        <w:tc>
          <w:tcPr>
            <w:tcW w:w="5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increases in AOI at the Domestic Operations and the International and Other segments were primarily due to the increase in revenues, partially offset by higher technical and operating expenses and higher selling, general, and administrative expenses.</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a result of the factors discussed above impacting the variability in revenues and operating expenses, we expect AOI to vary from quarter to quarter.</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decrease in interest expense, net of $2.1 million is primarily due to lower average interest rates on our outstanding senior notes.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Miscellaneous, net</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Miscellaneous, net was income of $14.2 million for the three months ended June 30, 2021 as compared to income of $8.7 million for the three months ended June 30, 2020. The increase in miscellaneous, net income of $5.5 million was primarily related to a favorable variance in the foreign currency remeasurement of monetary assets and liabilities (principally intercompany loans) that are denominated in currencies other than the underlying functional currency of the applicable entity.</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For the three months ended June 30, 2021, income tax expense was $11.3 million representing an effective tax rate of 21%. The items resulting in variances from the federal statutory rate of 21% primarily consist of state and local income tax expense and tax expense for an increase in valuation allowances for foreign taxes and U.S. foreign tax, partially offset by a tax benefit from foreign operations.</w:t>
      </w:r>
    </w:p>
    <w:p>
      <w:pPr>
        <w:spacing w:after="0" w:line="211" w:lineRule="exact"/>
        <w:rPr>
          <w:sz w:val="20"/>
          <w:szCs w:val="20"/>
          <w:color w:val="auto"/>
        </w:rPr>
      </w:pPr>
    </w:p>
    <w:p>
      <w:pPr>
        <w:jc w:val="both"/>
        <w:ind w:firstLine="437"/>
        <w:spacing w:after="0" w:line="296" w:lineRule="auto"/>
        <w:rPr>
          <w:sz w:val="20"/>
          <w:szCs w:val="20"/>
          <w:color w:val="auto"/>
        </w:rPr>
      </w:pPr>
      <w:r>
        <w:rPr>
          <w:rFonts w:ascii="Arial" w:cs="Arial" w:eastAsia="Arial" w:hAnsi="Arial"/>
          <w:sz w:val="16"/>
          <w:szCs w:val="16"/>
          <w:color w:val="auto"/>
        </w:rPr>
        <w:t>For the three months ended June 30, 2020, income tax expense was $9.7 million representing an effective tax rate of 36%. The effective tax rate differs from the federal statutory rate of 21% due primarily to tax expense from foreign operations, state and local income tax expense and tax expense resulting from an increase in valuation allowances for foreign taxes and U.S. foreign tax credits, partially offset by a discrete tax benefit relating to uncertain tax positions (including accrued interest) and tax benefit related to a foreign-derived intangible income deduction. The discrete tax benefit relating to uncertain tax positions is primarily due to an audit settlement and the filing of state income tax returns under a voluntary disclosure agreement.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Six Months Ended June 30, 2021 Compared to Six Months Ended June 30, 2020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Six Months Ended June 30,</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113"/>
              <w:spacing w:after="0" w:line="130"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73"/>
              <w:spacing w:after="0" w:line="130"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1"/>
                <w:szCs w:val="11"/>
                <w:color w:val="auto"/>
              </w:rPr>
            </w:pPr>
          </w:p>
        </w:tc>
        <w:tc>
          <w:tcPr>
            <w:tcW w:w="122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1"/>
                <w:szCs w:val="11"/>
                <w:color w:val="auto"/>
              </w:rPr>
            </w:pPr>
          </w:p>
        </w:tc>
        <w:tc>
          <w:tcPr>
            <w:tcW w:w="122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1"/>
                <w:szCs w:val="11"/>
                <w:color w:val="auto"/>
              </w:rPr>
            </w:pPr>
          </w:p>
        </w:tc>
        <w:tc>
          <w:tcPr>
            <w:tcW w:w="94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1"/>
                <w:szCs w:val="11"/>
                <w:color w:val="auto"/>
              </w:rPr>
            </w:pPr>
          </w:p>
        </w:tc>
        <w:tc>
          <w:tcPr>
            <w:tcW w:w="10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3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net</w:t>
            </w:r>
          </w:p>
        </w:tc>
        <w:tc>
          <w:tcPr>
            <w:tcW w:w="20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net</w:t>
            </w: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1,463,133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1,380,666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82,467</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1"/>
              </w:rPr>
              <w:t>Technical and operating (excluding depreciation</w:t>
            </w: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619,413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626,563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1180" w:type="dxa"/>
            <w:vAlign w:val="bottom"/>
            <w:gridSpan w:val="2"/>
            <w:vMerge w:val="restart"/>
            <w:shd w:val="clear" w:color="auto" w:fill="CCEEFF"/>
          </w:tcPr>
          <w:p>
            <w:pPr>
              <w:jc w:val="right"/>
              <w:ind w:right="9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and amortization)</w:t>
            </w: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390,153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339,812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50,341</w:t>
            </w:r>
          </w:p>
        </w:tc>
        <w:tc>
          <w:tcPr>
            <w:tcW w:w="1180" w:type="dxa"/>
            <w:vAlign w:val="bottom"/>
            <w:gridSpan w:val="2"/>
          </w:tcPr>
          <w:p>
            <w:pPr>
              <w:jc w:val="right"/>
              <w:ind w:right="136"/>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118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3860" w:type="dxa"/>
            <w:vAlign w:val="bottom"/>
          </w:tcPr>
          <w:p>
            <w:pPr>
              <w:ind w:left="360"/>
              <w:spacing w:after="0"/>
              <w:rPr>
                <w:sz w:val="20"/>
                <w:szCs w:val="20"/>
                <w:color w:val="auto"/>
              </w:rPr>
            </w:pPr>
            <w:r>
              <w:rPr>
                <w:rFonts w:ascii="Arial" w:cs="Arial" w:eastAsia="Arial" w:hAnsi="Arial"/>
                <w:sz w:val="18"/>
                <w:szCs w:val="18"/>
                <w:color w:val="auto"/>
              </w:rPr>
              <w:t>Impairment and other charges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158,973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130,411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28,562</w:t>
            </w:r>
          </w:p>
        </w:tc>
        <w:tc>
          <w:tcPr>
            <w:tcW w:w="1180" w:type="dxa"/>
            <w:vAlign w:val="bottom"/>
            <w:gridSpan w:val="2"/>
          </w:tcPr>
          <w:p>
            <w:pPr>
              <w:jc w:val="right"/>
              <w:ind w:right="136"/>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18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1,225,169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133"/>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1,158,894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133"/>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66,275</w:t>
            </w:r>
          </w:p>
        </w:tc>
        <w:tc>
          <w:tcPr>
            <w:tcW w:w="1180" w:type="dxa"/>
            <w:vAlign w:val="bottom"/>
            <w:tcBorders>
              <w:bottom w:val="single" w:sz="8" w:color="CCEEFF"/>
            </w:tcBorders>
            <w:gridSpan w:val="2"/>
          </w:tcPr>
          <w:p>
            <w:pPr>
              <w:jc w:val="right"/>
              <w:ind w:right="136"/>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16,192</w:t>
            </w:r>
          </w:p>
        </w:tc>
        <w:tc>
          <w:tcPr>
            <w:tcW w:w="118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118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386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(19,166)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Miscellaneous, net</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40,806</w:t>
            </w:r>
          </w:p>
        </w:tc>
        <w:tc>
          <w:tcPr>
            <w:tcW w:w="118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(63,405)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73"/>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(87,717)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73"/>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24,312</w:t>
            </w:r>
          </w:p>
        </w:tc>
        <w:tc>
          <w:tcPr>
            <w:tcW w:w="1180" w:type="dxa"/>
            <w:vAlign w:val="bottom"/>
            <w:tcBorders>
              <w:bottom w:val="single" w:sz="8" w:color="CCEEFF"/>
            </w:tcBorders>
            <w:gridSpan w:val="2"/>
          </w:tcPr>
          <w:p>
            <w:pPr>
              <w:jc w:val="right"/>
              <w:ind w:right="96"/>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155"/>
        </w:trPr>
        <w:tc>
          <w:tcPr>
            <w:tcW w:w="3860" w:type="dxa"/>
            <w:vAlign w:val="bottom"/>
            <w:shd w:val="clear" w:color="auto" w:fill="CCEEFF"/>
          </w:tcPr>
          <w:p>
            <w:pPr>
              <w:ind w:left="360"/>
              <w:spacing w:after="0" w:line="156" w:lineRule="exact"/>
              <w:rPr>
                <w:sz w:val="20"/>
                <w:szCs w:val="20"/>
                <w:color w:val="auto"/>
              </w:rPr>
            </w:pPr>
            <w:r>
              <w:rPr>
                <w:rFonts w:ascii="Arial" w:cs="Arial" w:eastAsia="Arial" w:hAnsi="Arial"/>
                <w:sz w:val="18"/>
                <w:szCs w:val="18"/>
                <w:color w:val="auto"/>
              </w:rPr>
              <w:t>Net income from operations before income</w:t>
            </w:r>
          </w:p>
        </w:tc>
        <w:tc>
          <w:tcPr>
            <w:tcW w:w="2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174,559</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134,055</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40,504</w:t>
            </w:r>
          </w:p>
        </w:tc>
        <w:tc>
          <w:tcPr>
            <w:tcW w:w="1180" w:type="dxa"/>
            <w:vAlign w:val="bottom"/>
            <w:gridSpan w:val="2"/>
            <w:vMerge w:val="restart"/>
            <w:shd w:val="clear" w:color="auto" w:fill="CCEEFF"/>
          </w:tcPr>
          <w:p>
            <w:pPr>
              <w:jc w:val="right"/>
              <w:ind w:right="136"/>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taxes</w:t>
            </w: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(37,236)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7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(43,295)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73"/>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6,059</w:t>
            </w:r>
          </w:p>
        </w:tc>
        <w:tc>
          <w:tcPr>
            <w:tcW w:w="1180" w:type="dxa"/>
            <w:vAlign w:val="bottom"/>
            <w:tcBorders>
              <w:bottom w:val="single" w:sz="8" w:color="CCEEFF"/>
            </w:tcBorders>
            <w:gridSpan w:val="2"/>
          </w:tcPr>
          <w:p>
            <w:pPr>
              <w:jc w:val="right"/>
              <w:ind w:right="96"/>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46,563</w:t>
            </w:r>
          </w:p>
        </w:tc>
        <w:tc>
          <w:tcPr>
            <w:tcW w:w="118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6"/>
              </w:rPr>
              <w:t>Net income attributable to noncontrolling interests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7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73"/>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(7,285)</w:t>
            </w:r>
          </w:p>
        </w:tc>
        <w:tc>
          <w:tcPr>
            <w:tcW w:w="1180" w:type="dxa"/>
            <w:vAlign w:val="bottom"/>
            <w:tcBorders>
              <w:bottom w:val="single" w:sz="8" w:color="CCEEFF"/>
            </w:tcBorders>
            <w:gridSpan w:val="2"/>
          </w:tcPr>
          <w:p>
            <w:pPr>
              <w:jc w:val="right"/>
              <w:ind w:right="136"/>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155"/>
        </w:trPr>
        <w:tc>
          <w:tcPr>
            <w:tcW w:w="38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income attributable to AMC Networks'</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122,906</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83,628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39,278</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47.0 %</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stockholders</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CCEEFF"/>
            </w:tcBorders>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36" w:name="page37"/>
    <w:bookmarkEnd w:id="36"/>
    <w:p>
      <w:pPr>
        <w:ind w:left="420"/>
        <w:spacing w:after="0"/>
        <w:rPr>
          <w:sz w:val="20"/>
          <w:szCs w:val="20"/>
          <w:color w:val="auto"/>
        </w:rPr>
      </w:pPr>
      <w:r>
        <w:rPr>
          <w:rFonts w:ascii="Arial" w:cs="Arial" w:eastAsia="Arial" w:hAnsi="Arial"/>
          <w:sz w:val="18"/>
          <w:szCs w:val="18"/>
          <w:b w:val="1"/>
          <w:bCs w:val="1"/>
          <w:color w:val="auto"/>
        </w:rPr>
        <w:t>Domestic Operations Segment Results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Domestic Operations segment results for the periods indicated.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Six Months Ended June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74"/>
              <w:spacing w:after="0" w:line="13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73"/>
              <w:spacing w:after="0" w:line="130"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1"/>
                <w:szCs w:val="11"/>
                <w:color w:val="auto"/>
              </w:rPr>
            </w:pPr>
          </w:p>
        </w:tc>
        <w:tc>
          <w:tcPr>
            <w:tcW w:w="122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1"/>
                <w:szCs w:val="11"/>
                <w:color w:val="auto"/>
              </w:rPr>
            </w:pPr>
          </w:p>
        </w:tc>
        <w:tc>
          <w:tcPr>
            <w:tcW w:w="120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1"/>
                <w:szCs w:val="11"/>
                <w:color w:val="auto"/>
              </w:rPr>
            </w:pPr>
          </w:p>
        </w:tc>
        <w:tc>
          <w:tcPr>
            <w:tcW w:w="9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1"/>
                <w:szCs w:val="11"/>
                <w:color w:val="auto"/>
              </w:rPr>
            </w:pPr>
          </w:p>
        </w:tc>
        <w:tc>
          <w:tcPr>
            <w:tcW w:w="126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3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net</w:t>
            </w:r>
          </w:p>
        </w:tc>
        <w:tc>
          <w:tcPr>
            <w:tcW w:w="22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net</w:t>
            </w: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1,212,984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1,174,825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38,159</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Technical and operating (excluding</w:t>
            </w: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480,360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498,683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(18,323)</w:t>
            </w:r>
          </w:p>
        </w:tc>
        <w:tc>
          <w:tcPr>
            <w:tcW w:w="1380" w:type="dxa"/>
            <w:vAlign w:val="bottom"/>
            <w:gridSpan w:val="2"/>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257,317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48,299</w:t>
            </w:r>
          </w:p>
        </w:tc>
        <w:tc>
          <w:tcPr>
            <w:tcW w:w="1380" w:type="dxa"/>
            <w:vAlign w:val="bottom"/>
            <w:gridSpan w:val="2"/>
          </w:tcPr>
          <w:p>
            <w:pPr>
              <w:jc w:val="right"/>
              <w:ind w:right="135"/>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13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3740" w:type="dxa"/>
            <w:vAlign w:val="bottom"/>
          </w:tcPr>
          <w:p>
            <w:pPr>
              <w:ind w:left="360"/>
              <w:spacing w:after="0"/>
              <w:rPr>
                <w:sz w:val="20"/>
                <w:szCs w:val="20"/>
                <w:color w:val="auto"/>
              </w:rPr>
            </w:pPr>
            <w:r>
              <w:rPr>
                <w:rFonts w:ascii="Arial" w:cs="Arial" w:eastAsia="Arial" w:hAnsi="Arial"/>
                <w:sz w:val="18"/>
                <w:szCs w:val="18"/>
                <w:color w:val="auto"/>
              </w:rPr>
              <w:t>Impairment and other charges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143,000</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38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304,575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442,187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(137,612)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13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2,838</w:t>
            </w:r>
          </w:p>
        </w:tc>
        <w:tc>
          <w:tcPr>
            <w:tcW w:w="1380" w:type="dxa"/>
            <w:vAlign w:val="bottom"/>
            <w:gridSpan w:val="2"/>
          </w:tcPr>
          <w:p>
            <w:pPr>
              <w:jc w:val="right"/>
              <w:ind w:right="135"/>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and other charges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143,000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1380" w:type="dxa"/>
            <w:vAlign w:val="bottom"/>
            <w:gridSpan w:val="2"/>
          </w:tcPr>
          <w:p>
            <w:pPr>
              <w:jc w:val="right"/>
              <w:ind w:right="95"/>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3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Arial" w:cs="Arial" w:eastAsia="Arial" w:hAnsi="Arial"/>
                <w:sz w:val="18"/>
                <w:szCs w:val="18"/>
                <w:color w:val="auto"/>
              </w:rPr>
              <w:t>AOI</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492,673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40.6 %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477,386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40.6 %</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International and Other Segment Results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International and Other segment results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75"/>
              <w:spacing w:after="0" w:line="130"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74"/>
              <w:spacing w:after="0" w:line="13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1"/>
                <w:szCs w:val="11"/>
                <w:color w:val="auto"/>
              </w:rPr>
            </w:pPr>
          </w:p>
        </w:tc>
        <w:tc>
          <w:tcPr>
            <w:tcW w:w="120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1"/>
                <w:szCs w:val="11"/>
                <w:color w:val="auto"/>
              </w:rPr>
            </w:pPr>
          </w:p>
        </w:tc>
        <w:tc>
          <w:tcPr>
            <w:tcW w:w="120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1"/>
                <w:szCs w:val="11"/>
                <w:color w:val="auto"/>
              </w:rPr>
            </w:pPr>
          </w:p>
        </w:tc>
        <w:tc>
          <w:tcPr>
            <w:tcW w:w="9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8"/>
              </w:rPr>
              <w:t>$ change</w:t>
            </w:r>
          </w:p>
        </w:tc>
        <w:tc>
          <w:tcPr>
            <w:tcW w:w="120" w:type="dxa"/>
            <w:vAlign w:val="bottom"/>
          </w:tcPr>
          <w:p>
            <w:pPr>
              <w:spacing w:after="0"/>
              <w:rPr>
                <w:sz w:val="11"/>
                <w:szCs w:val="11"/>
                <w:color w:val="auto"/>
              </w:rPr>
            </w:pPr>
          </w:p>
        </w:tc>
        <w:tc>
          <w:tcPr>
            <w:tcW w:w="126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3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net</w:t>
            </w:r>
          </w:p>
        </w:tc>
        <w:tc>
          <w:tcPr>
            <w:tcW w:w="2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net</w:t>
            </w: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259,444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215,510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43,934</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2"/>
              </w:rPr>
              <w:t>20.4 %</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Technical and operating (excluding</w:t>
            </w: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150,104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134,326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15,778</w:t>
            </w:r>
          </w:p>
        </w:tc>
        <w:tc>
          <w:tcPr>
            <w:tcW w:w="1380" w:type="dxa"/>
            <w:vAlign w:val="bottom"/>
            <w:gridSpan w:val="2"/>
            <w:vMerge w:val="restart"/>
            <w:shd w:val="clear" w:color="auto" w:fill="CCEEFF"/>
          </w:tcPr>
          <w:p>
            <w:pPr>
              <w:ind w:left="8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62,816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49,276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13,540</w:t>
            </w:r>
          </w:p>
        </w:tc>
        <w:tc>
          <w:tcPr>
            <w:tcW w:w="1380" w:type="dxa"/>
            <w:vAlign w:val="bottom"/>
            <w:gridSpan w:val="2"/>
          </w:tcPr>
          <w:p>
            <w:pPr>
              <w:ind w:left="8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13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Arial" w:cs="Arial" w:eastAsia="Arial" w:hAnsi="Arial"/>
                <w:sz w:val="18"/>
                <w:szCs w:val="18"/>
                <w:color w:val="auto"/>
              </w:rPr>
              <w:t>Impairment charges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130,411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(114,438)</w:t>
            </w:r>
          </w:p>
        </w:tc>
        <w:tc>
          <w:tcPr>
            <w:tcW w:w="1380" w:type="dxa"/>
            <w:vAlign w:val="bottom"/>
            <w:gridSpan w:val="2"/>
          </w:tcPr>
          <w:p>
            <w:pPr>
              <w:jc w:val="right"/>
              <w:ind w:right="99"/>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3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16,801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(121,201)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138,002</w:t>
            </w:r>
          </w:p>
        </w:tc>
        <w:tc>
          <w:tcPr>
            <w:tcW w:w="1380" w:type="dxa"/>
            <w:vAlign w:val="bottom"/>
            <w:gridSpan w:val="2"/>
          </w:tcPr>
          <w:p>
            <w:pPr>
              <w:jc w:val="right"/>
              <w:ind w:right="99"/>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3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(7,182)</w:t>
            </w:r>
          </w:p>
        </w:tc>
        <w:tc>
          <w:tcPr>
            <w:tcW w:w="1380" w:type="dxa"/>
            <w:vAlign w:val="bottom"/>
            <w:gridSpan w:val="2"/>
          </w:tcPr>
          <w:p>
            <w:pPr>
              <w:jc w:val="right"/>
              <w:ind w:right="99"/>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and other charges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(114,438)</w:t>
            </w:r>
          </w:p>
        </w:tc>
        <w:tc>
          <w:tcPr>
            <w:tcW w:w="13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ind w:right="135"/>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ind w:right="13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w:t>
            </w:r>
          </w:p>
        </w:tc>
        <w:tc>
          <w:tcPr>
            <w:tcW w:w="1380" w:type="dxa"/>
            <w:vAlign w:val="bottom"/>
            <w:tcBorders>
              <w:bottom w:val="single" w:sz="8" w:color="CCEEFF"/>
            </w:tcBorders>
            <w:gridSpan w:val="2"/>
          </w:tcPr>
          <w:p>
            <w:pPr>
              <w:jc w:val="right"/>
              <w:ind w:right="99"/>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AOI</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15,242</w:t>
            </w:r>
          </w:p>
        </w:tc>
        <w:tc>
          <w:tcPr>
            <w:tcW w:w="13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w w:val="92"/>
              </w:rPr>
              <w:t>45.6 %</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37" w:name="page38"/>
    <w:bookmarkEnd w:id="37"/>
    <w:p>
      <w:pPr>
        <w:ind w:left="460"/>
        <w:spacing w:after="0"/>
        <w:rPr>
          <w:sz w:val="20"/>
          <w:szCs w:val="20"/>
          <w:color w:val="auto"/>
        </w:rPr>
      </w:pPr>
      <w:r>
        <w:rPr>
          <w:rFonts w:ascii="Arial" w:cs="Arial" w:eastAsia="Arial" w:hAnsi="Arial"/>
          <w:sz w:val="18"/>
          <w:szCs w:val="18"/>
          <w:b w:val="1"/>
          <w:bCs w:val="1"/>
          <w:color w:val="auto"/>
        </w:rPr>
        <w:t>Revenues,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Revenues, net increased $82.5 million to $1,463.1 million for the six months ended June 30, 2021 as compared to the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The net change by segment was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360" w:type="dxa"/>
            <w:vAlign w:val="bottom"/>
            <w:gridSpan w:val="2"/>
          </w:tcPr>
          <w:p>
            <w:pPr>
              <w:ind w:left="320"/>
              <w:spacing w:after="0"/>
              <w:rPr>
                <w:sz w:val="20"/>
                <w:szCs w:val="20"/>
                <w:color w:val="auto"/>
              </w:rPr>
            </w:pPr>
            <w:r>
              <w:rPr>
                <w:rFonts w:ascii="Arial" w:cs="Arial" w:eastAsia="Arial" w:hAnsi="Arial"/>
                <w:sz w:val="14"/>
                <w:szCs w:val="14"/>
                <w:b w:val="1"/>
                <w:bCs w:val="1"/>
                <w:color w:val="auto"/>
              </w:rPr>
              <w:t>% of total</w:t>
            </w:r>
          </w:p>
        </w:tc>
        <w:tc>
          <w:tcPr>
            <w:tcW w:w="220" w:type="dxa"/>
            <w:vAlign w:val="bottom"/>
          </w:tcPr>
          <w:p>
            <w:pPr>
              <w:spacing w:after="0"/>
              <w:rPr>
                <w:sz w:val="16"/>
                <w:szCs w:val="16"/>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40" w:type="dxa"/>
            <w:vAlign w:val="bottom"/>
          </w:tcPr>
          <w:p>
            <w:pPr>
              <w:jc w:val="right"/>
              <w:ind w:right="239"/>
              <w:spacing w:after="0"/>
              <w:rPr>
                <w:sz w:val="20"/>
                <w:szCs w:val="20"/>
                <w:color w:val="auto"/>
              </w:rPr>
            </w:pPr>
            <w:r>
              <w:rPr>
                <w:rFonts w:ascii="Arial" w:cs="Arial" w:eastAsia="Arial" w:hAnsi="Arial"/>
                <w:sz w:val="14"/>
                <w:szCs w:val="14"/>
                <w:b w:val="1"/>
                <w:bCs w:val="1"/>
                <w:color w:val="auto"/>
              </w:rPr>
              <w:t>% of total</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1,212,984</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1,174,825</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38,159</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259,444</w:t>
            </w:r>
          </w:p>
        </w:tc>
        <w:tc>
          <w:tcPr>
            <w:tcW w:w="1360" w:type="dxa"/>
            <w:vAlign w:val="bottom"/>
            <w:gridSpan w:val="2"/>
          </w:tcPr>
          <w:p>
            <w:pPr>
              <w:jc w:val="right"/>
              <w:ind w:right="142"/>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215,510</w:t>
            </w:r>
          </w:p>
        </w:tc>
        <w:tc>
          <w:tcPr>
            <w:tcW w:w="1360" w:type="dxa"/>
            <w:vAlign w:val="bottom"/>
            <w:gridSpan w:val="2"/>
          </w:tcPr>
          <w:p>
            <w:pPr>
              <w:jc w:val="right"/>
              <w:ind w:right="139"/>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43,934</w:t>
            </w:r>
          </w:p>
        </w:tc>
        <w:tc>
          <w:tcPr>
            <w:tcW w:w="1380" w:type="dxa"/>
            <w:vAlign w:val="bottom"/>
            <w:gridSpan w:val="2"/>
          </w:tcPr>
          <w:p>
            <w:pPr>
              <w:jc w:val="right"/>
              <w:ind w:right="139"/>
              <w:spacing w:after="0"/>
              <w:rPr>
                <w:sz w:val="20"/>
                <w:szCs w:val="20"/>
                <w:color w:val="auto"/>
              </w:rPr>
            </w:pPr>
            <w:r>
              <w:rPr>
                <w:rFonts w:ascii="Arial" w:cs="Arial" w:eastAsia="Arial" w:hAnsi="Arial"/>
                <w:sz w:val="18"/>
                <w:szCs w:val="18"/>
                <w:color w:val="auto"/>
              </w:rPr>
              <w:t>20.4</w:t>
            </w: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(9,295)</w:t>
            </w:r>
          </w:p>
        </w:tc>
        <w:tc>
          <w:tcPr>
            <w:tcW w:w="13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(9,669)</w:t>
            </w:r>
          </w:p>
        </w:tc>
        <w:tc>
          <w:tcPr>
            <w:tcW w:w="136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3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(3.9)</w:t>
            </w:r>
          </w:p>
        </w:tc>
      </w:tr>
      <w:tr>
        <w:trPr>
          <w:trHeight w:val="223"/>
        </w:trPr>
        <w:tc>
          <w:tcPr>
            <w:tcW w:w="348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1,463,133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100.1 %</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1,380,666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100.1 %</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82,467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6.0 %</w:t>
            </w:r>
          </w:p>
        </w:tc>
      </w:tr>
      <w:tr>
        <w:trPr>
          <w:trHeight w:val="21"/>
        </w:trPr>
        <w:tc>
          <w:tcPr>
            <w:tcW w:w="3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Domestic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Domestic Operations revenues, net was attributable to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8"/>
        </w:trPr>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92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360" w:type="dxa"/>
            <w:vAlign w:val="bottom"/>
            <w:gridSpan w:val="2"/>
          </w:tcPr>
          <w:p>
            <w:pPr>
              <w:ind w:left="320"/>
              <w:spacing w:after="0"/>
              <w:rPr>
                <w:sz w:val="20"/>
                <w:szCs w:val="20"/>
                <w:color w:val="auto"/>
              </w:rPr>
            </w:pPr>
            <w:r>
              <w:rPr>
                <w:rFonts w:ascii="Arial" w:cs="Arial" w:eastAsia="Arial" w:hAnsi="Arial"/>
                <w:sz w:val="14"/>
                <w:szCs w:val="14"/>
                <w:b w:val="1"/>
                <w:bCs w:val="1"/>
                <w:color w:val="auto"/>
              </w:rPr>
              <w:t>% of total</w:t>
            </w:r>
          </w:p>
        </w:tc>
        <w:tc>
          <w:tcPr>
            <w:tcW w:w="240" w:type="dxa"/>
            <w:vAlign w:val="bottom"/>
          </w:tcPr>
          <w:p>
            <w:pPr>
              <w:spacing w:after="0"/>
              <w:rPr>
                <w:sz w:val="16"/>
                <w:szCs w:val="16"/>
                <w:color w:val="auto"/>
              </w:rPr>
            </w:pPr>
          </w:p>
        </w:tc>
        <w:tc>
          <w:tcPr>
            <w:tcW w:w="92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 of total</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1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280" w:type="dxa"/>
            <w:vAlign w:val="bottom"/>
          </w:tcPr>
          <w:p>
            <w:pPr>
              <w:ind w:left="34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411,424</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400,660</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10,764</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95"/>
              </w:rPr>
              <w:t>2.7 %</w:t>
            </w:r>
          </w:p>
        </w:tc>
      </w:tr>
      <w:tr>
        <w:trPr>
          <w:trHeight w:val="230"/>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Distribution and other</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801,560</w:t>
            </w:r>
          </w:p>
        </w:tc>
        <w:tc>
          <w:tcPr>
            <w:tcW w:w="1360" w:type="dxa"/>
            <w:vAlign w:val="bottom"/>
            <w:tcBorders>
              <w:bottom w:val="single" w:sz="8" w:color="CCEEFF"/>
            </w:tcBorders>
            <w:gridSpan w:val="2"/>
          </w:tcPr>
          <w:p>
            <w:pPr>
              <w:jc w:val="right"/>
              <w:ind w:right="142"/>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774,165</w:t>
            </w:r>
          </w:p>
        </w:tc>
        <w:tc>
          <w:tcPr>
            <w:tcW w:w="1360" w:type="dxa"/>
            <w:vAlign w:val="bottom"/>
            <w:tcBorders>
              <w:bottom w:val="single" w:sz="8" w:color="CCEEFF"/>
            </w:tcBorders>
            <w:gridSpan w:val="2"/>
          </w:tcPr>
          <w:p>
            <w:pPr>
              <w:jc w:val="right"/>
              <w:ind w:right="139"/>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27,395</w:t>
            </w:r>
          </w:p>
        </w:tc>
        <w:tc>
          <w:tcPr>
            <w:tcW w:w="1380" w:type="dxa"/>
            <w:vAlign w:val="bottom"/>
            <w:tcBorders>
              <w:bottom w:val="single" w:sz="8" w:color="CCEEFF"/>
            </w:tcBorders>
            <w:gridSpan w:val="2"/>
          </w:tcPr>
          <w:p>
            <w:pPr>
              <w:ind w:left="920"/>
              <w:spacing w:after="0"/>
              <w:rPr>
                <w:sz w:val="20"/>
                <w:szCs w:val="20"/>
                <w:color w:val="auto"/>
              </w:rPr>
            </w:pPr>
            <w:r>
              <w:rPr>
                <w:rFonts w:ascii="Arial" w:cs="Arial" w:eastAsia="Arial" w:hAnsi="Arial"/>
                <w:sz w:val="18"/>
                <w:szCs w:val="18"/>
                <w:color w:val="auto"/>
              </w:rPr>
              <w:t>3.5</w:t>
            </w:r>
          </w:p>
        </w:tc>
      </w:tr>
      <w:tr>
        <w:trPr>
          <w:trHeight w:val="248"/>
        </w:trPr>
        <w:tc>
          <w:tcPr>
            <w:tcW w:w="3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1,212,984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1,174,825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38,159</w:t>
            </w:r>
          </w:p>
        </w:tc>
        <w:tc>
          <w:tcPr>
            <w:tcW w:w="13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w w:val="95"/>
              </w:rPr>
              <w:t>3.2 %</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jc w:val="both"/>
        <w:ind w:left="980" w:hanging="324"/>
        <w:spacing w:after="0" w:line="259"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increase of $10.8 million in advertising revenues was primarily attributable to higher pricing and ad-supported streaming growth, partially offset by a reduction in the number of episodes of our original programming and lower ratings. Most of our advertising revenues vary based on the number and timing of our original programming series and the popularity of our programming as measured by Nielsen. Due to these factors, we expect advertising revenues to vary from quarter to quarter.</w:t>
      </w:r>
    </w:p>
    <w:p>
      <w:pPr>
        <w:spacing w:after="0" w:line="119" w:lineRule="exact"/>
        <w:rPr>
          <w:rFonts w:ascii="Arial" w:cs="Arial" w:eastAsia="Arial" w:hAnsi="Arial"/>
          <w:sz w:val="18"/>
          <w:szCs w:val="18"/>
          <w:color w:val="auto"/>
        </w:rPr>
      </w:pPr>
    </w:p>
    <w:p>
      <w:pPr>
        <w:jc w:val="both"/>
        <w:ind w:left="980" w:hanging="324"/>
        <w:spacing w:after="0" w:line="262" w:lineRule="auto"/>
        <w:tabs>
          <w:tab w:leader="none" w:pos="975" w:val="left"/>
        </w:tabs>
        <w:numPr>
          <w:ilvl w:val="0"/>
          <w:numId w:val="10"/>
        </w:numPr>
        <w:rPr>
          <w:rFonts w:ascii="Arial" w:cs="Arial" w:eastAsia="Arial" w:hAnsi="Arial"/>
          <w:sz w:val="21"/>
          <w:szCs w:val="21"/>
          <w:color w:val="auto"/>
        </w:rPr>
      </w:pPr>
      <w:r>
        <w:rPr>
          <w:rFonts w:ascii="Arial" w:cs="Arial" w:eastAsia="Arial" w:hAnsi="Arial"/>
          <w:sz w:val="17"/>
          <w:szCs w:val="17"/>
          <w:color w:val="auto"/>
        </w:rPr>
        <w:t>The increase of $27.4 million in distribution and other revenues was primarily related to an 18% increase in subscription revenues driven by an increase in subscribers to our streaming services as well as the one-time beneficial impact of a distribution agreement renewal. Excluding the one-time beneficial impact, subscription revenues increased 15%. The increase in subscription revenues was partially offset by a 34% decrease in content licensing revenues related to the number of original programs we distributed as compared to the prior comparable period as a result of COVID-19 pandemic production delays. Subscription revenues vary based on the impact of renewals of affiliation agreements and streaming service subscription trends, and content licensing revenues vary based on the timing of availability of our programming to distributors. Because of these factors, we expect distribution revenues to vary from quarter to quarter.</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International and Other revenues, net was attributable to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 of total</w:t>
            </w:r>
          </w:p>
        </w:tc>
        <w:tc>
          <w:tcPr>
            <w:tcW w:w="26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 of total</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260" w:type="dxa"/>
            <w:vAlign w:val="bottom"/>
          </w:tcPr>
          <w:p>
            <w:pPr>
              <w:ind w:left="32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47,538</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34,174</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2"/>
              </w:rPr>
              <w:t>39.1 %</w:t>
            </w:r>
          </w:p>
        </w:tc>
      </w:tr>
      <w:tr>
        <w:trPr>
          <w:trHeight w:val="230"/>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Distribution and other</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211,906</w:t>
            </w:r>
          </w:p>
        </w:tc>
        <w:tc>
          <w:tcPr>
            <w:tcW w:w="1360" w:type="dxa"/>
            <w:vAlign w:val="bottom"/>
            <w:tcBorders>
              <w:bottom w:val="single" w:sz="8" w:color="CCEEFF"/>
            </w:tcBorders>
            <w:gridSpan w:val="2"/>
          </w:tcPr>
          <w:p>
            <w:pPr>
              <w:jc w:val="right"/>
              <w:ind w:right="142"/>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181,336</w:t>
            </w:r>
          </w:p>
        </w:tc>
        <w:tc>
          <w:tcPr>
            <w:tcW w:w="1360" w:type="dxa"/>
            <w:vAlign w:val="bottom"/>
            <w:tcBorders>
              <w:bottom w:val="single" w:sz="8" w:color="CCEEFF"/>
            </w:tcBorders>
            <w:gridSpan w:val="2"/>
          </w:tcPr>
          <w:p>
            <w:pPr>
              <w:jc w:val="right"/>
              <w:ind w:right="139"/>
              <w:spacing w:after="0"/>
              <w:rPr>
                <w:sz w:val="20"/>
                <w:szCs w:val="20"/>
                <w:color w:val="auto"/>
              </w:rPr>
            </w:pPr>
            <w:r>
              <w:rPr>
                <w:rFonts w:ascii="Arial" w:cs="Arial" w:eastAsia="Arial" w:hAnsi="Arial"/>
                <w:sz w:val="18"/>
                <w:szCs w:val="18"/>
                <w:color w:val="auto"/>
              </w:rPr>
              <w:t>84.1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30,570</w:t>
            </w:r>
          </w:p>
        </w:tc>
        <w:tc>
          <w:tcPr>
            <w:tcW w:w="1380" w:type="dxa"/>
            <w:vAlign w:val="bottom"/>
            <w:tcBorders>
              <w:bottom w:val="single" w:sz="8" w:color="CCEEFF"/>
            </w:tcBorders>
            <w:gridSpan w:val="2"/>
          </w:tcPr>
          <w:p>
            <w:pPr>
              <w:ind w:left="840"/>
              <w:spacing w:after="0"/>
              <w:rPr>
                <w:sz w:val="20"/>
                <w:szCs w:val="20"/>
                <w:color w:val="auto"/>
              </w:rPr>
            </w:pPr>
            <w:r>
              <w:rPr>
                <w:rFonts w:ascii="Arial" w:cs="Arial" w:eastAsia="Arial" w:hAnsi="Arial"/>
                <w:sz w:val="18"/>
                <w:szCs w:val="18"/>
                <w:color w:val="auto"/>
              </w:rPr>
              <w:t>16.9</w:t>
            </w:r>
          </w:p>
        </w:tc>
      </w:tr>
      <w:tr>
        <w:trPr>
          <w:trHeight w:val="248"/>
        </w:trPr>
        <w:tc>
          <w:tcPr>
            <w:tcW w:w="3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259,444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215,510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43,934</w:t>
            </w:r>
          </w:p>
        </w:tc>
        <w:tc>
          <w:tcPr>
            <w:tcW w:w="13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w w:val="92"/>
              </w:rPr>
              <w:t>20.4 %</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increase in advertising revenues is primarily related to higher pricing and an increase in ratings, as well as the favorable impact of foreign currency translation. The increase in distribution revenues related to the resumption of production activities at 25/7 Media and the favorable impact of foreign currency fluctuations at AMCNI.</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components of technical and operating expense primarily include the amortization and write-offs of program rights, such as those for original programming, feature films and licensed series, participation and residual costs, distribution and production related costs and program delivery costs, such as transmission, encryption, hosting, and formatting.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8" w:name="page39"/>
    <w:bookmarkEnd w:id="38"/>
    <w:p>
      <w:pPr>
        <w:ind w:left="460"/>
        <w:spacing w:after="0"/>
        <w:rPr>
          <w:sz w:val="20"/>
          <w:szCs w:val="20"/>
          <w:color w:val="auto"/>
        </w:rPr>
      </w:pPr>
      <w:r>
        <w:rPr>
          <w:rFonts w:ascii="Arial" w:cs="Arial" w:eastAsia="Arial" w:hAnsi="Arial"/>
          <w:sz w:val="17"/>
          <w:szCs w:val="17"/>
          <w:color w:val="auto"/>
        </w:rPr>
        <w:t>Technical and operating expense (excluding depreciation and amortization) decreased $7.2 million to $619.4 million for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2021 as compared to the six months ended June 30, 2020. The net change by segment was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Six Months Ended June 30,</w:t>
            </w:r>
          </w:p>
        </w:tc>
        <w:tc>
          <w:tcPr>
            <w:tcW w:w="9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88"/>
        </w:trPr>
        <w:tc>
          <w:tcPr>
            <w:tcW w:w="2840" w:type="dxa"/>
            <w:vAlign w:val="bottom"/>
          </w:tcPr>
          <w:p>
            <w:pPr>
              <w:ind w:left="48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6"/>
                <w:szCs w:val="16"/>
                <w:color w:val="auto"/>
              </w:rPr>
            </w:pPr>
          </w:p>
        </w:tc>
        <w:tc>
          <w:tcPr>
            <w:tcW w:w="920" w:type="dxa"/>
            <w:vAlign w:val="bottom"/>
          </w:tcPr>
          <w:p>
            <w:pPr>
              <w:jc w:val="right"/>
              <w:ind w:right="113"/>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00" w:type="dxa"/>
            <w:vAlign w:val="bottom"/>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94"/>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6"/>
                <w:szCs w:val="16"/>
                <w:color w:val="auto"/>
              </w:rPr>
            </w:pPr>
          </w:p>
        </w:tc>
        <w:tc>
          <w:tcPr>
            <w:tcW w:w="1420" w:type="dxa"/>
            <w:vAlign w:val="bottom"/>
          </w:tcPr>
          <w:p>
            <w:pPr>
              <w:ind w:left="74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r>
      <w:tr>
        <w:trPr>
          <w:trHeight w:val="224"/>
        </w:trPr>
        <w:tc>
          <w:tcPr>
            <w:tcW w:w="28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Domestic Operations</w:t>
            </w:r>
          </w:p>
        </w:tc>
        <w:tc>
          <w:tcPr>
            <w:tcW w:w="8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480,360</w:t>
            </w:r>
          </w:p>
        </w:tc>
        <w:tc>
          <w:tcPr>
            <w:tcW w:w="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92"/>
              </w:rPr>
              <w:t>498,683</w:t>
            </w: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(18,323)</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(3.7)</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840" w:type="dxa"/>
            <w:vAlign w:val="bottom"/>
          </w:tcPr>
          <w:p>
            <w:pPr>
              <w:ind w:left="480"/>
              <w:spacing w:after="0"/>
              <w:rPr>
                <w:sz w:val="20"/>
                <w:szCs w:val="20"/>
                <w:color w:val="auto"/>
              </w:rPr>
            </w:pPr>
            <w:r>
              <w:rPr>
                <w:rFonts w:ascii="Arial" w:cs="Arial" w:eastAsia="Arial" w:hAnsi="Arial"/>
                <w:sz w:val="18"/>
                <w:szCs w:val="18"/>
                <w:color w:val="auto"/>
              </w:rPr>
              <w:t>International and Other</w:t>
            </w:r>
          </w:p>
        </w:tc>
        <w:tc>
          <w:tcPr>
            <w:tcW w:w="8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150,104</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w w:val="92"/>
              </w:rPr>
              <w:t>134,326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15,778</w:t>
            </w:r>
          </w:p>
        </w:tc>
        <w:tc>
          <w:tcPr>
            <w:tcW w:w="1520" w:type="dxa"/>
            <w:vAlign w:val="bottom"/>
            <w:gridSpan w:val="2"/>
          </w:tcPr>
          <w:p>
            <w:pPr>
              <w:ind w:left="780"/>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9"/>
                <w:szCs w:val="19"/>
                <w:color w:val="auto"/>
              </w:rPr>
            </w:pPr>
          </w:p>
        </w:tc>
      </w:tr>
      <w:tr>
        <w:trPr>
          <w:trHeight w:val="229"/>
        </w:trPr>
        <w:tc>
          <w:tcPr>
            <w:tcW w:w="2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Inter-segment Eliminations</w:t>
            </w:r>
          </w:p>
        </w:tc>
        <w:tc>
          <w:tcPr>
            <w:tcW w:w="8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(11,051)</w:t>
            </w: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(6,446)</w:t>
            </w:r>
          </w:p>
        </w:tc>
        <w:tc>
          <w:tcPr>
            <w:tcW w:w="3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15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71.4</w:t>
            </w:r>
          </w:p>
        </w:tc>
        <w:tc>
          <w:tcPr>
            <w:tcW w:w="240" w:type="dxa"/>
            <w:vAlign w:val="bottom"/>
            <w:shd w:val="clear" w:color="auto" w:fill="CCEEFF"/>
          </w:tcPr>
          <w:p>
            <w:pPr>
              <w:spacing w:after="0"/>
              <w:rPr>
                <w:sz w:val="19"/>
                <w:szCs w:val="19"/>
                <w:color w:val="auto"/>
              </w:rPr>
            </w:pPr>
          </w:p>
        </w:tc>
      </w:tr>
      <w:tr>
        <w:trPr>
          <w:trHeight w:val="223"/>
        </w:trPr>
        <w:tc>
          <w:tcPr>
            <w:tcW w:w="2840" w:type="dxa"/>
            <w:vAlign w:val="bottom"/>
          </w:tcPr>
          <w:p>
            <w:pPr>
              <w:ind w:left="80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619,413</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w w:val="92"/>
              </w:rPr>
              <w:t>626,563</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(7,150)</w:t>
            </w:r>
          </w:p>
        </w:tc>
        <w:tc>
          <w:tcPr>
            <w:tcW w:w="1520" w:type="dxa"/>
            <w:vAlign w:val="bottom"/>
            <w:gridSpan w:val="2"/>
          </w:tcPr>
          <w:p>
            <w:pPr>
              <w:ind w:left="800"/>
              <w:spacing w:after="0"/>
              <w:rPr>
                <w:sz w:val="20"/>
                <w:szCs w:val="20"/>
                <w:color w:val="auto"/>
              </w:rPr>
            </w:pPr>
            <w:r>
              <w:rPr>
                <w:rFonts w:ascii="Arial" w:cs="Arial" w:eastAsia="Arial" w:hAnsi="Arial"/>
                <w:sz w:val="18"/>
                <w:szCs w:val="18"/>
                <w:color w:val="auto"/>
              </w:rPr>
              <w:t>(1.1)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r>
      <w:tr>
        <w:trPr>
          <w:trHeight w:val="223"/>
        </w:trPr>
        <w:tc>
          <w:tcPr>
            <w:tcW w:w="284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9"/>
              </w:rPr>
              <w:t>Percentage of revenues, net</w:t>
            </w:r>
          </w:p>
        </w:tc>
        <w:tc>
          <w:tcPr>
            <w:tcW w:w="8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45.4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Domestic Operations</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decrease in technical and operating expense of $18.3 million was due to a decrease in program amortization primarily attributable to the mix of original programming as compared to the prior comparable period, partially offset by an increase in other direct program costs. There were no significant program write-offs for the six months ended June 30, 2021. There was $7.5 million of program write-offs for six months ended June 30, 2020. Programming write-offs are based on management's periodic assessment of programming usefulness.</w:t>
      </w:r>
    </w:p>
    <w:p>
      <w:pPr>
        <w:spacing w:after="0" w:line="7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There may be significant changes in the level of our technical and operating expenses from quarter to quarter and year to year due to original programming costs and/or content acquisition costs and/or the impact of management's periodic assessment of programming usefulness. Such costs will also fluctuate with the level of revenues derived from owned original programming in each period as these costs are amortized based on the film-forecast-computation method. As additional competition for programming increases and alternate distribution technologies continue to develop in the industry, costs for content acquisition and original programming may increase.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increase in technical and operating expense of $15.8 million was primarily due to an increase at 25/7 Media related to the resumption of production activities.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components of selling, general and administrative expense primarily include sales, marketing and advertising expenses, administrative costs and costs of non-production facilities.</w:t>
      </w:r>
    </w:p>
    <w:p>
      <w:pPr>
        <w:spacing w:after="0" w:line="6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Selling, general and administrative expense increased $50.3 million to $390.2 million for the six months ended June 30, 2021, as compared to the six months ended June 30, 2020. The net change by segment was as follows: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40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8"/>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257,317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209,018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ind w:left="394"/>
              <w:spacing w:after="0"/>
              <w:rPr>
                <w:sz w:val="20"/>
                <w:szCs w:val="20"/>
                <w:color w:val="auto"/>
              </w:rPr>
            </w:pPr>
            <w:r>
              <w:rPr>
                <w:rFonts w:ascii="Arial" w:cs="Arial" w:eastAsia="Arial" w:hAnsi="Arial"/>
                <w:sz w:val="18"/>
                <w:szCs w:val="18"/>
                <w:color w:val="auto"/>
                <w:w w:val="90"/>
              </w:rPr>
              <w:t>48,299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2"/>
              </w:rPr>
              <w:t>23.1 %</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19"/>
                <w:szCs w:val="19"/>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62,816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49,276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center"/>
              <w:ind w:left="394"/>
              <w:spacing w:after="0"/>
              <w:rPr>
                <w:sz w:val="20"/>
                <w:szCs w:val="20"/>
                <w:color w:val="auto"/>
              </w:rPr>
            </w:pPr>
            <w:r>
              <w:rPr>
                <w:rFonts w:ascii="Arial" w:cs="Arial" w:eastAsia="Arial" w:hAnsi="Arial"/>
                <w:sz w:val="18"/>
                <w:szCs w:val="18"/>
                <w:color w:val="auto"/>
                <w:w w:val="90"/>
              </w:rPr>
              <w:t>13,540</w:t>
            </w:r>
          </w:p>
        </w:tc>
        <w:tc>
          <w:tcPr>
            <w:tcW w:w="1640" w:type="dxa"/>
            <w:vAlign w:val="bottom"/>
            <w:gridSpan w:val="2"/>
          </w:tcPr>
          <w:p>
            <w:pPr>
              <w:ind w:left="1100"/>
              <w:spacing w:after="0"/>
              <w:rPr>
                <w:sz w:val="20"/>
                <w:szCs w:val="20"/>
                <w:color w:val="auto"/>
              </w:rPr>
            </w:pPr>
            <w:r>
              <w:rPr>
                <w:rFonts w:ascii="Arial" w:cs="Arial" w:eastAsia="Arial" w:hAnsi="Arial"/>
                <w:sz w:val="18"/>
                <w:szCs w:val="18"/>
                <w:color w:val="auto"/>
              </w:rPr>
              <w:t>27.5</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 Inter-segment Eliminations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70,020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81,518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374"/>
              <w:spacing w:after="0"/>
              <w:rPr>
                <w:sz w:val="20"/>
                <w:szCs w:val="20"/>
                <w:color w:val="auto"/>
              </w:rPr>
            </w:pPr>
            <w:r>
              <w:rPr>
                <w:rFonts w:ascii="Arial" w:cs="Arial" w:eastAsia="Arial" w:hAnsi="Arial"/>
                <w:sz w:val="18"/>
                <w:szCs w:val="18"/>
                <w:color w:val="auto"/>
                <w:w w:val="89"/>
              </w:rPr>
              <w:t>(11,498)</w:t>
            </w:r>
          </w:p>
        </w:tc>
        <w:tc>
          <w:tcPr>
            <w:tcW w:w="16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(14.1)</w:t>
            </w:r>
          </w:p>
        </w:tc>
      </w:tr>
      <w:tr>
        <w:trPr>
          <w:trHeight w:val="223"/>
        </w:trPr>
        <w:tc>
          <w:tcPr>
            <w:tcW w:w="4860" w:type="dxa"/>
            <w:vAlign w:val="bottom"/>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390,153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339,812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center"/>
              <w:ind w:left="394"/>
              <w:spacing w:after="0"/>
              <w:rPr>
                <w:sz w:val="20"/>
                <w:szCs w:val="20"/>
                <w:color w:val="auto"/>
              </w:rPr>
            </w:pPr>
            <w:r>
              <w:rPr>
                <w:rFonts w:ascii="Arial" w:cs="Arial" w:eastAsia="Arial" w:hAnsi="Arial"/>
                <w:sz w:val="18"/>
                <w:szCs w:val="18"/>
                <w:color w:val="auto"/>
                <w:w w:val="90"/>
              </w:rPr>
              <w:t>50,341</w:t>
            </w:r>
          </w:p>
        </w:tc>
        <w:tc>
          <w:tcPr>
            <w:tcW w:w="1640" w:type="dxa"/>
            <w:vAlign w:val="bottom"/>
            <w:gridSpan w:val="2"/>
          </w:tcPr>
          <w:p>
            <w:pPr>
              <w:ind w:left="1100"/>
              <w:spacing w:after="0"/>
              <w:rPr>
                <w:sz w:val="20"/>
                <w:szCs w:val="20"/>
                <w:color w:val="auto"/>
              </w:rPr>
            </w:pPr>
            <w:r>
              <w:rPr>
                <w:rFonts w:ascii="Arial" w:cs="Arial" w:eastAsia="Arial" w:hAnsi="Arial"/>
                <w:sz w:val="18"/>
                <w:szCs w:val="18"/>
                <w:color w:val="auto"/>
                <w:w w:val="92"/>
              </w:rPr>
              <w:t>14.8 %</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r>
      <w:tr>
        <w:trPr>
          <w:trHeight w:val="223"/>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Percentage of revenues,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bl>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Domestic Operations</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Selling, general and administrative expense increased $48.3 million principally due to higher advertising and subscriber acquisition expenses related to our streaming services.</w:t>
      </w:r>
    </w:p>
    <w:p>
      <w:pPr>
        <w:spacing w:after="0" w:line="6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There may be significant changes in the level of our selling, general and administrative expense from quarter to quarter and year to year due to the timing of promotions and marketing of original programming series.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Selling, general and administrative expense increased $13.5 million primarily related to increased selling expenses, including commissions at AMCNI, partially offset by a decrease in administrative expense at 25/7 Media related to the temporary closure of comedy venues (until the spin-off in March 2021) as a result of the COVID-19 pandemic.</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Corporate / Inter-segment eliminations</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39" w:name="page40"/>
    <w:bookmarkEnd w:id="39"/>
    <w:p>
      <w:pPr>
        <w:ind w:left="460" w:right="1680"/>
        <w:spacing w:after="0" w:line="375" w:lineRule="auto"/>
        <w:rPr>
          <w:sz w:val="20"/>
          <w:szCs w:val="20"/>
          <w:color w:val="auto"/>
        </w:rPr>
      </w:pPr>
      <w:r>
        <w:rPr>
          <w:rFonts w:ascii="Arial" w:cs="Arial" w:eastAsia="Arial" w:hAnsi="Arial"/>
          <w:sz w:val="18"/>
          <w:szCs w:val="18"/>
          <w:color w:val="auto"/>
        </w:rPr>
        <w:t xml:space="preserve">The decrease in corporate charges is due primarily to lower stock-based compensation expense and lower administrative costs. </w:t>
      </w:r>
      <w:r>
        <w:rPr>
          <w:rFonts w:ascii="Arial" w:cs="Arial" w:eastAsia="Arial" w:hAnsi="Arial"/>
          <w:sz w:val="18"/>
          <w:szCs w:val="18"/>
          <w:b w:val="1"/>
          <w:bCs w:val="1"/>
          <w:color w:val="auto"/>
        </w:rPr>
        <w:t>Depreciation and amortization</w:t>
      </w:r>
    </w:p>
    <w:p>
      <w:pPr>
        <w:spacing w:after="0" w:line="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Depreciation and amortization expense decreased $4.8 million to $47.9 million for the six months ended June 30, 2021, as compared to the six months ended June 30, 2020. The net change by segment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(7,182)</w:t>
            </w:r>
          </w:p>
        </w:tc>
        <w:tc>
          <w:tcPr>
            <w:tcW w:w="1680" w:type="dxa"/>
            <w:vAlign w:val="bottom"/>
            <w:gridSpan w:val="2"/>
          </w:tcPr>
          <w:p>
            <w:pPr>
              <w:jc w:val="right"/>
              <w:ind w:right="99"/>
              <w:spacing w:after="0"/>
              <w:rPr>
                <w:sz w:val="20"/>
                <w:szCs w:val="20"/>
                <w:color w:val="auto"/>
              </w:rPr>
            </w:pPr>
            <w:r>
              <w:rPr>
                <w:rFonts w:ascii="Arial" w:cs="Arial" w:eastAsia="Arial" w:hAnsi="Arial"/>
                <w:sz w:val="18"/>
                <w:szCs w:val="18"/>
                <w:color w:val="auto"/>
              </w:rPr>
              <w:t>(43.6)</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 Inter-segment Eliminations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(3.2)</w:t>
            </w:r>
          </w:p>
        </w:tc>
      </w:tr>
      <w:tr>
        <w:trPr>
          <w:trHeight w:val="223"/>
        </w:trPr>
        <w:tc>
          <w:tcPr>
            <w:tcW w:w="50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47,850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52,635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increase in depreciation and amortization expense in the Domestic Operations segment was primarily due to depreciation of equipment at our AMC Networks Broadcasting and Technology facilities. The decrease in depreciation and amortization expense in the International and Other segment was primarily due to the lower carrying values of long-lived assets resulting from the impairment charge recognized in June 2020.</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Impairment and other charges</w:t>
      </w:r>
    </w:p>
    <w:p>
      <w:pPr>
        <w:spacing w:after="0" w:line="10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6"/>
          <w:szCs w:val="16"/>
          <w:color w:val="auto"/>
        </w:rPr>
        <w:t xml:space="preserve">On July 16, 2021, the Company entered into a settlement agreement (the “Settlement Agreement”) with Frank Darabont, Ferenc, Inc., Darkwoods Productions, Inc., and Creative Artists Agency, LLC (together, the "Plaintiffs") in actions brought in connection with Frank Darabont’s rendering services as a writer, director and producer of the television series entitled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The consolidated cases were initially brought in 2013 and 2018 and the trial of the consolidated cases was scheduled to commence on April 4, 2022. The Settlement Agreement provides for a cash payment of $200 million (the “Settlement Payment”) to the Plaintiffs and future revenue sharing related to certain future streaming exhibition of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and </w:t>
      </w:r>
      <w:r>
        <w:rPr>
          <w:rFonts w:ascii="Arial" w:cs="Arial" w:eastAsia="Arial" w:hAnsi="Arial"/>
          <w:sz w:val="16"/>
          <w:szCs w:val="16"/>
          <w:i w:val="1"/>
          <w:iCs w:val="1"/>
          <w:color w:val="auto"/>
        </w:rPr>
        <w:t>Fear The</w:t>
      </w:r>
      <w:r>
        <w:rPr>
          <w:rFonts w:ascii="Arial" w:cs="Arial" w:eastAsia="Arial" w:hAnsi="Arial"/>
          <w:sz w:val="16"/>
          <w:szCs w:val="16"/>
          <w:color w:val="auto"/>
        </w:rPr>
        <w:t xml:space="preserve"> </w:t>
      </w:r>
      <w:r>
        <w:rPr>
          <w:rFonts w:ascii="Arial" w:cs="Arial" w:eastAsia="Arial" w:hAnsi="Arial"/>
          <w:sz w:val="16"/>
          <w:szCs w:val="16"/>
          <w:i w:val="1"/>
          <w:iCs w:val="1"/>
          <w:color w:val="auto"/>
        </w:rPr>
        <w:t>Walking Dead</w:t>
      </w:r>
      <w:r>
        <w:rPr>
          <w:rFonts w:ascii="Arial" w:cs="Arial" w:eastAsia="Arial" w:hAnsi="Arial"/>
          <w:sz w:val="16"/>
          <w:szCs w:val="16"/>
          <w:color w:val="auto"/>
        </w:rPr>
        <w:t>. With regard to the Settlement Payment, the Company recorded a charge of $143.0 million, included in Impairment and other charges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consideration for the extinguishment of Plaintiffs’ rights to any compensation in connection with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and any related programs and the dismissal of the actions with prejudice, which amount is net of $57.0 million of ordinary course accrued participations.</w:t>
      </w:r>
    </w:p>
    <w:p>
      <w:pPr>
        <w:spacing w:after="0" w:line="56" w:lineRule="exact"/>
        <w:rPr>
          <w:sz w:val="20"/>
          <w:szCs w:val="20"/>
          <w:color w:val="auto"/>
        </w:rPr>
      </w:pPr>
    </w:p>
    <w:p>
      <w:pPr>
        <w:jc w:val="both"/>
        <w:ind w:firstLine="405"/>
        <w:spacing w:after="0" w:line="227" w:lineRule="auto"/>
        <w:rPr>
          <w:sz w:val="20"/>
          <w:szCs w:val="20"/>
          <w:color w:val="auto"/>
        </w:rPr>
      </w:pPr>
      <w:r>
        <w:rPr>
          <w:rFonts w:ascii="Arial" w:cs="Arial" w:eastAsia="Arial" w:hAnsi="Arial"/>
          <w:sz w:val="18"/>
          <w:szCs w:val="18"/>
          <w:color w:val="auto"/>
        </w:rPr>
        <w:t>In March 2021, the Company completed a spin-off of the live comedy venue and talent management businesses ("LiveCo") of Levity Entertainment Group, LLC. In connection with the transaction, the Company effectively exchanged all of its rights and interests in LiveCo for the release of our obligations, principally related to leases. As a result of this divestiture, the Company recognized a loss on the disposal of $16.1 million reflecting the net assets transferred (consisting of property and equipment, lease right-of-use assets and intangibles, partially offset by lease and other obligations), which is included in Impairment and other charges. The Company retained its interest in the production services business of Levity Entertainment Group, LLC, which was renamed 25/7 Media Holdings LLC following the spin-off.</w:t>
      </w:r>
    </w:p>
    <w:p>
      <w:pPr>
        <w:spacing w:after="0" w:line="202" w:lineRule="exact"/>
        <w:rPr>
          <w:sz w:val="20"/>
          <w:szCs w:val="20"/>
          <w:color w:val="auto"/>
        </w:rPr>
      </w:pPr>
    </w:p>
    <w:p>
      <w:pPr>
        <w:jc w:val="both"/>
        <w:ind w:firstLine="405"/>
        <w:spacing w:after="0" w:line="225" w:lineRule="auto"/>
        <w:rPr>
          <w:sz w:val="20"/>
          <w:szCs w:val="20"/>
          <w:color w:val="auto"/>
        </w:rPr>
      </w:pPr>
      <w:r>
        <w:rPr>
          <w:rFonts w:ascii="Arial" w:cs="Arial" w:eastAsia="Arial" w:hAnsi="Arial"/>
          <w:sz w:val="18"/>
          <w:szCs w:val="18"/>
          <w:color w:val="auto"/>
        </w:rPr>
        <w:t>In June 2020, as a result of the continuing impact of the COVID-19 pandemic, we qualitatively assessed whether it was more likely than not that goodwill and long-lived assets were impaired as of June 30, 2020. Based on our then current projections and updated forecasts, we determined that sufficient indicators of potential impairment of long-lived assets existed and, in connection with the preparation of the Company's second quarter financial information, the Company performed a recoverability test of certain long-lived asset groups within the AMCNI reporting unit. This resulted in an impairment charge of $105.3 million primarily related to certain identifiable intangible assets, as well as property and equipment, and operating lease right-of-use assets. The Company then performed a goodwill impairment test and determined that the carrying value of the AMCNI reporting unit exceeded its fair value, resulting in an impairment charge of $25.1 million.</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Restructuring and other related charges</w:t>
      </w:r>
    </w:p>
    <w:p>
      <w:pPr>
        <w:spacing w:after="0" w:line="229" w:lineRule="exact"/>
        <w:rPr>
          <w:sz w:val="20"/>
          <w:szCs w:val="20"/>
          <w:color w:val="auto"/>
        </w:rPr>
      </w:pPr>
    </w:p>
    <w:p>
      <w:pPr>
        <w:jc w:val="both"/>
        <w:ind w:firstLine="567"/>
        <w:spacing w:after="0" w:line="235" w:lineRule="auto"/>
        <w:rPr>
          <w:sz w:val="20"/>
          <w:szCs w:val="20"/>
          <w:color w:val="auto"/>
        </w:rPr>
      </w:pPr>
      <w:r>
        <w:rPr>
          <w:rFonts w:ascii="Arial" w:cs="Arial" w:eastAsia="Arial" w:hAnsi="Arial"/>
          <w:sz w:val="18"/>
          <w:szCs w:val="18"/>
          <w:color w:val="auto"/>
        </w:rPr>
        <w:t>Restructuring and other related charges of $8.8 million for the six months ended June 30, 2021 consisted of $4.3 million of severance costs associated with the restructuring plan announced in November 2020 and $4.5 million at AMCNI related to the termination of distribution in certain international territories.</w:t>
      </w:r>
    </w:p>
    <w:p>
      <w:pPr>
        <w:spacing w:after="0" w:line="202" w:lineRule="exact"/>
        <w:rPr>
          <w:sz w:val="20"/>
          <w:szCs w:val="20"/>
          <w:color w:val="auto"/>
        </w:rPr>
      </w:pPr>
    </w:p>
    <w:p>
      <w:pPr>
        <w:jc w:val="both"/>
        <w:ind w:firstLine="567"/>
        <w:spacing w:after="0" w:line="235" w:lineRule="auto"/>
        <w:rPr>
          <w:sz w:val="20"/>
          <w:szCs w:val="20"/>
          <w:color w:val="auto"/>
        </w:rPr>
      </w:pPr>
      <w:r>
        <w:rPr>
          <w:rFonts w:ascii="Arial" w:cs="Arial" w:eastAsia="Arial" w:hAnsi="Arial"/>
          <w:sz w:val="18"/>
          <w:szCs w:val="18"/>
          <w:color w:val="auto"/>
        </w:rPr>
        <w:t>Restructuring and other related charges of $9.5 million for the six months ended June 30, 2020 primarily consisted of charges at AMCNI of $6.2 million related to costs associated with termination of distribution in certain territories and charges of $3.3 million related to severance associated with previously announced restructuring activities.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0" w:name="page41"/>
    <w:bookmarkEnd w:id="40"/>
    <w:p>
      <w:pPr>
        <w:ind w:left="460"/>
        <w:spacing w:after="0"/>
        <w:rPr>
          <w:sz w:val="20"/>
          <w:szCs w:val="20"/>
          <w:color w:val="auto"/>
        </w:rPr>
      </w:pPr>
      <w:r>
        <w:rPr>
          <w:rFonts w:ascii="Arial" w:cs="Arial" w:eastAsia="Arial" w:hAnsi="Arial"/>
          <w:sz w:val="18"/>
          <w:szCs w:val="18"/>
          <w:b w:val="1"/>
          <w:bCs w:val="1"/>
          <w:color w:val="auto"/>
        </w:rPr>
        <w:t>Operating Income (Loss)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8"/>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(137,612)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(121,201)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138,002</w:t>
            </w:r>
          </w:p>
        </w:tc>
        <w:tc>
          <w:tcPr>
            <w:tcW w:w="1680" w:type="dxa"/>
            <w:vAlign w:val="bottom"/>
            <w:gridSpan w:val="2"/>
          </w:tcPr>
          <w:p>
            <w:pPr>
              <w:jc w:val="right"/>
              <w:ind w:right="99"/>
              <w:spacing w:after="0"/>
              <w:rPr>
                <w:sz w:val="20"/>
                <w:szCs w:val="20"/>
                <w:color w:val="auto"/>
              </w:rPr>
            </w:pPr>
            <w:r>
              <w:rPr>
                <w:rFonts w:ascii="Arial" w:cs="Arial" w:eastAsia="Arial" w:hAnsi="Arial"/>
                <w:sz w:val="18"/>
                <w:szCs w:val="18"/>
                <w:color w:val="auto"/>
              </w:rPr>
              <w:t>(113.9)</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 Inter-segment Eliminations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15,802</w:t>
            </w:r>
          </w:p>
        </w:tc>
        <w:tc>
          <w:tcPr>
            <w:tcW w:w="1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(15.9)</w:t>
            </w:r>
          </w:p>
        </w:tc>
      </w:tr>
      <w:tr>
        <w:trPr>
          <w:trHeight w:val="223"/>
        </w:trPr>
        <w:tc>
          <w:tcPr>
            <w:tcW w:w="50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237,964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221,772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7.3 %</w:t>
            </w:r>
          </w:p>
        </w:tc>
      </w:tr>
      <w:tr>
        <w:trPr>
          <w:trHeight w:val="21"/>
        </w:trPr>
        <w:tc>
          <w:tcPr>
            <w:tcW w:w="5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decrease in operating income at the Domestic Operations segment was primarily attributable to the $143.0 million charge taken in connection with the Settlement Agreement discussed above, as well as increase in selling, general and administrative expense of $48.3 million, partially offset by an increase in revenue of $38.2 million and an a increase in technical and operating expense of $18.3 million.</w:t>
      </w:r>
    </w:p>
    <w:p>
      <w:pPr>
        <w:spacing w:after="0" w:line="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increase in operating income at the International and Other segment was primarily attributable to a decreases in impairment and other charges of $114.4 million and depreciation and amortization of $7.2 million, as well as an increase in revenues of $43.9 million, partially offset by increases in technical and operating expense of $15.8 million, and selling, general and administrative expense of $13.5 million.</w:t>
      </w:r>
    </w:p>
    <w:p>
      <w:pPr>
        <w:spacing w:after="0" w:line="200" w:lineRule="exact"/>
        <w:rPr>
          <w:sz w:val="20"/>
          <w:szCs w:val="20"/>
          <w:color w:val="auto"/>
        </w:rPr>
      </w:pPr>
    </w:p>
    <w:p>
      <w:pPr>
        <w:spacing w:after="0" w:line="22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AOI</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our consolidated operating income to AOI:</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8"/>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(1,039)</w:t>
            </w:r>
          </w:p>
        </w:tc>
        <w:tc>
          <w:tcPr>
            <w:tcW w:w="1680" w:type="dxa"/>
            <w:vAlign w:val="bottom"/>
            <w:gridSpan w:val="2"/>
          </w:tcPr>
          <w:p>
            <w:pPr>
              <w:jc w:val="right"/>
              <w:ind w:right="96"/>
              <w:spacing w:after="0"/>
              <w:rPr>
                <w:sz w:val="20"/>
                <w:szCs w:val="20"/>
                <w:color w:val="auto"/>
              </w:rPr>
            </w:pPr>
            <w:r>
              <w:rPr>
                <w:rFonts w:ascii="Arial" w:cs="Arial" w:eastAsia="Arial" w:hAnsi="Arial"/>
                <w:sz w:val="18"/>
                <w:szCs w:val="18"/>
                <w:color w:val="auto"/>
              </w:rPr>
              <w:t>(3.4)</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168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(9.1)</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Impairment and other charges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158,973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130,411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28,562</w:t>
            </w:r>
          </w:p>
        </w:tc>
        <w:tc>
          <w:tcPr>
            <w:tcW w:w="1680" w:type="dxa"/>
            <w:vAlign w:val="bottom"/>
            <w:gridSpan w:val="2"/>
          </w:tcPr>
          <w:p>
            <w:pPr>
              <w:jc w:val="right"/>
              <w:ind w:right="136"/>
              <w:spacing w:after="0"/>
              <w:rPr>
                <w:sz w:val="20"/>
                <w:szCs w:val="20"/>
                <w:color w:val="auto"/>
              </w:rPr>
            </w:pPr>
            <w:r>
              <w:rPr>
                <w:rFonts w:ascii="Arial" w:cs="Arial" w:eastAsia="Arial" w:hAnsi="Arial"/>
                <w:sz w:val="18"/>
                <w:szCs w:val="18"/>
                <w:color w:val="auto"/>
              </w:rPr>
              <w:t>21.9</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68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(7.3)</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Majority-owned equity investees AOI</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1,741</w:t>
            </w:r>
          </w:p>
        </w:tc>
        <w:tc>
          <w:tcPr>
            <w:tcW w:w="1680" w:type="dxa"/>
            <w:vAlign w:val="bottom"/>
            <w:gridSpan w:val="2"/>
          </w:tcPr>
          <w:p>
            <w:pPr>
              <w:jc w:val="right"/>
              <w:ind w:right="136"/>
              <w:spacing w:after="0"/>
              <w:rPr>
                <w:sz w:val="20"/>
                <w:szCs w:val="20"/>
                <w:color w:val="auto"/>
              </w:rPr>
            </w:pPr>
            <w:r>
              <w:rPr>
                <w:rFonts w:ascii="Arial" w:cs="Arial" w:eastAsia="Arial" w:hAnsi="Arial"/>
                <w:sz w:val="18"/>
                <w:szCs w:val="18"/>
                <w:color w:val="auto"/>
              </w:rPr>
              <w:t>64.6</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Cloud computing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AOI</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488,616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447,732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40,884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9.1 %</w:t>
            </w:r>
          </w:p>
        </w:tc>
      </w:tr>
      <w:tr>
        <w:trPr>
          <w:trHeight w:val="20"/>
        </w:trPr>
        <w:tc>
          <w:tcPr>
            <w:tcW w:w="5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AOI increased $40.9 million for the six months ended June 30, 2021 as compared to the six months ended June 30, 2020. The net change by segment was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48,668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15,242</w:t>
            </w:r>
          </w:p>
        </w:tc>
        <w:tc>
          <w:tcPr>
            <w:tcW w:w="1680" w:type="dxa"/>
            <w:vAlign w:val="bottom"/>
            <w:gridSpan w:val="2"/>
          </w:tcPr>
          <w:p>
            <w:pPr>
              <w:jc w:val="right"/>
              <w:ind w:right="139"/>
              <w:spacing w:after="0"/>
              <w:rPr>
                <w:sz w:val="20"/>
                <w:szCs w:val="20"/>
                <w:color w:val="auto"/>
              </w:rPr>
            </w:pPr>
            <w:r>
              <w:rPr>
                <w:rFonts w:ascii="Arial" w:cs="Arial" w:eastAsia="Arial" w:hAnsi="Arial"/>
                <w:sz w:val="18"/>
                <w:szCs w:val="18"/>
                <w:color w:val="auto"/>
              </w:rPr>
              <w:t>45.6</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 Inter-segment Eliminations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(52,725)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(63,080)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10,355</w:t>
            </w:r>
          </w:p>
        </w:tc>
        <w:tc>
          <w:tcPr>
            <w:tcW w:w="1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(16.4)</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AOI</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488,616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447,732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40,884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9.1 %</w:t>
            </w: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The increase in AOI at the Domestic Operations segment was primarily due to the increase in revenues and a decrease in technical and operating expenses, partially offset by higher selling, general, and administrative expenses. The increase in AOI at the International and Other segment was primarily due to the increase in revenues, partially offset by higher technical and operating expenses and higher selling, general, and administrative expenses.</w:t>
      </w:r>
    </w:p>
    <w:p>
      <w:pPr>
        <w:spacing w:after="0" w:line="4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a result of the factors discussed above impacting the variability in revenues and operating expenses, we expect AOI to vary from quarter to quarter.</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decrease in interest expense, net of $2.7 million is primarily due to lower average interest rates on our outstanding senior notes.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Loss on extinguishment of debt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1" w:name="page42"/>
    <w:bookmarkEnd w:id="41"/>
    <w:p>
      <w:pPr>
        <w:jc w:val="both"/>
        <w:ind w:firstLine="405"/>
        <w:spacing w:after="0" w:line="259" w:lineRule="auto"/>
        <w:rPr>
          <w:sz w:val="20"/>
          <w:szCs w:val="20"/>
          <w:color w:val="auto"/>
        </w:rPr>
      </w:pPr>
      <w:r>
        <w:rPr>
          <w:rFonts w:ascii="Arial" w:cs="Arial" w:eastAsia="Arial" w:hAnsi="Arial"/>
          <w:sz w:val="18"/>
          <w:szCs w:val="18"/>
          <w:color w:val="auto"/>
        </w:rPr>
        <w:t>In February 2021, we redeemed (i) the remaining $400 million principal amount of our 4.75% senior notes due December 2022 and (ii) $600 million principal amount of our 5.00% senior notes due April 2024. In connection with the redemptions, we incurred a loss on extinguishment of debt for the quarter ended March 31, 2021 of $22.1 million representing a redemption premium on the 5.00% senior notes due 2024, and the write-off of a portion of the unamortized discount and deferred financing costs related to both issuances.</w:t>
      </w:r>
    </w:p>
    <w:p>
      <w:pPr>
        <w:spacing w:after="0" w:line="7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March 2020, we redeemed $200 million principal amount of the outstanding $600 million principal amount of our 4.75% Notes due December 2022. The loss on extinguishment of debt for the six months ended March 31, 2020 of $2.9 million represents the redemption premium, the write-off of a portion of the unamortized discount and deferred financing costs.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Miscellaneous, net</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increase in miscellaneous income, net of $40.8 million for the six months ended June 30, 2021 as compared to the six months ended June 30, 2020 was primarily related to a favorable variance in the foreign currency remeasurement of monetary assets and liabilities (principally intercompany loans) that are denominated in currencies other than the underlying functional currency of the applicable entity, as well as a net gain associated with various investments compared to the prior year.</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For the six months ended June 30, 2021, income tax expense was $37.2 million representing an effective tax rate of 21%. The items resulting in variances from the federal statutory rate of 21% primarily consist of a discrete tax benefit for excess tax benefits related to stock compensation, partially offset by state and local income tax expense.</w:t>
      </w:r>
    </w:p>
    <w:p>
      <w:pPr>
        <w:spacing w:after="0" w:line="211" w:lineRule="exact"/>
        <w:rPr>
          <w:sz w:val="20"/>
          <w:szCs w:val="20"/>
          <w:color w:val="auto"/>
        </w:rPr>
      </w:pPr>
    </w:p>
    <w:p>
      <w:pPr>
        <w:jc w:val="both"/>
        <w:ind w:firstLine="400"/>
        <w:spacing w:after="0" w:line="296" w:lineRule="auto"/>
        <w:rPr>
          <w:sz w:val="20"/>
          <w:szCs w:val="20"/>
          <w:color w:val="auto"/>
        </w:rPr>
      </w:pPr>
      <w:r>
        <w:rPr>
          <w:rFonts w:ascii="Arial" w:cs="Arial" w:eastAsia="Arial" w:hAnsi="Arial"/>
          <w:sz w:val="16"/>
          <w:szCs w:val="16"/>
          <w:color w:val="auto"/>
        </w:rPr>
        <w:t>For the six months ended June 30, 2020, income tax expense was $43.3 million representing an effective tax rate of 32%. The effective tax rate differs from the federal statutory rate of 21% due primarily to tax expense from foreign operations, state and local income tax expense and tax expense resulting from an increase in valuation allowances for foreign taxes and U.S. foreign tax credits, partially offset by a discrete tax benefit relating to uncertain tax positions (including accrued interest) and tax benefit related to a foreign-derived intangible income deduction. The discrete tax benefit relating to uncertain tax positions is primarily due to audit settlements and the filing of state income tax returns under voluntary disclosure agreements.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operations have historically generated positive net cash flow from operating activities. However, each of our programming businesses has substantial programming acquisition and production expenditure requirements.</w:t>
      </w:r>
    </w:p>
    <w:p>
      <w:pPr>
        <w:spacing w:after="0" w:line="6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Sources of cash primarily include cash flow from operations, amounts available under our revolving credit facility and access to capital markets.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capital and credit markets.</w:t>
      </w:r>
    </w:p>
    <w:p>
      <w:pPr>
        <w:spacing w:after="0" w:line="80"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On February 8, 2021, the Company issued $1.0 billion in aggregate principal amount of 4.25% senior notes due February 2029 (the “4.25% Notes due 2029”) and received net proceeds of $982.3 million, after deducting underwriting discounts and commissions and expenses. The Company used such proceeds to redeem (i) the remaining $400 million principal amount of the Company’s 4.75% senior notes due December 2022 and (ii) $600 million principal amount of the Company’s 5.00% senior notes due April 2024 on February 26, 2021 (the "Redemption Date"). The 4.75% senior notes due December 2022 were redeemed at a redemption price of 100.000% of the principal amount of such notes and the 5.00% senior notes due April 2024 were redeemed at a redemption price of 102.500% of the principal amount of such notes, in each case, plus accrued and unpaid interest to, but excluding, the Redemption Date.</w:t>
      </w:r>
    </w:p>
    <w:p>
      <w:pPr>
        <w:spacing w:after="0" w:line="8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February 8, 2021, the Company entered into Amendment No. 1 (“Amendment No. 1”) to its existing credit agreement (the "Credit Agreement"). Amendment No. 1 extends the maturity dates of the $675 million term loan A facility and $500 million revolving credit facility under the Credit Agreement to February 8, 2026, and makes certain other amendments to the covenants and other provisions of the Credit Agreement.</w:t>
      </w:r>
    </w:p>
    <w:p>
      <w:pPr>
        <w:spacing w:after="0" w:line="5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Board of Directors has authorized a program to repurchase up to $1.5 billion of our outstanding shares of common stock (the "Stock Repurchase Program"). The Stock Repurchase Program has no pre-established closing date and may be suspended or discontinued at any time. For the six months ended June 30, 2021, we did not repurchase any of our Class A common stock. As of June 30, 2021, we had $135.3 million of authorization remaining for repurchase under the Stock Repurchase Program.</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2" w:name="page43"/>
    <w:bookmarkEnd w:id="42"/>
    <w:p>
      <w:pPr>
        <w:jc w:val="both"/>
        <w:ind w:firstLine="445"/>
        <w:spacing w:after="0" w:line="270" w:lineRule="auto"/>
        <w:rPr>
          <w:sz w:val="20"/>
          <w:szCs w:val="20"/>
          <w:color w:val="auto"/>
        </w:rPr>
      </w:pPr>
      <w:r>
        <w:rPr>
          <w:rFonts w:ascii="Arial" w:cs="Arial" w:eastAsia="Arial" w:hAnsi="Arial"/>
          <w:sz w:val="17"/>
          <w:szCs w:val="17"/>
          <w:color w:val="auto"/>
        </w:rPr>
        <w:t>Our principal uses of cash include the acquisition and production of programming, investments and acquisitions, repurchases of outstanding debt and common stock, debt service, and payments for income taxes. Although impacted by the COVID-19 pandemic, we continue to increase our investment in original programming, the funding of which generally occurs six to nine months in advance of a program's airing.</w:t>
      </w:r>
    </w:p>
    <w:p>
      <w:pPr>
        <w:spacing w:after="0" w:line="5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of June 30, 2021, our consolidated cash and cash equivalents balance includes approximately $229.4 million held by foreign subsidiaries. Most or all of the earnings of our foreign subsidiaries will continue to be permanently reinvested in foreign operations and we do not expect to incur any significant, additional taxes related to such amounts, nor have any been provided for in the current period.</w:t>
      </w:r>
    </w:p>
    <w:p>
      <w:pPr>
        <w:spacing w:after="0" w:line="76"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believe that a combination of cash-on-hand, cash generated from operating activities and availability under our revolving credit facility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at maturity the entirety of the then outstanding balances of our debt. As a result, we will then be dependent upon our ability to access the capital and credit markets in order to repay or refinance the outstanding balances of our indebtedness. Failure to raise significant amounts of funding to repay these obligations at maturity would adversely affect our business. In such a circumstance, we would need to take other actions including selling assets, seeking strategic investments from third parties or reducing other discretionary uses of cash.</w:t>
      </w:r>
    </w:p>
    <w:p>
      <w:pPr>
        <w:spacing w:after="0" w:line="69"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Our level of debt could have important consequences on our business including, but not limited to, increasing our vulnerability to general adverse economic and industry conditions, limiting the availability of our cash flow to fund future programming investments, capital expenditures, working capital, business activities and other general corporate requirements and limiting our flexibility in planning for, or reacting to, changes in our business and the industry in which we operate. For information relating to our outstanding debt obligations, refer to Item 7, "Management's Discussion and Analysis of Financial Condition and Results of Operations - Debt Financing Agreements" of our 2020 Form 10-K.</w:t>
      </w:r>
    </w:p>
    <w:p>
      <w:pPr>
        <w:spacing w:after="0" w:line="6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 addition, economic or market disruptions could lead to lower demand for our services, such as lower levels of advertising. These events would adversely impact our results of operations, cash flows and financial position.</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revolving credit facility was not drawn upon at June 30, 2021. The total undrawn revolver commitment is available to be drawn for our general corporate purposes.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AMC Networks was in compliance with all of its debt covenants as of June 30,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Discussion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is a summary of cash flows provided by (used in) operating, investing and financing activities for the six months ended June 30,:</w:t>
      </w:r>
    </w:p>
    <w:p>
      <w:pPr>
        <w:spacing w:after="0" w:line="222" w:lineRule="exact"/>
        <w:rPr>
          <w:sz w:val="20"/>
          <w:szCs w:val="20"/>
          <w:color w:val="auto"/>
        </w:rPr>
      </w:pPr>
    </w:p>
    <w:p>
      <w:pPr>
        <w:ind w:left="844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20320</wp:posOffset>
            </wp:positionV>
            <wp:extent cx="22974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2020</w:t>
            </w: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131,167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424,912</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Cash provided by (used in) investing activities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42,000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(9,998)</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(64,226)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(336,816)</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108,941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78,098</w:t>
            </w:r>
          </w:p>
        </w:tc>
      </w:tr>
      <w:tr>
        <w:trPr>
          <w:trHeight w:val="20"/>
        </w:trPr>
        <w:tc>
          <w:tcPr>
            <w:tcW w:w="7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Net cash provided by operating activities amounted to $131.2 million for the six months ended June 30, 2021 as compared to $424.9 million for the six months ended June 30, 2020. Net cash provided by operating activities for the six months ended June 30, 2021 primarily resulted from $742.2 million of net income before amortization of program rights, depreciation and amortization, and other non-cash items, which was partially offset by payments for program rights of $583.5 million, an increase in deferred carriage fees of $27.9 million, and an increase in prepaid expense and other assets of $18.2 million. Changes in all other assets and liabilities resulted in an increase of $18.6 million.</w:t>
      </w:r>
    </w:p>
    <w:p>
      <w:pPr>
        <w:spacing w:after="0" w:line="68"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Net cash provided by operating activities for the six months ended June 30, 2020 primarily resulted from $776.9 million of net income before amortization of program rights, depreciation and amortization, and other non-cash items, which was partially offset by payments for program rights of $387.0 million, a decrease in accounts payable, accrued expenses and other liabilities of $45.4 million primarily related to lower employee related liabilities and an increase in deferred carriage fees payable of $16.0 million. In addition, net cash provided by operating activities increased as a result of a decrease in accounts receivable of $55.4 million and a decrease in prepaid expense and other assets of $46.0 million primarily related to a decrease in long-term receivables. Changes in all other assets and liabilities resulted in a decrease of $4.8 million.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3" w:name="page44"/>
    <w:bookmarkEnd w:id="43"/>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Net cash provided by (used in) investing activities for the six months ended June 30, 2021 and 2020 was $42.0 million and $(10.0) million, respectively. For the six months ended June 30, 2021, cash provided by investing activities included proceeds received from the sale of an investment of $95.4 million and the collection of a loan for $20.0 million, partially offset by the acquisition of equity securities of $28.4 million, payments for the acquisition of a business of $19.1 million, and capital expenditures of $18.8 million. All other changes in investing activities resulted in an decrease of $7.1 million. For the six months ended June 30, 2020, cash used in investing activities included capital expenditures of $22.2 million, partially offset by partial proceeds received from the sale of an investment of $10.0 million and principal payments received from a loan to an investee of $2.5 million.</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Net cash used in financing activities amounted to $64.2 million for the six months ended June 30, 2021 and primarily consisted of principal payments, net of proceeds, on long-term debt (including the redemption of $400 million of 4.75% Notes due December 2022 and $600 million of 5.00% Notes due April 2024) of $30.5 million, taxes paid in lieu of shares issued for equity-based compensation of $34.6 million, distributions to noncontrolling interests of $11.9 million, and payments on finance leases of $2.0 million, partially offset by proceeds from the exercise of stock options of $12.1 million and contributions from noncontrolling interests of $2.7 million.</w:t>
      </w:r>
    </w:p>
    <w:p>
      <w:pPr>
        <w:spacing w:after="0" w:line="8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Net cash used in financing activities amounted to $336.8 million for the six months ended June 30, 2020 and primarily consisted of principal payments, net of proceeds, on long-term debt (including the redemption of $200 million of 4.75% Notes due 2022), of $212.8 million, purchases of our common stock of $102.9 million, taxes paid in lieu of shares issued for equity-based compensation of $8.9 million, distributions to noncontrolling interests of $10.6 million, and payments on finance leases of $1.6 million.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of June 30, 2021, our contractual obligations not reflected on the condensed consolidated balance sheet increased $92.0 million, as compared to December 31, 2020, to $1,103.9 million. The increase primarily relates to additional commitments for program rights.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Supplemental Guarantor Financial Information</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is a description of the terms and conditions of the guarantees with respect to the outstanding notes for which AMC Networks is the issuer.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 Guarantees</w:t>
      </w:r>
    </w:p>
    <w:p>
      <w:pPr>
        <w:spacing w:after="0" w:line="117"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Debt of AMC Networks as of June 30, 2021 included $400 million of 5.00% Notes due April 2024, $800.0 million of 4.75% Notes due August 2025, and $1.0 billion of 4.25% Notes due February 2029 (collectively, the “notes”). The notes were issued by AMC Networks and are unconditionally guaranteed, jointly and severally, on an unsecured basis, by each of AMC Networks’ existing and future domestic restricted subsidiaries, subject to certain exceptions (each, a “Guarantor Subsidiary,” and collectively, the “Guarantor Subsidiaries”). The obligations of each Guarantor Subsidiary under its note guarantee are limited as necessary to prevent such note guarantee from constituting a fraudulent conveyance under applicable law. A guarantee of the notes by a Guarantor Subsidiary is subject to release in the following circumstances: (i) any sale or other disposition of all of the capital stock of a Guarantor Subsidiary to a person that is not (either before or after giving effect to such transaction) a restricted subsidiary, in compliance with the terms of the applicable indenture; (ii) the designation of a restricted subsidiary as an “Unrestricted Subsidiary” under the applicable indenture; or (iii) the release or discharge of the guarantee (including the guarantee under the AMC Networks’ credit agreement) which resulted in the creation of the note guarantee (provided that such Guarantor Subsidiary does not have any preferred stock outstanding at such time that is not held by AMC Networks or another Guarantor Subsidiary).</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subsidiaries of AMC Networks do not and will not guarantee the notes.</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tables present the summarized financial information specified in Rule 1-02(bb)(1) of Regulation S-X for AMC Networks and each Guarantor Subsidiary. The summarized financial information has been prepared in accordance with Rule 13-01 of Regulation S-X.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4" w:name="page45"/>
    <w:bookmarkEnd w:id="44"/>
    <w:p>
      <w:pPr>
        <w:ind w:left="460"/>
        <w:spacing w:after="0"/>
        <w:rPr>
          <w:sz w:val="20"/>
          <w:szCs w:val="20"/>
          <w:color w:val="auto"/>
        </w:rPr>
      </w:pPr>
      <w:r>
        <w:rPr>
          <w:rFonts w:ascii="Arial" w:cs="Arial" w:eastAsia="Arial" w:hAnsi="Arial"/>
          <w:sz w:val="18"/>
          <w:szCs w:val="18"/>
          <w:i w:val="1"/>
          <w:iCs w:val="1"/>
          <w:color w:val="auto"/>
        </w:rPr>
        <w:t>Summarized Financial Information</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Statement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6"/>
          </w:tcPr>
          <w:p>
            <w:pPr>
              <w:jc w:val="center"/>
              <w:ind w:right="131"/>
              <w:spacing w:after="0"/>
              <w:rPr>
                <w:sz w:val="20"/>
                <w:szCs w:val="20"/>
                <w:color w:val="auto"/>
              </w:rPr>
            </w:pPr>
            <w:r>
              <w:rPr>
                <w:rFonts w:ascii="Arial" w:cs="Arial" w:eastAsia="Arial" w:hAnsi="Arial"/>
                <w:sz w:val="16"/>
                <w:szCs w:val="16"/>
                <w:b w:val="1"/>
                <w:bCs w:val="1"/>
                <w:color w:val="auto"/>
                <w:w w:val="91"/>
              </w:rPr>
              <w:t>Six Months Ended June 30, 2021</w:t>
            </w:r>
          </w:p>
        </w:tc>
        <w:tc>
          <w:tcPr>
            <w:tcW w:w="100" w:type="dxa"/>
            <w:vAlign w:val="bottom"/>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6"/>
                <w:szCs w:val="16"/>
                <w:b w:val="1"/>
                <w:bCs w:val="1"/>
                <w:color w:val="auto"/>
              </w:rPr>
              <w:t>Six Months Ended June 30, 2020</w:t>
            </w:r>
          </w:p>
        </w:tc>
        <w:tc>
          <w:tcPr>
            <w:tcW w:w="0" w:type="dxa"/>
            <w:vAlign w:val="bottom"/>
          </w:tcPr>
          <w:p>
            <w:pPr>
              <w:spacing w:after="0"/>
              <w:rPr>
                <w:sz w:val="1"/>
                <w:szCs w:val="1"/>
                <w:color w:val="auto"/>
              </w:rPr>
            </w:pPr>
          </w:p>
        </w:tc>
      </w:tr>
      <w:tr>
        <w:trPr>
          <w:trHeight w:val="412"/>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3"/>
          </w:tcPr>
          <w:p>
            <w:pPr>
              <w:ind w:left="160"/>
              <w:spacing w:after="0"/>
              <w:rPr>
                <w:sz w:val="20"/>
                <w:szCs w:val="20"/>
                <w:color w:val="auto"/>
              </w:rPr>
            </w:pPr>
            <w:r>
              <w:rPr>
                <w:rFonts w:ascii="Arial" w:cs="Arial" w:eastAsia="Arial" w:hAnsi="Arial"/>
                <w:sz w:val="16"/>
                <w:szCs w:val="16"/>
                <w:b w:val="1"/>
                <w:bCs w:val="1"/>
                <w:color w:val="auto"/>
              </w:rPr>
              <w:t>Parent Company</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3"/>
          </w:tcPr>
          <w:p>
            <w:pPr>
              <w:spacing w:after="0"/>
              <w:rPr>
                <w:sz w:val="20"/>
                <w:szCs w:val="20"/>
                <w:color w:val="auto"/>
              </w:rPr>
            </w:pPr>
            <w:r>
              <w:rPr>
                <w:rFonts w:ascii="Arial" w:cs="Arial" w:eastAsia="Arial" w:hAnsi="Arial"/>
                <w:sz w:val="16"/>
                <w:szCs w:val="16"/>
                <w:b w:val="1"/>
                <w:bCs w:val="1"/>
                <w:color w:val="auto"/>
              </w:rPr>
              <w:t>Guarantor Subsidiaries</w:t>
            </w:r>
          </w:p>
        </w:tc>
        <w:tc>
          <w:tcPr>
            <w:tcW w:w="240" w:type="dxa"/>
            <w:vAlign w:val="bottom"/>
          </w:tcPr>
          <w:p>
            <w:pPr>
              <w:spacing w:after="0"/>
              <w:rPr>
                <w:sz w:val="24"/>
                <w:szCs w:val="24"/>
                <w:color w:val="auto"/>
              </w:rPr>
            </w:pPr>
          </w:p>
        </w:tc>
        <w:tc>
          <w:tcPr>
            <w:tcW w:w="1780" w:type="dxa"/>
            <w:vAlign w:val="bottom"/>
            <w:gridSpan w:val="2"/>
          </w:tcPr>
          <w:p>
            <w:pPr>
              <w:ind w:left="14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24"/>
                <w:szCs w:val="24"/>
                <w:color w:val="auto"/>
              </w:rPr>
            </w:pPr>
          </w:p>
        </w:tc>
        <w:tc>
          <w:tcPr>
            <w:tcW w:w="1800" w:type="dxa"/>
            <w:vAlign w:val="bottom"/>
          </w:tcPr>
          <w:p>
            <w:pPr>
              <w:jc w:val="right"/>
              <w:ind w:right="51"/>
              <w:spacing w:after="0"/>
              <w:rPr>
                <w:sz w:val="20"/>
                <w:szCs w:val="20"/>
                <w:color w:val="auto"/>
              </w:rPr>
            </w:pPr>
            <w:r>
              <w:rPr>
                <w:rFonts w:ascii="Arial" w:cs="Arial" w:eastAsia="Arial" w:hAnsi="Arial"/>
                <w:sz w:val="16"/>
                <w:szCs w:val="16"/>
                <w:b w:val="1"/>
                <w:bCs w:val="1"/>
                <w:color w:val="auto"/>
                <w:w w:val="92"/>
              </w:rPr>
              <w:t>Guarantor Subsidiaries</w:t>
            </w:r>
          </w:p>
        </w:tc>
        <w:tc>
          <w:tcPr>
            <w:tcW w:w="0" w:type="dxa"/>
            <w:vAlign w:val="bottom"/>
          </w:tcPr>
          <w:p>
            <w:pPr>
              <w:spacing w:after="0"/>
              <w:rPr>
                <w:sz w:val="1"/>
                <w:szCs w:val="1"/>
                <w:color w:val="auto"/>
              </w:rPr>
            </w:pPr>
          </w:p>
        </w:tc>
      </w:tr>
      <w:tr>
        <w:trPr>
          <w:trHeight w:val="226"/>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994,582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974,389</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796,356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658,100</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198,226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316,289</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Income before income taxes</w:t>
            </w: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line="203" w:lineRule="exact"/>
              <w:rPr>
                <w:sz w:val="20"/>
                <w:szCs w:val="20"/>
                <w:color w:val="auto"/>
              </w:rPr>
            </w:pPr>
            <w:r>
              <w:rPr>
                <w:rFonts w:ascii="Arial" w:cs="Arial" w:eastAsia="Arial" w:hAnsi="Arial"/>
                <w:sz w:val="18"/>
                <w:szCs w:val="18"/>
                <w:color w:val="auto"/>
              </w:rPr>
              <w:t>150,784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line="203" w:lineRule="exact"/>
              <w:rPr>
                <w:sz w:val="20"/>
                <w:szCs w:val="20"/>
                <w:color w:val="auto"/>
              </w:rPr>
            </w:pPr>
            <w:r>
              <w:rPr>
                <w:rFonts w:ascii="Arial" w:cs="Arial" w:eastAsia="Arial" w:hAnsi="Arial"/>
                <w:sz w:val="18"/>
                <w:szCs w:val="18"/>
                <w:color w:val="auto"/>
              </w:rPr>
              <w:t>243,001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line="203" w:lineRule="exact"/>
              <w:rPr>
                <w:sz w:val="20"/>
                <w:szCs w:val="20"/>
                <w:color w:val="auto"/>
              </w:rPr>
            </w:pPr>
            <w:r>
              <w:rPr>
                <w:rFonts w:ascii="Arial" w:cs="Arial" w:eastAsia="Arial" w:hAnsi="Arial"/>
                <w:sz w:val="18"/>
                <w:szCs w:val="18"/>
                <w:color w:val="auto"/>
              </w:rPr>
              <w:t>118,767</w:t>
            </w:r>
          </w:p>
        </w:tc>
        <w:tc>
          <w:tcPr>
            <w:tcW w:w="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line="203" w:lineRule="exact"/>
              <w:rPr>
                <w:sz w:val="20"/>
                <w:szCs w:val="20"/>
                <w:color w:val="auto"/>
              </w:rPr>
            </w:pPr>
            <w:r>
              <w:rPr>
                <w:rFonts w:ascii="Arial" w:cs="Arial" w:eastAsia="Arial" w:hAnsi="Arial"/>
                <w:sz w:val="18"/>
                <w:szCs w:val="18"/>
                <w:color w:val="auto"/>
              </w:rPr>
              <w:t>196,708</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122,906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192,292</w:t>
            </w:r>
          </w:p>
        </w:tc>
        <w:tc>
          <w:tcPr>
            <w:tcW w:w="0" w:type="dxa"/>
            <w:vAlign w:val="bottom"/>
          </w:tcPr>
          <w:p>
            <w:pPr>
              <w:spacing w:after="0"/>
              <w:rPr>
                <w:sz w:val="1"/>
                <w:szCs w:val="1"/>
                <w:color w:val="auto"/>
              </w:rPr>
            </w:pPr>
          </w:p>
        </w:tc>
      </w:tr>
      <w:tr>
        <w:trPr>
          <w:trHeight w:val="810"/>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Balance Sheet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0"/>
              </w:rPr>
              <w:t>June 30, 2021</w:t>
            </w:r>
          </w:p>
        </w:tc>
        <w:tc>
          <w:tcPr>
            <w:tcW w:w="240" w:type="dxa"/>
            <w:vAlign w:val="bottom"/>
          </w:tcPr>
          <w:p>
            <w:pPr>
              <w:spacing w:after="0"/>
              <w:rPr>
                <w:sz w:val="24"/>
                <w:szCs w:val="24"/>
                <w:color w:val="auto"/>
              </w:rPr>
            </w:pPr>
          </w:p>
        </w:tc>
        <w:tc>
          <w:tcPr>
            <w:tcW w:w="3720" w:type="dxa"/>
            <w:vAlign w:val="bottom"/>
            <w:gridSpan w:val="4"/>
          </w:tcPr>
          <w:p>
            <w:pPr>
              <w:jc w:val="right"/>
              <w:ind w:right="1211"/>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07"/>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Parent Company</w:t>
            </w: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Guarantor Subsidiaries</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2"/>
              </w:rPr>
              <w:t>Guarantor Subsidiaries</w:t>
            </w:r>
          </w:p>
        </w:tc>
        <w:tc>
          <w:tcPr>
            <w:tcW w:w="0" w:type="dxa"/>
            <w:vAlign w:val="bottom"/>
          </w:tcPr>
          <w:p>
            <w:pPr>
              <w:spacing w:after="0"/>
              <w:rPr>
                <w:sz w:val="1"/>
                <w:szCs w:val="1"/>
                <w:color w:val="auto"/>
              </w:rPr>
            </w:pPr>
          </w:p>
        </w:tc>
      </w:tr>
      <w:tr>
        <w:trPr>
          <w:trHeight w:val="212"/>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Amounts due from subsidiaries</w:t>
            </w: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16,897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25,749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74,649</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1,318,197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1,291,630</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3,834,834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3,415,898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3,729,996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3,151,581</w:t>
            </w: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Liabilities and equity:</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to subsidiaries</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27,091</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71,078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733,579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124,886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545,105</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3,079,296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3,023,726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describe our significant accounting policies in Note 2 to the Company's Consolidated Financial Statements included in our 2020 Form 10-K.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in our significant accounting policies since December 31, 2020.</w:t>
      </w:r>
    </w:p>
    <w:p>
      <w:pPr>
        <w:spacing w:after="0" w:line="10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discuss our critical accounting estimates in Item 7, "Management's Discussion and Analysis of Financial Condition and Results of Operations," in our 2020 Form 10-K. There have been no significant changes in our critical accounting estimates since December 31, 2020.</w:t>
      </w:r>
    </w:p>
    <w:p>
      <w:pPr>
        <w:spacing w:after="0" w:line="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Based on the level of interest rates prevailing at June 30, 2021, the carrying value of our fixed rate debt of $2.17 billion was less than its fair value of $2.23 billion by approximately $60.3 million. The fair value of these financial instruments is estimated based on reference to quoted market prices for these or comparable securities. A hypothetical 100 basis point decrease in interest rates prevailing at June 30, 2021 would increase the estimated fair value of our fixed rate debt by approximately $47.0 million to approximately $2.28 billion.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Interest Rate Risk</w:t>
      </w:r>
    </w:p>
    <w:p>
      <w:pPr>
        <w:spacing w:after="0" w:line="12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 worthy counterparties. We monitor the financial institutions that are counterparties to our interest rate swap contracts and to the extent possible diversify our swap contracts among various counterparties to mitigate exposure to any single financial institution.</w:t>
      </w:r>
    </w:p>
    <w:p>
      <w:pPr>
        <w:spacing w:after="0" w:line="6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of June 30, 2021, we had $2.8 billion of debt outstanding (excluding finance leases), of which $0.7 billion is outstanding under our loan facility and is subject to variable interest rates (before consideration of the interest rate swaps contracts described below).</w:t>
      </w:r>
    </w:p>
    <w:p>
      <w:pPr>
        <w:spacing w:after="0" w:line="6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June 30, 2021, we had interest rate swap contracts outstanding with notional amounts aggregating $100 million. The aggregate fair value of interest rate swap contracts at June 30, 2021 was a net liability of $1.2 million. As a result of these transactions, the interest rate paid on approximately 80% of our debt (excluding finance leases) as of June 30, 2021 is effectively fixed (77% being fixed rate obligations and 3% effectively fixed through utilization of these interest rate swap contracts).</w:t>
      </w:r>
    </w:p>
    <w:p>
      <w:pPr>
        <w:spacing w:after="0" w:line="79" w:lineRule="exact"/>
        <w:rPr>
          <w:sz w:val="20"/>
          <w:szCs w:val="20"/>
          <w:color w:val="auto"/>
        </w:rPr>
      </w:pPr>
    </w:p>
    <w:p>
      <w:pPr>
        <w:ind w:right="80" w:firstLine="445"/>
        <w:spacing w:after="0" w:line="375" w:lineRule="auto"/>
        <w:rPr>
          <w:sz w:val="20"/>
          <w:szCs w:val="20"/>
          <w:color w:val="auto"/>
        </w:rPr>
      </w:pPr>
      <w:r>
        <w:rPr>
          <w:rFonts w:ascii="Arial" w:cs="Arial" w:eastAsia="Arial" w:hAnsi="Arial"/>
          <w:sz w:val="18"/>
          <w:szCs w:val="18"/>
          <w:color w:val="auto"/>
        </w:rPr>
        <w:t xml:space="preserve">A hypothetical 100 basis point increase in interest rates prevailing at June 30, 2021 would not have a material impact on our annual interest expense. </w:t>
      </w:r>
      <w:r>
        <w:rPr>
          <w:rFonts w:ascii="Arial" w:cs="Arial" w:eastAsia="Arial" w:hAnsi="Arial"/>
          <w:sz w:val="18"/>
          <w:szCs w:val="18"/>
          <w:b w:val="1"/>
          <w:bCs w:val="1"/>
          <w:color w:val="auto"/>
        </w:rPr>
        <w:t>Managing our Foreign Currency Exchange Rate Risk</w:t>
      </w:r>
    </w:p>
    <w:p>
      <w:pPr>
        <w:spacing w:after="0" w:line="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The Company recognized a $3.1 million loss for the three months ended June 30, 2021 and a $6.4 million gain for the six months ended June 30, 2021 related to foreign currency transactions. Such amounts are included in miscellaneous, net in the condensed consolidated statement of income.</w:t>
      </w:r>
    </w:p>
    <w:p>
      <w:pPr>
        <w:spacing w:after="0" w:line="7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To manage foreign currency exchange rate risk, we may enter into foreign currency contracts from time to time with financial institutions to limit our exposure to fluctuations in foreign currency exchange rates. We do not enter into foreign currency contracts for speculative or trading purposes.</w:t>
      </w:r>
    </w:p>
    <w:p>
      <w:pPr>
        <w:spacing w:after="0" w:line="38"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also are exposed to fluctuations of the U.S. dollar (our reporting currency) against the currencies of our operating subsidiaries when their respective financial statements are translated into U.S. dollars for inclusion in our condensed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6" w:name="page47"/>
    <w:bookmarkEnd w:id="46"/>
    <w:p>
      <w:pPr>
        <w:jc w:val="both"/>
        <w:ind w:right="20"/>
        <w:spacing w:after="0" w:line="277" w:lineRule="auto"/>
        <w:rPr>
          <w:sz w:val="20"/>
          <w:szCs w:val="20"/>
          <w:color w:val="auto"/>
        </w:rPr>
      </w:pPr>
      <w:r>
        <w:rPr>
          <w:rFonts w:ascii="Arial" w:cs="Arial" w:eastAsia="Arial" w:hAnsi="Arial"/>
          <w:sz w:val="18"/>
          <w:szCs w:val="18"/>
          <w:color w:val="auto"/>
        </w:rPr>
        <w:t>a negative impact on our comprehensive income (loss) and equity with respect to our holdings solely as a result of changes in foreign currency exchange rates.</w:t>
      </w:r>
    </w:p>
    <w:p>
      <w:pPr>
        <w:spacing w:after="0" w:line="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our Chief Executive Officer and Chief Financial Officer, of the effectiveness of the design and operation of our disclosure controls and procedures (as defined in Rules 13a-15(e) and 15d-15(e) under the Securities Exchange Act of 1934, as amended). Based upon that evaluation as of June 30, 2021, the Company's Chief Executive Officer and Chief Financial Officer concluded that the Company's disclosure controls and procedures are effective.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During the three months ended June 30, 2021, there were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See Note 15, Commitments and Contingencies to the condensed consolidated financial statements included in this Quarterly Report on Form 10-Q for a description of our legal proceedings.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Board of Directors has authorized a program to repurchase up to $1.5 billion of its outstanding shares of common stock (the "Stock Repurchase Program"). The authorization of up to $500 million was announced on March 7, 2016, an additional authorization of $500 million was announced on June 7, 2017, and an additional authorization of $500 million was announced on June 13, 2018. The Stock Repurchase Program has no pre-established closing date and may be suspended or discontinued at any time.</w:t>
      </w:r>
    </w:p>
    <w:p>
      <w:pPr>
        <w:spacing w:after="0" w:line="7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For the six months ended June 30, 2021, the Company did not repurchase any of its Class A common stock. As of June 30, 2021, the Company had $135.3 million of authorization remaining for repurchase under the Stock Repurchase Program.</w:t>
      </w:r>
    </w:p>
    <w:p>
      <w:pPr>
        <w:spacing w:after="0" w:line="200" w:lineRule="exact"/>
        <w:rPr>
          <w:sz w:val="20"/>
          <w:szCs w:val="20"/>
          <w:color w:val="auto"/>
        </w:rPr>
      </w:pPr>
    </w:p>
    <w:p>
      <w:pPr>
        <w:spacing w:after="0" w:line="20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Index to Exhibits.</w:t>
      </w:r>
    </w:p>
    <w:p>
      <w:pPr>
        <w:spacing w:after="0" w:line="104" w:lineRule="exact"/>
        <w:rPr>
          <w:sz w:val="20"/>
          <w:szCs w:val="20"/>
          <w:color w:val="auto"/>
        </w:rPr>
      </w:pPr>
    </w:p>
    <w:p>
      <w:pPr>
        <w:ind w:left="1060" w:hanging="1034"/>
        <w:spacing w:after="0"/>
        <w:tabs>
          <w:tab w:leader="none" w:pos="1060" w:val="left"/>
        </w:tabs>
        <w:numPr>
          <w:ilvl w:val="0"/>
          <w:numId w:val="12"/>
        </w:numPr>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Guarantor Subsidiaries of the Registrant</w:t>
        </w:r>
      </w:hyperlink>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31.1</w:t>
            </w:r>
          </w:p>
        </w:tc>
        <w:tc>
          <w:tcPr>
            <w:tcW w:w="724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53">
              <w:r>
                <w:rPr>
                  <w:rFonts w:ascii="Arial" w:cs="Arial" w:eastAsia="Arial" w:hAnsi="Arial"/>
                  <w:sz w:val="18"/>
                  <w:szCs w:val="18"/>
                  <w:color w:val="0000FF"/>
                  <w:w w:val="92"/>
                </w:rPr>
                <w:t>Certification of Chief Executive Officer pursuant to Section 302 of the Sarbanes-Oxley Act of 2002.</w:t>
              </w:r>
            </w:hyperlink>
          </w:p>
        </w:tc>
      </w:tr>
      <w:tr>
        <w:trPr>
          <w:trHeight w:val="263"/>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31.2</w:t>
            </w:r>
          </w:p>
        </w:tc>
        <w:tc>
          <w:tcPr>
            <w:tcW w:w="7240" w:type="dxa"/>
            <w:vAlign w:val="bottom"/>
            <w:gridSpan w:val="2"/>
          </w:tcPr>
          <w:p>
            <w:pPr>
              <w:spacing w:after="0"/>
              <w:rPr>
                <w:rFonts w:ascii="Arial" w:cs="Arial" w:eastAsia="Arial" w:hAnsi="Arial"/>
                <w:sz w:val="18"/>
                <w:szCs w:val="18"/>
                <w:color w:val="0000FF"/>
                <w:w w:val="92"/>
              </w:rPr>
            </w:pPr>
            <w:hyperlink w:anchor="page54">
              <w:r>
                <w:rPr>
                  <w:rFonts w:ascii="Arial" w:cs="Arial" w:eastAsia="Arial" w:hAnsi="Arial"/>
                  <w:sz w:val="18"/>
                  <w:szCs w:val="18"/>
                  <w:color w:val="0000FF"/>
                  <w:w w:val="92"/>
                </w:rPr>
                <w:t>Certification of Chief Financial Officer pursuant to Section 302 of the Sarbanes-Oxley Act of 2002.</w:t>
              </w:r>
            </w:hyperlink>
          </w:p>
        </w:tc>
      </w:tr>
      <w:tr>
        <w:trPr>
          <w:trHeight w:val="20"/>
        </w:trPr>
        <w:tc>
          <w:tcPr>
            <w:tcW w:w="1040" w:type="dxa"/>
            <w:vAlign w:val="bottom"/>
          </w:tcPr>
          <w:p>
            <w:pPr>
              <w:spacing w:after="0" w:line="20" w:lineRule="exact"/>
              <w:rPr>
                <w:sz w:val="1"/>
                <w:szCs w:val="1"/>
                <w:color w:val="auto"/>
              </w:rPr>
            </w:pPr>
          </w:p>
        </w:tc>
        <w:tc>
          <w:tcPr>
            <w:tcW w:w="7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0" w:lineRule="exact"/>
        <w:rPr>
          <w:sz w:val="20"/>
          <w:szCs w:val="20"/>
          <w:color w:val="auto"/>
        </w:rPr>
      </w:pPr>
    </w:p>
    <w:p>
      <w:pPr>
        <w:ind w:left="1720" w:right="60" w:hanging="1694"/>
        <w:spacing w:after="0" w:line="235" w:lineRule="auto"/>
        <w:tabs>
          <w:tab w:leader="none" w:pos="1072" w:val="left"/>
        </w:tabs>
        <w:numPr>
          <w:ilvl w:val="0"/>
          <w:numId w:val="13"/>
        </w:numPr>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Certifications of Chief Executive Officer and Chief Financial Officer pursuant to Section 906 of the Sarbanes-Oxley Act of 2002, 18 U.S.C.</w:t>
        </w:r>
      </w:hyperlink>
      <w:r>
        <w:rPr>
          <w:rFonts w:ascii="Arial" w:cs="Arial" w:eastAsia="Arial" w:hAnsi="Arial"/>
          <w:sz w:val="18"/>
          <w:szCs w:val="18"/>
          <w:u w:val="single" w:color="auto"/>
          <w:color w:val="0000FF"/>
        </w:rPr>
        <w:t xml:space="preserve"> </w:t>
      </w:r>
      <w:hyperlink w:anchor="page55">
        <w:r>
          <w:rPr>
            <w:rFonts w:ascii="Arial" w:cs="Arial" w:eastAsia="Arial" w:hAnsi="Arial"/>
            <w:sz w:val="18"/>
            <w:szCs w:val="18"/>
            <w:u w:val="single" w:color="auto"/>
            <w:color w:val="0000FF"/>
          </w:rPr>
          <w:t>Section 1350.</w:t>
        </w:r>
      </w:hyperlink>
    </w:p>
    <w:p>
      <w:pPr>
        <w:spacing w:after="0" w:line="23" w:lineRule="exact"/>
        <w:rPr>
          <w:rFonts w:ascii="Arial" w:cs="Arial" w:eastAsia="Arial" w:hAnsi="Arial"/>
          <w:sz w:val="18"/>
          <w:szCs w:val="18"/>
          <w:color w:val="auto"/>
        </w:rPr>
      </w:pPr>
    </w:p>
    <w:tbl>
      <w:tblPr>
        <w:tblLayout w:type="fixed"/>
        <w:tblInd w:w="2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10260" w:type="dxa"/>
            <w:vAlign w:val="bottom"/>
          </w:tcPr>
          <w:p>
            <w:pPr>
              <w:ind w:left="18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r>
      <w:tr>
        <w:trPr>
          <w:trHeight w:val="230"/>
        </w:trPr>
        <w:tc>
          <w:tcPr>
            <w:tcW w:w="860" w:type="dxa"/>
            <w:vAlign w:val="bottom"/>
          </w:tcPr>
          <w:p>
            <w:pPr>
              <w:spacing w:after="0"/>
              <w:rPr>
                <w:sz w:val="20"/>
                <w:szCs w:val="20"/>
                <w:color w:val="auto"/>
              </w:rPr>
            </w:pPr>
          </w:p>
        </w:tc>
        <w:tc>
          <w:tcPr>
            <w:tcW w:w="10260" w:type="dxa"/>
            <w:vAlign w:val="bottom"/>
          </w:tcPr>
          <w:p>
            <w:pPr>
              <w:ind w:left="840"/>
              <w:spacing w:after="0"/>
              <w:rPr>
                <w:sz w:val="20"/>
                <w:szCs w:val="20"/>
                <w:color w:val="auto"/>
              </w:rPr>
            </w:pPr>
            <w:r>
              <w:rPr>
                <w:rFonts w:ascii="Arial" w:cs="Arial" w:eastAsia="Arial" w:hAnsi="Arial"/>
                <w:sz w:val="18"/>
                <w:szCs w:val="18"/>
                <w:color w:val="auto"/>
              </w:rPr>
              <w:t>Inline XBRL document.</w:t>
            </w:r>
          </w:p>
        </w:tc>
      </w:tr>
      <w:tr>
        <w:trPr>
          <w:trHeight w:val="283"/>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4"/>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26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w:t>
            </w:r>
          </w:p>
        </w:tc>
      </w:tr>
      <w:tr>
        <w:trPr>
          <w:trHeight w:val="283"/>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tcPr>
          <w:p>
            <w:pPr>
              <w:ind w:left="180"/>
              <w:spacing w:after="0"/>
              <w:rPr>
                <w:sz w:val="20"/>
                <w:szCs w:val="20"/>
                <w:color w:val="auto"/>
              </w:rPr>
            </w:pPr>
            <w:r>
              <w:rPr>
                <w:rFonts w:ascii="Arial" w:cs="Arial" w:eastAsia="Arial" w:hAnsi="Arial"/>
                <w:sz w:val="18"/>
                <w:szCs w:val="18"/>
                <w:color w:val="auto"/>
              </w:rPr>
              <w:t>XBRL Taxonomy Extension Label Linkbase Document.</w:t>
            </w:r>
          </w:p>
        </w:tc>
      </w:tr>
      <w:tr>
        <w:trPr>
          <w:trHeight w:val="283"/>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53" w:lineRule="exact"/>
        <w:rPr>
          <w:rFonts w:ascii="Arial" w:cs="Arial" w:eastAsia="Arial" w:hAnsi="Arial"/>
          <w:sz w:val="18"/>
          <w:szCs w:val="18"/>
          <w:color w:val="auto"/>
        </w:rPr>
      </w:pPr>
    </w:p>
    <w:p>
      <w:pPr>
        <w:ind w:left="1060" w:hanging="103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AMC Networks Inc.</w:t>
            </w:r>
          </w:p>
        </w:tc>
      </w:tr>
      <w:tr>
        <w:trPr>
          <w:trHeight w:val="378"/>
        </w:trPr>
        <w:tc>
          <w:tcPr>
            <w:tcW w:w="3420" w:type="dxa"/>
            <w:vAlign w:val="bottom"/>
          </w:tcPr>
          <w:p>
            <w:pPr>
              <w:spacing w:after="0"/>
              <w:rPr>
                <w:sz w:val="20"/>
                <w:szCs w:val="20"/>
                <w:color w:val="auto"/>
              </w:rPr>
            </w:pPr>
            <w:r>
              <w:rPr>
                <w:rFonts w:ascii="Arial" w:cs="Arial" w:eastAsia="Arial" w:hAnsi="Arial"/>
                <w:sz w:val="18"/>
                <w:szCs w:val="18"/>
                <w:color w:val="auto"/>
              </w:rPr>
              <w:t>Date: August 6, 2021</w:t>
            </w:r>
          </w:p>
        </w:tc>
        <w:tc>
          <w:tcPr>
            <w:tcW w:w="7600" w:type="dxa"/>
            <w:vAlign w:val="bottom"/>
            <w:gridSpan w:val="2"/>
          </w:tcPr>
          <w:p>
            <w:pPr>
              <w:ind w:left="1880"/>
              <w:spacing w:after="0"/>
              <w:rPr>
                <w:sz w:val="20"/>
                <w:szCs w:val="20"/>
                <w:color w:val="auto"/>
              </w:rPr>
            </w:pPr>
            <w:r>
              <w:rPr>
                <w:rFonts w:ascii="Arial" w:cs="Arial" w:eastAsia="Arial" w:hAnsi="Arial"/>
                <w:sz w:val="18"/>
                <w:szCs w:val="18"/>
                <w:color w:val="auto"/>
              </w:rPr>
              <w:t>By: /s/ Christina Spade</w:t>
            </w:r>
          </w:p>
        </w:tc>
      </w:tr>
      <w:tr>
        <w:trPr>
          <w:trHeight w:val="222"/>
        </w:trPr>
        <w:tc>
          <w:tcPr>
            <w:tcW w:w="34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Christina Spade</w:t>
            </w:r>
          </w:p>
        </w:tc>
      </w:tr>
      <w:tr>
        <w:trPr>
          <w:trHeight w:val="230"/>
        </w:trPr>
        <w:tc>
          <w:tcPr>
            <w:tcW w:w="34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931"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0"/>
        </w:trPr>
        <w:tc>
          <w:tcPr>
            <w:tcW w:w="9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ind w:left="1260"/>
              <w:spacing w:after="0"/>
              <w:rPr>
                <w:sz w:val="20"/>
                <w:szCs w:val="20"/>
                <w:color w:val="auto"/>
              </w:rPr>
            </w:pPr>
            <w:r>
              <w:rPr>
                <w:rFonts w:ascii="Arial" w:cs="Arial" w:eastAsia="Arial" w:hAnsi="Arial"/>
                <w:sz w:val="18"/>
                <w:szCs w:val="18"/>
                <w:color w:val="auto"/>
                <w:w w:val="93"/>
              </w:rPr>
              <w:t>Exhibit 22</w:t>
            </w:r>
          </w:p>
        </w:tc>
      </w:tr>
      <w:tr>
        <w:trPr>
          <w:trHeight w:val="810"/>
        </w:trPr>
        <w:tc>
          <w:tcPr>
            <w:tcW w:w="9220" w:type="dxa"/>
            <w:vAlign w:val="bottom"/>
            <w:gridSpan w:val="2"/>
          </w:tcPr>
          <w:p>
            <w:pPr>
              <w:ind w:left="4440"/>
              <w:spacing w:after="0"/>
              <w:rPr>
                <w:sz w:val="20"/>
                <w:szCs w:val="20"/>
                <w:color w:val="auto"/>
              </w:rPr>
            </w:pPr>
            <w:r>
              <w:rPr>
                <w:rFonts w:ascii="Arial" w:cs="Arial" w:eastAsia="Arial" w:hAnsi="Arial"/>
                <w:sz w:val="18"/>
                <w:szCs w:val="18"/>
                <w:b w:val="1"/>
                <w:bCs w:val="1"/>
                <w:color w:val="auto"/>
              </w:rPr>
              <w:t>List of Guarantor Subsidiaries</w:t>
            </w:r>
          </w:p>
        </w:tc>
        <w:tc>
          <w:tcPr>
            <w:tcW w:w="2020" w:type="dxa"/>
            <w:vAlign w:val="bottom"/>
          </w:tcPr>
          <w:p>
            <w:pPr>
              <w:spacing w:after="0"/>
              <w:rPr>
                <w:sz w:val="24"/>
                <w:szCs w:val="24"/>
                <w:color w:val="auto"/>
              </w:rPr>
            </w:pPr>
          </w:p>
        </w:tc>
      </w:tr>
      <w:tr>
        <w:trPr>
          <w:trHeight w:val="270"/>
        </w:trPr>
        <w:tc>
          <w:tcPr>
            <w:tcW w:w="9220" w:type="dxa"/>
            <w:vAlign w:val="bottom"/>
            <w:gridSpan w:val="2"/>
          </w:tcPr>
          <w:p>
            <w:pPr>
              <w:spacing w:after="0"/>
              <w:rPr>
                <w:sz w:val="20"/>
                <w:szCs w:val="20"/>
                <w:color w:val="auto"/>
              </w:rPr>
            </w:pPr>
            <w:r>
              <w:rPr>
                <w:rFonts w:ascii="Arial" w:cs="Arial" w:eastAsia="Arial" w:hAnsi="Arial"/>
                <w:sz w:val="18"/>
                <w:szCs w:val="18"/>
                <w:color w:val="auto"/>
                <w:w w:val="96"/>
              </w:rPr>
              <w:t>As of June 30, 2021, the following subsidiaries of AMC Networks Inc. guarantee the notes issued by AMC Networks Inc.</w:t>
            </w:r>
          </w:p>
        </w:tc>
        <w:tc>
          <w:tcPr>
            <w:tcW w:w="2020" w:type="dxa"/>
            <w:vAlign w:val="bottom"/>
          </w:tcPr>
          <w:p>
            <w:pPr>
              <w:spacing w:after="0"/>
              <w:rPr>
                <w:sz w:val="23"/>
                <w:szCs w:val="23"/>
                <w:color w:val="auto"/>
              </w:rPr>
            </w:pPr>
          </w:p>
        </w:tc>
      </w:tr>
      <w:tr>
        <w:trPr>
          <w:trHeight w:val="240"/>
        </w:trPr>
        <w:tc>
          <w:tcPr>
            <w:tcW w:w="9100" w:type="dxa"/>
            <w:vAlign w:val="bottom"/>
            <w:tcBorders>
              <w:bottom w:val="single" w:sz="8" w:color="auto"/>
            </w:tcBorders>
          </w:tcPr>
          <w:p>
            <w:pPr>
              <w:ind w:left="4180"/>
              <w:spacing w:after="0"/>
              <w:rPr>
                <w:sz w:val="20"/>
                <w:szCs w:val="20"/>
                <w:color w:val="auto"/>
              </w:rPr>
            </w:pPr>
            <w:r>
              <w:rPr>
                <w:rFonts w:ascii="Arial" w:cs="Arial" w:eastAsia="Arial" w:hAnsi="Arial"/>
                <w:sz w:val="16"/>
                <w:szCs w:val="16"/>
                <w:b w:val="1"/>
                <w:bCs w:val="1"/>
                <w:color w:val="auto"/>
              </w:rPr>
              <w:t>Guarantor</w:t>
            </w:r>
          </w:p>
        </w:tc>
        <w:tc>
          <w:tcPr>
            <w:tcW w:w="120" w:type="dxa"/>
            <w:vAlign w:val="bottom"/>
            <w:tcBorders>
              <w:bottom w:val="single" w:sz="8" w:color="CCEEFF"/>
            </w:tcBorders>
          </w:tcPr>
          <w:p>
            <w:pPr>
              <w:spacing w:after="0"/>
              <w:rPr>
                <w:sz w:val="20"/>
                <w:szCs w:val="20"/>
                <w:color w:val="auto"/>
              </w:rPr>
            </w:pPr>
          </w:p>
        </w:tc>
        <w:tc>
          <w:tcPr>
            <w:tcW w:w="20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w w:val="97"/>
              </w:rPr>
              <w:t>Jurisdiction of Formation</w:t>
            </w:r>
          </w:p>
        </w:tc>
      </w:tr>
      <w:tr>
        <w:trPr>
          <w:trHeight w:val="213"/>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2nd Party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61st Street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Film Holdings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 Games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Network Entertainment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 Networks Broadcasting &amp; Technology</w:t>
            </w:r>
          </w:p>
        </w:tc>
        <w:tc>
          <w:tcPr>
            <w:tcW w:w="2020" w:type="dxa"/>
            <w:vAlign w:val="bottom"/>
          </w:tcPr>
          <w:p>
            <w:pPr>
              <w:ind w:left="20"/>
              <w:spacing w:after="0"/>
              <w:rPr>
                <w:sz w:val="20"/>
                <w:szCs w:val="20"/>
                <w:color w:val="auto"/>
              </w:rPr>
            </w:pPr>
            <w:r>
              <w:rPr>
                <w:rFonts w:ascii="Arial" w:cs="Arial" w:eastAsia="Arial" w:hAnsi="Arial"/>
                <w:sz w:val="16"/>
                <w:szCs w:val="16"/>
                <w:color w:val="auto"/>
              </w:rPr>
              <w:t>New York</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Networks International Asia-Pacific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 Networks International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Networks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 Premiere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TV Studios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AMC/Sundance Channel Global Networks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AMCN Properties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American Movie Classics IV Holding Corp</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Animal Control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Anthem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Badlands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Louisiana</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Badlands Productions 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Benders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Brockmire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Cobalt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Comic Scribe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Crossed Pens Development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Dark Winds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Digital Store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Dispatches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Expedition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Five Families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Five Moons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Geese Productions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Ground Work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Halt and Catch Fire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Halt and Catch Fire Productions II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Halt and Catch Fire Productions III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Halt and Catch Fire Productions IV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Halt and Catch Fire Productions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Hap and Leonard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Louisiana</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Hap and Leonard Productions 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Hap and Leonard Productions III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IFC Entertainment Holdings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IFC Entertainment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139" w:right="3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00" w:type="dxa"/>
            <w:vAlign w:val="bottom"/>
            <w:tcBorders>
              <w:bottom w:val="single" w:sz="8" w:color="auto"/>
            </w:tcBorders>
          </w:tcPr>
          <w:p>
            <w:pPr>
              <w:ind w:left="4180"/>
              <w:spacing w:after="0"/>
              <w:rPr>
                <w:sz w:val="20"/>
                <w:szCs w:val="20"/>
                <w:color w:val="auto"/>
              </w:rPr>
            </w:pPr>
            <w:r>
              <w:rPr>
                <w:rFonts w:ascii="Arial" w:cs="Arial" w:eastAsia="Arial" w:hAnsi="Arial"/>
                <w:sz w:val="16"/>
                <w:szCs w:val="16"/>
                <w:b w:val="1"/>
                <w:bCs w:val="1"/>
                <w:color w:val="auto"/>
              </w:rPr>
              <w:t>Guarantor</w:t>
            </w:r>
          </w:p>
        </w:tc>
        <w:tc>
          <w:tcPr>
            <w:tcW w:w="12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w w:val="97"/>
              </w:rPr>
              <w:t>Jurisdiction of Formation</w:t>
            </w:r>
          </w:p>
        </w:tc>
      </w:tr>
      <w:tr>
        <w:trPr>
          <w:trHeight w:val="213"/>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IFC Films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IFC In Theaters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IFC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IFC Television Holdings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IFC Theatres Concessions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IFC Theatres,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IFC TV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IFC TV Studios Holdings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IFC TV Studios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IPTV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Kindred Spirit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Kopus Productions 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Kopus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Living With Yourself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Lodge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Lodge Productions 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Making Waves Studio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Mechanical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Moonhaven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Monument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Newfound Lake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NOS4A2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Rhode Island</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Peach Pit Properties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Pens Down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Premier Quills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Rainbow Film Holdings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Rainbow Media Enterprises, Inc.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Rainbow Media Holdings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Rainbow Programming Holdings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Rectify Productions 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Rectify Productions III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Rectify Productions IV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Rectify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Red Monday Programming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RNC Holding Corporation</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RNC II Holding Corporation</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Roughhouse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Selects VOD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Shudder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Sleuth Secrets Productions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Stalwart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Stan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Stan Productions II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Sundance Channel Originals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868" w:right="3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00" w:type="dxa"/>
            <w:vAlign w:val="bottom"/>
            <w:tcBorders>
              <w:bottom w:val="single" w:sz="8" w:color="auto"/>
            </w:tcBorders>
          </w:tcPr>
          <w:p>
            <w:pPr>
              <w:ind w:left="4180"/>
              <w:spacing w:after="0"/>
              <w:rPr>
                <w:sz w:val="20"/>
                <w:szCs w:val="20"/>
                <w:color w:val="auto"/>
              </w:rPr>
            </w:pPr>
            <w:r>
              <w:rPr>
                <w:rFonts w:ascii="Arial" w:cs="Arial" w:eastAsia="Arial" w:hAnsi="Arial"/>
                <w:sz w:val="16"/>
                <w:szCs w:val="16"/>
                <w:b w:val="1"/>
                <w:bCs w:val="1"/>
                <w:color w:val="auto"/>
              </w:rPr>
              <w:t>Guarantor</w:t>
            </w:r>
          </w:p>
        </w:tc>
        <w:tc>
          <w:tcPr>
            <w:tcW w:w="120" w:type="dxa"/>
            <w:vAlign w:val="bottom"/>
          </w:tcPr>
          <w:p>
            <w:pPr>
              <w:spacing w:after="0"/>
              <w:rPr>
                <w:sz w:val="18"/>
                <w:szCs w:val="18"/>
                <w:color w:val="auto"/>
              </w:rPr>
            </w:pPr>
          </w:p>
        </w:tc>
        <w:tc>
          <w:tcPr>
            <w:tcW w:w="20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w w:val="97"/>
              </w:rPr>
              <w:t>Jurisdiction of Formation</w:t>
            </w:r>
          </w:p>
        </w:tc>
      </w:tr>
      <w:tr>
        <w:trPr>
          <w:trHeight w:val="209"/>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Sundance Film Holdings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SundanceTV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The Son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Turn Productions II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Turn Productions III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Turn Productions IV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Turn Productions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TWD Productions IV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TWD Productions IX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TWD Productions V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TWD Productions VI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TWD Productions VII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TWD Productions VIII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TWD Productions X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TWD Productions XI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Universe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Vampire Chronicles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Voom HD Holdings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WE tv Asia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 TV Holdings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WE tv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 TV Studios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Woodbury Studios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868"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Joshua W. Sapan, certify that:</w:t>
      </w:r>
    </w:p>
    <w:p>
      <w:pPr>
        <w:spacing w:after="0" w:line="171" w:lineRule="exact"/>
        <w:rPr>
          <w:sz w:val="20"/>
          <w:szCs w:val="20"/>
          <w:color w:val="auto"/>
        </w:rPr>
      </w:pPr>
    </w:p>
    <w:p>
      <w:pPr>
        <w:ind w:left="280" w:hanging="1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AMC Networks Inc.;</w:t>
      </w:r>
    </w:p>
    <w:p>
      <w:pPr>
        <w:spacing w:after="0" w:line="171" w:lineRule="exact"/>
        <w:rPr>
          <w:rFonts w:ascii="Arial" w:cs="Arial" w:eastAsia="Arial" w:hAnsi="Arial"/>
          <w:sz w:val="18"/>
          <w:szCs w:val="18"/>
          <w:color w:val="auto"/>
        </w:rPr>
      </w:pPr>
    </w:p>
    <w:p>
      <w:pPr>
        <w:ind w:left="100" w:firstLine="8"/>
        <w:spacing w:after="0" w:line="342" w:lineRule="auto"/>
        <w:tabs>
          <w:tab w:leader="none" w:pos="301"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00" w:firstLine="8"/>
        <w:spacing w:after="0" w:line="277" w:lineRule="auto"/>
        <w:tabs>
          <w:tab w:leader="none" w:pos="3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100" w:firstLine="8"/>
        <w:spacing w:after="0" w:line="263" w:lineRule="auto"/>
        <w:tabs>
          <w:tab w:leader="none" w:pos="3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920" w:hanging="164"/>
        <w:spacing w:after="0" w:line="263" w:lineRule="auto"/>
        <w:tabs>
          <w:tab w:leader="none" w:pos="9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920" w:hanging="164"/>
        <w:spacing w:after="0" w:line="263" w:lineRule="auto"/>
        <w:tabs>
          <w:tab w:leader="none" w:pos="983"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20" w:hanging="164"/>
        <w:spacing w:after="0" w:line="308" w:lineRule="auto"/>
        <w:tabs>
          <w:tab w:leader="none" w:pos="978"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920" w:hanging="164"/>
        <w:spacing w:after="0" w:line="263" w:lineRule="auto"/>
        <w:tabs>
          <w:tab w:leader="none" w:pos="95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00" w:firstLine="8"/>
        <w:spacing w:after="0" w:line="308" w:lineRule="auto"/>
        <w:tabs>
          <w:tab w:leader="none" w:pos="298"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hanging="164"/>
        <w:spacing w:after="0" w:line="277" w:lineRule="auto"/>
        <w:tabs>
          <w:tab w:leader="none" w:pos="95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20" w:hanging="164"/>
        <w:spacing w:after="0" w:line="277" w:lineRule="auto"/>
        <w:tabs>
          <w:tab w:leader="none" w:pos="9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ugust 6, 2021</w:t>
            </w:r>
          </w:p>
        </w:tc>
        <w:tc>
          <w:tcPr>
            <w:tcW w:w="7100" w:type="dxa"/>
            <w:vAlign w:val="bottom"/>
            <w:gridSpan w:val="2"/>
          </w:tcPr>
          <w:p>
            <w:pPr>
              <w:ind w:left="2420"/>
              <w:spacing w:after="0"/>
              <w:rPr>
                <w:sz w:val="20"/>
                <w:szCs w:val="20"/>
                <w:color w:val="auto"/>
              </w:rPr>
            </w:pPr>
            <w:r>
              <w:rPr>
                <w:rFonts w:ascii="Arial" w:cs="Arial" w:eastAsia="Arial" w:hAnsi="Arial"/>
                <w:sz w:val="18"/>
                <w:szCs w:val="18"/>
                <w:color w:val="auto"/>
              </w:rPr>
              <w:t>By:  /s/ Joshua W. Sapan</w:t>
            </w:r>
          </w:p>
        </w:tc>
      </w:tr>
      <w:tr>
        <w:trPr>
          <w:trHeight w:val="222"/>
        </w:trPr>
        <w:tc>
          <w:tcPr>
            <w:tcW w:w="3400" w:type="dxa"/>
            <w:vAlign w:val="bottom"/>
          </w:tcPr>
          <w:p>
            <w:pPr>
              <w:spacing w:after="0"/>
              <w:rPr>
                <w:sz w:val="19"/>
                <w:szCs w:val="19"/>
                <w:color w:val="auto"/>
              </w:rPr>
            </w:pPr>
          </w:p>
        </w:tc>
        <w:tc>
          <w:tcPr>
            <w:tcW w:w="3640" w:type="dxa"/>
            <w:vAlign w:val="bottom"/>
          </w:tcPr>
          <w:p>
            <w:pPr>
              <w:ind w:left="2860"/>
              <w:spacing w:after="0"/>
              <w:rPr>
                <w:sz w:val="20"/>
                <w:szCs w:val="20"/>
                <w:color w:val="auto"/>
              </w:rPr>
            </w:pPr>
            <w:r>
              <w:rPr>
                <w:rFonts w:ascii="Arial" w:cs="Arial" w:eastAsia="Arial" w:hAnsi="Arial"/>
                <w:sz w:val="18"/>
                <w:szCs w:val="18"/>
                <w:color w:val="auto"/>
                <w:w w:val="89"/>
              </w:rPr>
              <w:t>Joshua W.</w:t>
            </w:r>
          </w:p>
        </w:tc>
        <w:tc>
          <w:tcPr>
            <w:tcW w:w="3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Sapan</w:t>
            </w:r>
          </w:p>
        </w:tc>
      </w:tr>
      <w:tr>
        <w:trPr>
          <w:trHeight w:val="230"/>
        </w:trPr>
        <w:tc>
          <w:tcPr>
            <w:tcW w:w="3400" w:type="dxa"/>
            <w:vAlign w:val="bottom"/>
          </w:tcPr>
          <w:p>
            <w:pPr>
              <w:spacing w:after="0"/>
              <w:rPr>
                <w:sz w:val="20"/>
                <w:szCs w:val="20"/>
                <w:color w:val="auto"/>
              </w:rPr>
            </w:pPr>
          </w:p>
        </w:tc>
        <w:tc>
          <w:tcPr>
            <w:tcW w:w="7100" w:type="dxa"/>
            <w:vAlign w:val="bottom"/>
            <w:gridSpan w:val="2"/>
          </w:tcPr>
          <w:p>
            <w:pPr>
              <w:ind w:left="286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340"/>
          </w:cols>
          <w:pgMar w:left="220" w:top="125"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Christina Spade, certify that:</w:t>
      </w:r>
    </w:p>
    <w:p>
      <w:pPr>
        <w:spacing w:after="0" w:line="171" w:lineRule="exact"/>
        <w:rPr>
          <w:sz w:val="20"/>
          <w:szCs w:val="20"/>
          <w:color w:val="auto"/>
        </w:rPr>
      </w:pPr>
    </w:p>
    <w:p>
      <w:pPr>
        <w:ind w:left="280" w:hanging="172"/>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AMC Networks Inc.;</w:t>
      </w:r>
    </w:p>
    <w:p>
      <w:pPr>
        <w:spacing w:after="0" w:line="171" w:lineRule="exact"/>
        <w:rPr>
          <w:rFonts w:ascii="Arial" w:cs="Arial" w:eastAsia="Arial" w:hAnsi="Arial"/>
          <w:sz w:val="18"/>
          <w:szCs w:val="18"/>
          <w:color w:val="auto"/>
        </w:rPr>
      </w:pPr>
    </w:p>
    <w:p>
      <w:pPr>
        <w:ind w:left="100" w:firstLine="8"/>
        <w:spacing w:after="0" w:line="342" w:lineRule="auto"/>
        <w:tabs>
          <w:tab w:leader="none" w:pos="301"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00" w:firstLine="8"/>
        <w:spacing w:after="0" w:line="277" w:lineRule="auto"/>
        <w:tabs>
          <w:tab w:leader="none" w:pos="3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100" w:firstLine="8"/>
        <w:spacing w:after="0" w:line="263" w:lineRule="auto"/>
        <w:tabs>
          <w:tab w:leader="none" w:pos="3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920" w:hanging="164"/>
        <w:spacing w:after="0" w:line="263" w:lineRule="auto"/>
        <w:tabs>
          <w:tab w:leader="none" w:pos="95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920" w:hanging="164"/>
        <w:spacing w:after="0" w:line="263" w:lineRule="auto"/>
        <w:tabs>
          <w:tab w:leader="none" w:pos="983"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20" w:hanging="164"/>
        <w:spacing w:after="0" w:line="308" w:lineRule="auto"/>
        <w:tabs>
          <w:tab w:leader="none" w:pos="978"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920" w:hanging="164"/>
        <w:spacing w:after="0" w:line="263" w:lineRule="auto"/>
        <w:tabs>
          <w:tab w:leader="none" w:pos="95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100" w:firstLine="8"/>
        <w:spacing w:after="0" w:line="308" w:lineRule="auto"/>
        <w:tabs>
          <w:tab w:leader="none" w:pos="29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hanging="164"/>
        <w:spacing w:after="0" w:line="277" w:lineRule="auto"/>
        <w:tabs>
          <w:tab w:leader="none" w:pos="95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20" w:hanging="164"/>
        <w:spacing w:after="0" w:line="277" w:lineRule="auto"/>
        <w:tabs>
          <w:tab w:leader="none" w:pos="95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ugust 6, 2021</w:t>
            </w:r>
          </w:p>
        </w:tc>
        <w:tc>
          <w:tcPr>
            <w:tcW w:w="7100" w:type="dxa"/>
            <w:vAlign w:val="bottom"/>
            <w:gridSpan w:val="2"/>
          </w:tcPr>
          <w:p>
            <w:pPr>
              <w:ind w:left="2420"/>
              <w:spacing w:after="0"/>
              <w:rPr>
                <w:sz w:val="20"/>
                <w:szCs w:val="20"/>
                <w:color w:val="auto"/>
              </w:rPr>
            </w:pPr>
            <w:r>
              <w:rPr>
                <w:rFonts w:ascii="Arial" w:cs="Arial" w:eastAsia="Arial" w:hAnsi="Arial"/>
                <w:sz w:val="18"/>
                <w:szCs w:val="18"/>
                <w:color w:val="auto"/>
              </w:rPr>
              <w:t>By:  /s/ Christina Spade</w:t>
            </w:r>
          </w:p>
        </w:tc>
      </w:tr>
      <w:tr>
        <w:trPr>
          <w:trHeight w:val="222"/>
        </w:trPr>
        <w:tc>
          <w:tcPr>
            <w:tcW w:w="3400" w:type="dxa"/>
            <w:vAlign w:val="bottom"/>
          </w:tcPr>
          <w:p>
            <w:pPr>
              <w:spacing w:after="0"/>
              <w:rPr>
                <w:sz w:val="19"/>
                <w:szCs w:val="19"/>
                <w:color w:val="auto"/>
              </w:rPr>
            </w:pPr>
          </w:p>
        </w:tc>
        <w:tc>
          <w:tcPr>
            <w:tcW w:w="3640" w:type="dxa"/>
            <w:vAlign w:val="bottom"/>
          </w:tcPr>
          <w:p>
            <w:pPr>
              <w:ind w:left="2860"/>
              <w:spacing w:after="0"/>
              <w:rPr>
                <w:sz w:val="20"/>
                <w:szCs w:val="20"/>
                <w:color w:val="auto"/>
              </w:rPr>
            </w:pPr>
            <w:r>
              <w:rPr>
                <w:rFonts w:ascii="Arial" w:cs="Arial" w:eastAsia="Arial" w:hAnsi="Arial"/>
                <w:sz w:val="18"/>
                <w:szCs w:val="18"/>
                <w:color w:val="auto"/>
              </w:rPr>
              <w:t>Christina</w:t>
            </w:r>
          </w:p>
        </w:tc>
        <w:tc>
          <w:tcPr>
            <w:tcW w:w="3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Spade</w:t>
            </w:r>
          </w:p>
        </w:tc>
      </w:tr>
      <w:tr>
        <w:trPr>
          <w:trHeight w:val="230"/>
        </w:trPr>
        <w:tc>
          <w:tcPr>
            <w:tcW w:w="3400" w:type="dxa"/>
            <w:vAlign w:val="bottom"/>
          </w:tcPr>
          <w:p>
            <w:pPr>
              <w:spacing w:after="0"/>
              <w:rPr>
                <w:sz w:val="20"/>
                <w:szCs w:val="20"/>
                <w:color w:val="auto"/>
              </w:rPr>
            </w:pPr>
          </w:p>
        </w:tc>
        <w:tc>
          <w:tcPr>
            <w:tcW w:w="7100" w:type="dxa"/>
            <w:vAlign w:val="bottom"/>
            <w:gridSpan w:val="2"/>
          </w:tcPr>
          <w:p>
            <w:pPr>
              <w:ind w:left="286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340"/>
          </w:cols>
          <w:pgMar w:left="220" w:top="125"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Pursuant to 18 U.S.C. § 1350, each of the undersigned officers of AMC Networks Inc. (“AMC Networks”) hereby certifies, to such officer’s knowledge, that AMC Networks’ Quarterly Report on Form 10-Q for the quarter ended June 30, 2021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860" w:type="dxa"/>
            <w:vAlign w:val="bottom"/>
          </w:tcPr>
          <w:p>
            <w:pPr>
              <w:ind w:left="100"/>
              <w:spacing w:after="0"/>
              <w:rPr>
                <w:sz w:val="20"/>
                <w:szCs w:val="20"/>
                <w:color w:val="auto"/>
              </w:rPr>
            </w:pPr>
            <w:r>
              <w:rPr>
                <w:rFonts w:ascii="Arial" w:cs="Arial" w:eastAsia="Arial" w:hAnsi="Arial"/>
                <w:sz w:val="18"/>
                <w:szCs w:val="18"/>
                <w:color w:val="auto"/>
              </w:rPr>
              <w:t>August 6, 2021</w:t>
            </w:r>
          </w:p>
        </w:tc>
        <w:tc>
          <w:tcPr>
            <w:tcW w:w="3100" w:type="dxa"/>
            <w:vAlign w:val="bottom"/>
          </w:tcPr>
          <w:p>
            <w:pPr>
              <w:ind w:left="2660"/>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Joshua W. Sapan</w:t>
            </w:r>
          </w:p>
        </w:tc>
        <w:tc>
          <w:tcPr>
            <w:tcW w:w="20" w:type="dxa"/>
            <w:vAlign w:val="bottom"/>
          </w:tcPr>
          <w:p>
            <w:pPr>
              <w:spacing w:after="0"/>
              <w:rPr>
                <w:sz w:val="20"/>
                <w:szCs w:val="20"/>
                <w:color w:val="auto"/>
              </w:rPr>
            </w:pPr>
          </w:p>
        </w:tc>
      </w:tr>
      <w:tr>
        <w:trPr>
          <w:trHeight w:val="222"/>
        </w:trPr>
        <w:tc>
          <w:tcPr>
            <w:tcW w:w="5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Joshua W. Sapan</w:t>
            </w:r>
          </w:p>
        </w:tc>
        <w:tc>
          <w:tcPr>
            <w:tcW w:w="2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20"/>
                <w:szCs w:val="20"/>
                <w:color w:val="auto"/>
              </w:rPr>
            </w:pPr>
          </w:p>
        </w:tc>
      </w:tr>
      <w:tr>
        <w:trPr>
          <w:trHeight w:val="621"/>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860" w:type="dxa"/>
            <w:vAlign w:val="bottom"/>
          </w:tcPr>
          <w:p>
            <w:pPr>
              <w:ind w:left="120"/>
              <w:spacing w:after="0"/>
              <w:rPr>
                <w:sz w:val="20"/>
                <w:szCs w:val="20"/>
                <w:color w:val="auto"/>
              </w:rPr>
            </w:pPr>
            <w:r>
              <w:rPr>
                <w:rFonts w:ascii="Arial" w:cs="Arial" w:eastAsia="Arial" w:hAnsi="Arial"/>
                <w:sz w:val="18"/>
                <w:szCs w:val="18"/>
                <w:color w:val="auto"/>
              </w:rPr>
              <w:t>August 6, 2021</w:t>
            </w:r>
          </w:p>
        </w:tc>
        <w:tc>
          <w:tcPr>
            <w:tcW w:w="3100" w:type="dxa"/>
            <w:vAlign w:val="bottom"/>
          </w:tcPr>
          <w:p>
            <w:pPr>
              <w:ind w:left="2660"/>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Christina Spade</w:t>
            </w:r>
          </w:p>
        </w:tc>
        <w:tc>
          <w:tcPr>
            <w:tcW w:w="20" w:type="dxa"/>
            <w:vAlign w:val="bottom"/>
            <w:tcBorders>
              <w:bottom w:val="single" w:sz="8" w:color="auto"/>
            </w:tcBorders>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Christina Spade</w:t>
            </w:r>
          </w:p>
        </w:tc>
        <w:tc>
          <w:tcPr>
            <w:tcW w:w="20" w:type="dxa"/>
            <w:vAlign w:val="bottom"/>
          </w:tcPr>
          <w:p>
            <w:pPr>
              <w:spacing w:after="0"/>
              <w:rPr>
                <w:sz w:val="19"/>
                <w:szCs w:val="19"/>
                <w:color w:val="auto"/>
              </w:rPr>
            </w:pPr>
          </w:p>
        </w:tc>
      </w:tr>
      <w:tr>
        <w:trPr>
          <w:trHeight w:val="176"/>
        </w:trPr>
        <w:tc>
          <w:tcPr>
            <w:tcW w:w="5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72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and Chief Financial</w:t>
            </w:r>
          </w:p>
        </w:tc>
        <w:tc>
          <w:tcPr>
            <w:tcW w:w="20" w:type="dxa"/>
            <w:vAlign w:val="bottom"/>
          </w:tcPr>
          <w:p>
            <w:pPr>
              <w:spacing w:after="0"/>
              <w:rPr>
                <w:sz w:val="15"/>
                <w:szCs w:val="15"/>
                <w:color w:val="auto"/>
              </w:rPr>
            </w:pPr>
          </w:p>
        </w:tc>
      </w:tr>
      <w:tr>
        <w:trPr>
          <w:trHeight w:val="230"/>
        </w:trPr>
        <w:tc>
          <w:tcPr>
            <w:tcW w:w="5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Officer</w:t>
            </w:r>
          </w:p>
        </w:tc>
        <w:tc>
          <w:tcPr>
            <w:tcW w:w="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decimal"/>
      <w:start w:val="22"/>
    </w:lvl>
  </w:abstractNum>
  <w:abstractNum w:abstractNumId="12">
    <w:nsid w:val="7FDCC233"/>
    <w:multiLevelType w:val="hybridMultilevel"/>
    <w:lvl w:ilvl="0">
      <w:lvlJc w:val="left"/>
      <w:lvlText w:val="%1"/>
      <w:numFmt w:val="decimal"/>
      <w:start w:val="32"/>
    </w:lvl>
  </w:abstractNum>
  <w:abstractNum w:abstractNumId="13">
    <w:nsid w:val="1BEFD79F"/>
    <w:multiLevelType w:val="hybridMultilevel"/>
    <w:lvl w:ilvl="0">
      <w:lvlJc w:val="left"/>
      <w:lvlText w:val="%1"/>
      <w:numFmt w:val="decimal"/>
      <w:start w:val="104"/>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2021-08-06T15:35:02Z</dcterms:created>
  <dcterms:modified xsi:type="dcterms:W3CDTF">2021-08-06T15:35:02Z</dcterms:modified>
</cp:coreProperties>
</file>