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144145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1420" w:hanging="541"/>
        <w:spacing w:after="0"/>
        <w:tabs>
          <w:tab w:leader="none" w:pos="1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1420" w:hanging="541"/>
        <w:spacing w:after="0"/>
        <w:tabs>
          <w:tab w:leader="none" w:pos="1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6" w:lineRule="exact"/>
        <w:rPr>
          <w:sz w:val="24"/>
          <w:szCs w:val="24"/>
          <w:color w:val="auto"/>
        </w:rPr>
      </w:pPr>
    </w:p>
    <w:p>
      <w:pPr>
        <w:ind w:left="426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214630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137795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89"/>
              </w:rPr>
              <w:t>11 Penn Plaza,</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5"/>
              </w:rPr>
              <w:t>New York, NY</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10001</w:t>
            </w:r>
          </w:p>
        </w:tc>
      </w:tr>
      <w:tr>
        <w:trPr>
          <w:trHeight w:val="218"/>
        </w:trPr>
        <w:tc>
          <w:tcPr>
            <w:tcW w:w="5360" w:type="dxa"/>
            <w:vAlign w:val="bottom"/>
            <w:gridSpan w:val="2"/>
          </w:tcPr>
          <w:p>
            <w:pPr>
              <w:jc w:val="center"/>
              <w:ind w:right="29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5360" w:type="dxa"/>
            <w:vAlign w:val="bottom"/>
            <w:gridSpan w:val="2"/>
          </w:tcPr>
          <w:p>
            <w:pPr>
              <w:jc w:val="right"/>
              <w:ind w:right="1108"/>
              <w:spacing w:after="0"/>
              <w:rPr>
                <w:sz w:val="20"/>
                <w:szCs w:val="20"/>
                <w:color w:val="auto"/>
              </w:rPr>
            </w:pPr>
            <w:r>
              <w:rPr>
                <w:rFonts w:ascii="Arial" w:cs="Arial" w:eastAsia="Arial" w:hAnsi="Arial"/>
                <w:sz w:val="18"/>
                <w:szCs w:val="18"/>
                <w:b w:val="1"/>
                <w:bCs w:val="1"/>
                <w:color w:val="auto"/>
              </w:rPr>
              <w:t>(212) 324-8500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1360" w:type="dxa"/>
            <w:vAlign w:val="bottom"/>
          </w:tcPr>
          <w:p>
            <w:pPr>
              <w:spacing w:after="0"/>
              <w:rPr>
                <w:sz w:val="18"/>
                <w:szCs w:val="18"/>
                <w:color w:val="auto"/>
              </w:rPr>
            </w:pPr>
          </w:p>
        </w:tc>
        <w:tc>
          <w:tcPr>
            <w:tcW w:w="4000" w:type="dxa"/>
            <w:vAlign w:val="bottom"/>
          </w:tcPr>
          <w:p>
            <w:pPr>
              <w:jc w:val="center"/>
              <w:ind w:left="4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8"/>
        </w:trPr>
        <w:tc>
          <w:tcPr>
            <w:tcW w:w="136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bl>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Exchange Act Rule 12b-2).</w:t>
      </w:r>
    </w:p>
    <w:p>
      <w:pPr>
        <w:sectPr>
          <w:pgSz w:w="11900" w:h="16838" w:orient="portrait"/>
          <w:cols w:equalWidth="0" w:num="1">
            <w:col w:w="11420"/>
          </w:cols>
          <w:pgMar w:left="240" w:top="517" w:right="239" w:bottom="1440" w:gutter="0" w:footer="0" w:header="0"/>
        </w:sectPr>
      </w:pPr>
    </w:p>
    <w:p>
      <w:pPr>
        <w:spacing w:after="0" w:line="1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440"/>
            <w:col w:w="5460" w:space="720"/>
            <w:col w:w="1780" w:space="720"/>
            <w:col w:w="6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480"/>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560" w:space="540"/>
            <w:col w:w="5460" w:space="720"/>
            <w:col w:w="1960" w:space="540"/>
            <w:col w:w="64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7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5" w:lineRule="exact"/>
        <w:rPr>
          <w:sz w:val="24"/>
          <w:szCs w:val="24"/>
          <w:color w:val="auto"/>
        </w:rPr>
      </w:pPr>
    </w:p>
    <w:p>
      <w:pPr>
        <w:sectPr>
          <w:pgSz w:w="11900" w:h="16838" w:orient="portrait"/>
          <w:cols w:equalWidth="0" w:num="3">
            <w:col w:w="8180" w:space="180"/>
            <w:col w:w="520" w:space="180"/>
            <w:col w:w="2360"/>
          </w:cols>
          <w:pgMar w:left="240" w:top="517"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common stock outstanding as of April 28, 2017:</w:t>
      </w:r>
    </w:p>
    <w:p>
      <w:pPr>
        <w:sectPr>
          <w:pgSz w:w="11900" w:h="16838" w:orient="portrait"/>
          <w:cols w:equalWidth="0" w:num="1">
            <w:col w:w="11420"/>
          </w:cols>
          <w:pgMar w:left="240" w:top="517" w:right="239" w:bottom="1440" w:gutter="0" w:footer="0" w:header="0"/>
          <w:type w:val="continuous"/>
        </w:sectPr>
      </w:pPr>
    </w:p>
    <w:p>
      <w:pPr>
        <w:spacing w:after="0" w:line="248"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2700"/>
        <w:spacing w:after="0"/>
        <w:rPr>
          <w:sz w:val="20"/>
          <w:szCs w:val="20"/>
          <w:color w:val="auto"/>
        </w:rPr>
      </w:pPr>
      <w:r>
        <w:rPr>
          <w:rFonts w:ascii="Arial" w:cs="Arial" w:eastAsia="Arial" w:hAnsi="Arial"/>
          <w:sz w:val="15"/>
          <w:szCs w:val="15"/>
          <w:color w:val="auto"/>
        </w:rPr>
        <w:t>55,109,130</w:t>
      </w:r>
    </w:p>
    <w:p>
      <w:pPr>
        <w:spacing w:after="0" w:line="97" w:lineRule="exact"/>
        <w:rPr>
          <w:sz w:val="24"/>
          <w:szCs w:val="24"/>
          <w:color w:val="auto"/>
        </w:rPr>
      </w:pPr>
    </w:p>
    <w:p>
      <w:pPr>
        <w:sectPr>
          <w:pgSz w:w="11900" w:h="16838" w:orient="portrait"/>
          <w:cols w:equalWidth="0" w:num="2">
            <w:col w:w="7200" w:space="720"/>
            <w:col w:w="3500"/>
          </w:cols>
          <w:pgMar w:left="240" w:top="517" w:right="23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Class B Common Stock par value $0.01 per share</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5"/>
          <w:szCs w:val="15"/>
          <w:color w:val="auto"/>
        </w:rPr>
        <w:t>11,484,408</w:t>
      </w:r>
    </w:p>
    <w:p>
      <w:pPr>
        <w:sectPr>
          <w:pgSz w:w="11900" w:h="16838" w:orient="portrait"/>
          <w:cols w:equalWidth="0" w:num="2">
            <w:col w:w="7200" w:space="720"/>
            <w:col w:w="3500"/>
          </w:cols>
          <w:pgMar w:left="240" w:top="517"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4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708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60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30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60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4.</w:t>
              </w:r>
            </w:hyperlink>
          </w:p>
        </w:tc>
        <w:tc>
          <w:tcPr>
            <w:tcW w:w="4360" w:type="dxa"/>
            <w:vAlign w:val="bottom"/>
            <w:gridSpan w:val="12"/>
          </w:tcPr>
          <w:p>
            <w:pPr>
              <w:ind w:left="20"/>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Item 1.</w:t>
              </w:r>
            </w:hyperlink>
          </w:p>
        </w:tc>
        <w:tc>
          <w:tcPr>
            <w:tcW w:w="19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8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Item 2.</w:t>
              </w:r>
            </w:hyperlink>
          </w:p>
        </w:tc>
        <w:tc>
          <w:tcPr>
            <w:tcW w:w="9800" w:type="dxa"/>
            <w:vAlign w:val="bottom"/>
            <w:gridSpan w:val="14"/>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Item 6.</w:t>
              </w:r>
            </w:hyperlink>
          </w:p>
        </w:tc>
        <w:tc>
          <w:tcPr>
            <w:tcW w:w="620" w:type="dxa"/>
            <w:vAlign w:val="bottom"/>
            <w:gridSpan w:val="2"/>
          </w:tcPr>
          <w:p>
            <w:pPr>
              <w:ind w:left="20"/>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Exhibits</w:t>
              </w:r>
            </w:hyperlink>
          </w:p>
        </w:tc>
        <w:tc>
          <w:tcPr>
            <w:tcW w:w="3740" w:type="dxa"/>
            <w:vAlign w:val="bottom"/>
            <w:gridSpan w:val="10"/>
          </w:tcPr>
          <w:p>
            <w:pPr>
              <w:spacing w:after="0"/>
              <w:rPr>
                <w:sz w:val="21"/>
                <w:szCs w:val="21"/>
                <w:color w:val="auto"/>
              </w:rPr>
            </w:pPr>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6"/>
              </w:rPr>
            </w:pPr>
            <w:hyperlink w:anchor="page41">
              <w:r>
                <w:rPr>
                  <w:rFonts w:ascii="Arial" w:cs="Arial" w:eastAsia="Arial" w:hAnsi="Arial"/>
                  <w:sz w:val="18"/>
                  <w:szCs w:val="18"/>
                  <w:b w:val="1"/>
                  <w:bCs w:val="1"/>
                  <w:color w:val="0000EE"/>
                  <w:w w:val="96"/>
                </w:rPr>
                <w:t>SIGNATURES</w:t>
              </w:r>
            </w:hyperlink>
          </w:p>
        </w:tc>
        <w:tc>
          <w:tcPr>
            <w:tcW w:w="942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2016</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481,389</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receivable, trade (less allowance for doubtful accounts of $6,388 and $6,064)</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716,904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700,655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Amounts due from related parties,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461,005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441,130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72,661</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1,653,987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1,696,343</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$287,422 and $272,148</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166,636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Program rights,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1,077,358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1,108,586</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carriage fees,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43,886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478,760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485,809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657,708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8,906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8,598</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313,029</w:t>
            </w:r>
          </w:p>
        </w:tc>
      </w:tr>
      <w:tr>
        <w:trPr>
          <w:trHeight w:val="284"/>
        </w:trPr>
        <w:tc>
          <w:tcPr>
            <w:tcW w:w="7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4,470,054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4,480,595</w:t>
            </w:r>
          </w:p>
        </w:tc>
      </w:tr>
      <w:tr>
        <w:trPr>
          <w:trHeight w:val="237"/>
        </w:trPr>
        <w:tc>
          <w:tcPr>
            <w:tcW w:w="76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6"/>
                <w:szCs w:val="16"/>
                <w:b w:val="1"/>
                <w:bCs w:val="1"/>
                <w:color w:val="auto"/>
              </w:rPr>
              <w:t>LIABILITIES AND STOCKHOLDERS’ EQUITY (DEFICIENCY)</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88,677</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300,200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284,429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300,845</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46,902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53,643</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222,000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4,449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4,584</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965,611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954,178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Program rights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397,995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398,175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2,525,544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2,597,263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34,161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35,282</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145,791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121,280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132,219</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4,195,740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4,262,908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214,998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219,331</w:t>
            </w: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 (deficiency):</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Class A Common Stock, $0.01 par value, 360,000 shares authorized, 62,696 and 62,409 shares issued and 55,751</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9"/>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and 57,079 shares outstanding,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146,928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142,798</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431,626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295,409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Treasury stock, at cost (6,945 and 5,330 shares Class A Common Stock, respectively)</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(366,653)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(275,230)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(181,191)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(193,798)</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AMC Networks stockholders’ equity (deficiency)</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(30,082)</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Non-redeemable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28,438</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stockholders’ equity (deficiency)</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59,316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(1,644)</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 (deficiency)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4,470,054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4,480,595</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 (including revenues, net from related parties of $1,567 and $6,706, respectively)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720,189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706,579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274,274</w:t>
            </w:r>
          </w:p>
        </w:tc>
      </w:tr>
      <w:tr>
        <w:trPr>
          <w:trHeight w:val="229"/>
        </w:trPr>
        <w:tc>
          <w:tcPr>
            <w:tcW w:w="8120" w:type="dxa"/>
            <w:vAlign w:val="bottom"/>
          </w:tcPr>
          <w:p>
            <w:pPr>
              <w:ind w:left="360"/>
              <w:spacing w:after="0"/>
              <w:rPr>
                <w:sz w:val="20"/>
                <w:szCs w:val="20"/>
                <w:color w:val="auto"/>
              </w:rPr>
            </w:pPr>
            <w:r>
              <w:rPr>
                <w:rFonts w:ascii="Arial" w:cs="Arial" w:eastAsia="Arial" w:hAnsi="Arial"/>
                <w:sz w:val="18"/>
                <w:szCs w:val="18"/>
                <w:color w:val="auto"/>
              </w:rPr>
              <w:t>Selling, general and administrative (including charges from related parties of $575 and $1,069,</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20" w:type="dxa"/>
            <w:vAlign w:val="bottom"/>
          </w:tcPr>
          <w:p>
            <w:pPr>
              <w:ind w:left="60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163,709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153,901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Restructuring expense (credit)</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488,518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447,772</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231,671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258,807</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(31,751)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(48,334)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(80,200)</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178,607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(58,543)</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(6,620)</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136,217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113,444</w:t>
            </w: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30"/>
        </w:trPr>
        <w:tc>
          <w:tcPr>
            <w:tcW w:w="8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Basic weighted average common shares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72,579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73,274</w:t>
            </w:r>
          </w:p>
        </w:tc>
      </w:tr>
      <w:tr>
        <w:trPr>
          <w:trHeight w:val="27"/>
        </w:trPr>
        <w:tc>
          <w:tcPr>
            <w:tcW w:w="8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15,385</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Unrealized gain (loss) on interest rate swaps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available for sale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13,807</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Other comprehensive income, net of income taxes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11,908</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124,940</w:t>
            </w: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142,631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120,064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income from operations to net 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23,493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19,632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8,165</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199,517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170,821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Unrealized foreign currency transaction (gain) loss</w:t>
            </w:r>
          </w:p>
        </w:tc>
        <w:tc>
          <w:tcPr>
            <w:tcW w:w="32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Unrealized (gain) loss on derivative contracts, net</w:t>
            </w:r>
          </w:p>
        </w:tc>
        <w:tc>
          <w:tcPr>
            <w:tcW w:w="32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20" w:type="dxa"/>
            <w:vAlign w:val="bottom"/>
          </w:tcPr>
          <w:p>
            <w:pPr>
              <w:spacing w:after="0"/>
              <w:rPr>
                <w:sz w:val="24"/>
                <w:szCs w:val="24"/>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2,282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24"/>
                <w:szCs w:val="24"/>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48,334</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gridSpan w:val="2"/>
            <w:vMerge w:val="continue"/>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12,139</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Excess tax benefits from share-based compensation arrangements</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receivable, trade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Amounts due from related parties, net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Program rights and obligations, net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(211,280)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(192,194)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37,398</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3,952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carriage fees,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(33,651)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(68,886)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167,384</w:t>
            </w:r>
          </w:p>
        </w:tc>
        <w:tc>
          <w:tcPr>
            <w:tcW w:w="0" w:type="dxa"/>
            <w:vAlign w:val="bottom"/>
          </w:tcPr>
          <w:p>
            <w:pPr>
              <w:spacing w:after="0"/>
              <w:rPr>
                <w:sz w:val="1"/>
                <w:szCs w:val="1"/>
                <w:color w:val="auto"/>
              </w:rPr>
            </w:pP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Investment in and loans to investees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982,500</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Principal payments on long-term debt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(691,449)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Premium and fees paid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(39,179)</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Deemed repurchases of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(10,413)</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Purchase of treasury stock</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(91,423)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 exercises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Excess tax benefits from share-based compensation arrangements</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(8,968)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231,387</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from operations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(76,168)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386,384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481,389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316,321</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702,800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60" w:top="369" w:right="239" w:bottom="773"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369" w:right="239" w:bottom="773"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1300" w:hanging="644"/>
        <w:spacing w:after="0" w:line="297" w:lineRule="auto"/>
        <w:tabs>
          <w:tab w:leader="none" w:pos="13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programming businesses, which include our five programming networks, distributed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and Canada. These programming networks include AMC, WE tv, BBC AMERICA, IFC, and SundanceTV in the U.S.; and AMC, IFC, and Sundance Channel in Canada. Our AMC Studios operations within the National Networks segment sells rights worldwide to its owned original programming. The National Networks operating segment also includes AMC Networks Broadcasting &amp; Technology, the technical services business, which primarily services most of the programming networks included in the National Networks segment.</w:t>
      </w:r>
    </w:p>
    <w:p>
      <w:pPr>
        <w:spacing w:after="0" w:line="158" w:lineRule="exact"/>
        <w:rPr>
          <w:rFonts w:ascii="Arial" w:cs="Arial" w:eastAsia="Arial" w:hAnsi="Arial"/>
          <w:sz w:val="16"/>
          <w:szCs w:val="16"/>
          <w:i w:val="1"/>
          <w:iCs w:val="1"/>
          <w:color w:val="auto"/>
        </w:rPr>
      </w:pPr>
    </w:p>
    <w:p>
      <w:pPr>
        <w:jc w:val="both"/>
        <w:ind w:left="1300" w:hanging="644"/>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and Other: </w:t>
      </w:r>
      <w:r>
        <w:rPr>
          <w:rFonts w:ascii="Arial" w:cs="Arial" w:eastAsia="Arial" w:hAnsi="Arial"/>
          <w:sz w:val="18"/>
          <w:szCs w:val="18"/>
          <w:color w:val="auto"/>
        </w:rPr>
        <w:t>Principally includes AMC Networks International (“AMCNI”), the Company’s international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consisting of a portfolio of channels in Europe, Latin America, the Middle East and parts of Asia and Africa; IFC Films, the Company’s independent film distribution business; AMCNI- DMC, the broadcast solutions unit of certain networks of AMCNI and third-party networks; and various developing on-line content distribution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unaudited condensed consolidated financial statements include the accounts of AMC Networks and its majority owned or controlled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2016 contained in the Company’s Annual Report on Form 10-K (“2016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Accounting Standards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The Company adopted Accounting Standards Update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became effective for the Company as of January 1, 2017. ASU 2016-09 amends Accounting Standards Codification ("ASC") Topic 718, Compensation - Stock Compensation and simplifies several aspects of the accounting for share-based payment transactions, including the income tax consequences, classification of awards as either equity or liabilities, and classification in the statement of cash flows. Under the new standard, all excess tax benefits and tax deficiencies are recorded as a component of the provision for income taxes in the reporting period in which they occur. Additionally, ASU 2016-09 requires that the Company present excess tax benefits in the statement of cash flows as an operating activity. The Company elected to apply this adoption prospectively, accordingly prior periods have not been adjusted. The adoption of this standard did not have a material impact on the Company's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no future programming usefulness, a write-off of the unamortized cost is recorded in technical and operating expense.</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valuation of acquisition-related assets and liabilities, derivative assets and liabilities, certain stock compensation awards, the useful lives and methodologies used to amortize and assess recoverability of program rights, the estimated useful lives of intangible assets, valuation and recoverability of goodwill and intangible assets and income tax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January 2017, the Financial Accounting Standards Board (“FASB”) issued ASU No. 2017-04 </w:t>
      </w:r>
      <w:r>
        <w:rPr>
          <w:rFonts w:ascii="Arial" w:cs="Arial" w:eastAsia="Arial" w:hAnsi="Arial"/>
          <w:sz w:val="18"/>
          <w:szCs w:val="18"/>
          <w:i w:val="1"/>
          <w:iCs w:val="1"/>
          <w:color w:val="auto"/>
        </w:rPr>
        <w:t>Intangibles- Goodwill and Other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Simplifying the Test for Goodwill Impairment. </w:t>
      </w:r>
      <w:r>
        <w:rPr>
          <w:rFonts w:ascii="Arial" w:cs="Arial" w:eastAsia="Arial" w:hAnsi="Arial"/>
          <w:sz w:val="18"/>
          <w:szCs w:val="18"/>
          <w:color w:val="auto"/>
        </w:rPr>
        <w:t>ASU 2017-04 removes Step 2 of the current goodwill impairment test under ASC Topic 350 and replaces it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simplified model. Under the simplified model, a goodwill impairment will be calculated as the difference between the carrying amount of a reporting unit and its fair value, but not to exceed the carrying amount of goodwill. The amount of any impairment under the simplified model may differ from what would have been recognized under the two-step test. The ASU is effective for the Company in the first quarter of 2020, with early adoption permitted for any impairment tests performed after a testing date of January 1, 2017. The adoption of ASU 2017-04 is not expected to have a material impact on the Company's consolidated financial statements.</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ASU 2016-16 simplifies the accounting for the income tax consequences of intra-entity transfers of assets other than inventory and includes requirements to recognize the income tax consequences of an intra-entity transfer of an asset other than inventory when the transfer occurs, therefore eliminating the exception for an intra-entity transfer of an asset other than inventory. ASU 2016-16 is effective for reporting periods beginning after December 15, 2017, with early adoption permitted. Any adjustments as a result of adoption are to be applied on a modified retrospective basis through a cumulative-effect adjustment directly to retained earnings as of the beginning of the period of adoption. The adoption of ASU 2016-16 is not expected to have a material impact on the Company’s consolidated financial statements.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guidance clarifies the way in which certain cash receipts and cash payments should be classified on the statement of cash flows and also how the predominance principle should be applied when cash receipts and cash payments have aspects of more than one class of cash flows. ASU 2016-15 is effective for the first quarter of 2018 with early adoption permitted. The adoption of ASU 2016-15 is not expected to have a material impact on the Company's consolidated financial statements.</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for the first quarter of 2019, with early adoption permitted. The Company is currently determining its implementation approach and assessing the impact the adoption will have on its consolidated financial statements.</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provides new guidance related to how an entity should recognize revenue to depict the transfer of promised goods or services to customers in an amount that reflects the consideration to which the entity expects to be entitled in exchange for those goods or services. The standard also expands the required disclosures to include the disaggregation of revenue from contracts with customers into categories that depict how the nature, timing and uncertainty of revenue and cash flows are affected by economic factors. During 2016, the FASB issued additional interpretive guidance relating to the standard which covered the topics of principal versus agent considerations and identifying performance obligations and licensing. The standard is effective for the Company in the first quarter of 2018. The two permitted transition methods under the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w:t>
      </w:r>
    </w:p>
    <w:p>
      <w:pPr>
        <w:spacing w:after="0" w:line="18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established an implementation team and performed an analysis of each of our revenue streams to assess the impact of the standard on our various revenue contracts, and analyze our current accounting policies and practices to identify</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potential differences that would result from the implementation of the standard. To date, the Company has made significant progress toward completing its evaluation of the potential changes from adopting the standard on its financial reporting and disclosures. The Company has completed an initial assessment of each of its revenue streams and has begun drafting its revenue recognition policy under the new standard. However, there are a few areas that remain subject to further clarification with respect to the implementation of the new standard on certain of our revenue streams. The Company has been closely monitoring FASB activity related to the new standard, as well as working with various non-authoritative groups to conclude on industry specific interpretative issues.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While significant progress has been made, our final evaluation of the impact of the new revenue standard is ongoing and will continue throughout 2017, including making a final determination about our implementation approach.</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between basic and diluted weighted average shares outstanding:</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 average common shares outstanding</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 average common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37465</wp:posOffset>
            </wp:positionV>
            <wp:extent cx="2101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86" w:lineRule="exact"/>
        <w:rPr>
          <w:sz w:val="20"/>
          <w:szCs w:val="20"/>
          <w:color w:val="auto"/>
        </w:rPr>
      </w:pPr>
    </w:p>
    <w:p>
      <w:pPr>
        <w:jc w:val="both"/>
        <w:ind w:left="440"/>
        <w:spacing w:after="0"/>
        <w:tabs>
          <w:tab w:leader="none" w:pos="2140" w:val="left"/>
        </w:tabs>
        <w:rPr>
          <w:sz w:val="20"/>
          <w:szCs w:val="20"/>
          <w:color w:val="auto"/>
        </w:rPr>
      </w:pPr>
      <w:r>
        <w:rPr>
          <w:rFonts w:ascii="Arial" w:cs="Arial" w:eastAsia="Arial" w:hAnsi="Arial"/>
          <w:sz w:val="18"/>
          <w:szCs w:val="18"/>
          <w:color w:val="auto"/>
        </w:rPr>
        <w:t>68,020</w:t>
      </w:r>
      <w:r>
        <w:rPr>
          <w:sz w:val="20"/>
          <w:szCs w:val="20"/>
          <w:color w:val="auto"/>
        </w:rPr>
        <w:tab/>
      </w:r>
      <w:r>
        <w:rPr>
          <w:rFonts w:ascii="Arial" w:cs="Arial" w:eastAsia="Arial" w:hAnsi="Arial"/>
          <w:sz w:val="18"/>
          <w:szCs w:val="18"/>
          <w:color w:val="auto"/>
        </w:rPr>
        <w:t>72,579</w:t>
      </w:r>
    </w:p>
    <w:p>
      <w:pPr>
        <w:spacing w:after="0" w:line="333" w:lineRule="exact"/>
        <w:rPr>
          <w:sz w:val="20"/>
          <w:szCs w:val="20"/>
          <w:color w:val="auto"/>
        </w:rPr>
      </w:pPr>
    </w:p>
    <w:p>
      <w:pPr>
        <w:jc w:val="both"/>
        <w:ind w:left="760"/>
        <w:spacing w:after="0"/>
        <w:tabs>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w:t>
      </w:r>
    </w:p>
    <w:p>
      <w:pPr>
        <w:spacing w:after="0" w:line="63" w:lineRule="exact"/>
        <w:rPr>
          <w:sz w:val="20"/>
          <w:szCs w:val="20"/>
          <w:color w:val="auto"/>
        </w:rPr>
      </w:pPr>
    </w:p>
    <w:p>
      <w:pPr>
        <w:jc w:val="both"/>
        <w:ind w:left="660"/>
        <w:spacing w:after="0"/>
        <w:tabs>
          <w:tab w:leader="none" w:pos="2360" w:val="left"/>
        </w:tabs>
        <w:rPr>
          <w:sz w:val="20"/>
          <w:szCs w:val="20"/>
          <w:color w:val="auto"/>
        </w:rPr>
      </w:pPr>
      <w:r>
        <w:rPr>
          <w:rFonts w:ascii="Arial" w:cs="Arial" w:eastAsia="Arial" w:hAnsi="Arial"/>
          <w:sz w:val="18"/>
          <w:szCs w:val="18"/>
          <w:color w:val="auto"/>
        </w:rPr>
        <w:t>744</w:t>
      </w:r>
      <w:r>
        <w:rPr>
          <w:sz w:val="20"/>
          <w:szCs w:val="20"/>
          <w:color w:val="auto"/>
        </w:rPr>
        <w:tab/>
      </w:r>
      <w:r>
        <w:rPr>
          <w:rFonts w:ascii="Arial" w:cs="Arial" w:eastAsia="Arial" w:hAnsi="Arial"/>
          <w:sz w:val="18"/>
          <w:szCs w:val="18"/>
          <w:color w:val="auto"/>
        </w:rPr>
        <w:t>644</w:t>
      </w:r>
    </w:p>
    <w:p>
      <w:pPr>
        <w:spacing w:after="0" w:line="77" w:lineRule="exact"/>
        <w:rPr>
          <w:sz w:val="20"/>
          <w:szCs w:val="20"/>
          <w:color w:val="auto"/>
        </w:rPr>
      </w:pPr>
    </w:p>
    <w:p>
      <w:pPr>
        <w:jc w:val="both"/>
        <w:ind w:left="440"/>
        <w:spacing w:after="0"/>
        <w:tabs>
          <w:tab w:leader="none" w:pos="2140" w:val="left"/>
        </w:tabs>
        <w:rPr>
          <w:sz w:val="20"/>
          <w:szCs w:val="20"/>
          <w:color w:val="auto"/>
        </w:rPr>
      </w:pPr>
      <w:r>
        <w:rPr>
          <w:rFonts w:ascii="Arial" w:cs="Arial" w:eastAsia="Arial" w:hAnsi="Arial"/>
          <w:sz w:val="18"/>
          <w:szCs w:val="18"/>
          <w:color w:val="auto"/>
        </w:rPr>
        <w:t>68,764</w:t>
      </w:r>
      <w:r>
        <w:rPr>
          <w:sz w:val="20"/>
          <w:szCs w:val="20"/>
          <w:color w:val="auto"/>
        </w:rPr>
        <w:tab/>
      </w:r>
      <w:r>
        <w:rPr>
          <w:rFonts w:ascii="Arial" w:cs="Arial" w:eastAsia="Arial" w:hAnsi="Arial"/>
          <w:sz w:val="18"/>
          <w:szCs w:val="18"/>
          <w:color w:val="auto"/>
        </w:rPr>
        <w:t>73,274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48895</wp:posOffset>
            </wp:positionV>
            <wp:extent cx="2101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760"/>
          </w:cols>
          <w:pgMar w:left="240" w:top="125" w:right="239" w:bottom="1440" w:gutter="0" w:footer="0" w:header="0"/>
          <w:type w:val="continuous"/>
        </w:sectPr>
      </w:pPr>
    </w:p>
    <w:p>
      <w:pPr>
        <w:spacing w:after="0" w:line="9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For the three months ended March 31, 2017, there were 388,000 stock options and 404,000 restricted stock units that would have been anti-dilutive to the diluted weighted average common shares outstanding. For the three months ended March 31, 2016, there were no stock options or restricted stock units that would have been anti-dilutive to the diluted weighted average common shares outstanding. Approximately 175,000 and 137,000 restricted stock units for the three months ended March 31, 2017 and March 31, 2016, respectively, have been excluded from diluted weighted average common shares outstanding since a performance condition on these awards was not met in each of the respective periods. The Company did not include performance restricted stock units in the calculation of diluted EPS, since the performance conditions for these awards were not met.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March 4, 2016. the Company’s Board of Directors authorized a program to repurchase up to $500 million of its outstanding shares of common stock (the “Stock Repurchase Program”). The Stock Repurchase Program has no pre-established closing date and may be suspended or discontinued at any time. For the three months ended March 31, 2017, the Company repurchased 1,615,386 shares of its Class A common stock at an average purchase price of approximately $56.60 per share. As of March 31, 2017, the Company has $185.3 million available for repurchase under the Stock Repurchase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incurred restructuring expense primarily related to severance charges associated with the elimination of certain positions across the Company.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expense (credit) recognized by operating segment:</w:t>
      </w:r>
    </w:p>
    <w:p>
      <w:pPr>
        <w:spacing w:after="0" w:line="388"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International &amp; Other</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expense (credit)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 in the International and Other segment includes corporate headquarter related charges.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costs: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Severance and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employee-related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1"/>
              </w:rPr>
              <w:t>costs</w:t>
            </w:r>
          </w:p>
        </w:tc>
        <w:tc>
          <w:tcPr>
            <w:tcW w:w="2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exit costs</w:t>
            </w:r>
          </w:p>
        </w:tc>
        <w:tc>
          <w:tcPr>
            <w:tcW w:w="38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Charges (credits)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2,704</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2,573</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liabilities for restructuring costs are included in accrued liabilities in the condensed consolidated balance sheet at March 31,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Total</w:t>
            </w:r>
          </w:p>
        </w:tc>
      </w:tr>
      <w:tr>
        <w:trPr>
          <w:trHeight w:val="250"/>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657,708</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5,004</w:t>
            </w:r>
          </w:p>
        </w:tc>
      </w:tr>
      <w:tr>
        <w:trPr>
          <w:trHeight w:val="257"/>
        </w:trPr>
        <w:tc>
          <w:tcPr>
            <w:tcW w:w="568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241,667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420,409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662,076</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reduction of $0.6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2017</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6"/>
                <w:szCs w:val="16"/>
                <w:b w:val="1"/>
                <w:bCs w:val="1"/>
                <w:color w:val="auto"/>
              </w:rPr>
              <w:t>Lives</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511,970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(141,613)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370,357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36,032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43,322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to 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years</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618,712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(159,852)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458,860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638,612</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(159,852)</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478,760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2016</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509,992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(133,932)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376,060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49,720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43,413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615,996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465,768</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20,041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636,037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485,809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Aggregate amortization expense for amortizable intangible assets for the three months ended March 31, 2017 and 2016 was $9.1 million and $9.9 million, respectively. Estimated aggregate amortization expense for intangible assets subject to amortization for each of the following five years is: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35,617</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35,629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35,301</w:t>
            </w:r>
          </w:p>
        </w:tc>
        <w:tc>
          <w:tcPr>
            <w:tcW w:w="20" w:type="dxa"/>
            <w:vAlign w:val="bottom"/>
          </w:tcPr>
          <w:p>
            <w:pPr>
              <w:spacing w:after="0"/>
              <w:rPr>
                <w:sz w:val="21"/>
                <w:szCs w:val="21"/>
                <w:color w:val="auto"/>
              </w:rPr>
            </w:pPr>
          </w:p>
        </w:tc>
      </w:tr>
      <w:tr>
        <w:trPr>
          <w:trHeight w:val="405"/>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Note 5. Accrued Liabilities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Accrued liabilities consist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2017</w:t>
            </w:r>
          </w:p>
        </w:tc>
        <w:tc>
          <w:tcPr>
            <w:tcW w:w="20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2016</w:t>
            </w:r>
          </w:p>
        </w:tc>
      </w:tr>
      <w:tr>
        <w:trPr>
          <w:trHeight w:val="250"/>
        </w:trPr>
        <w:tc>
          <w:tcPr>
            <w:tcW w:w="20" w:type="dxa"/>
            <w:vAlign w:val="bottom"/>
          </w:tcPr>
          <w:p>
            <w:pPr>
              <w:spacing w:after="0"/>
              <w:rPr>
                <w:sz w:val="21"/>
                <w:szCs w:val="21"/>
                <w:color w:val="auto"/>
              </w:rPr>
            </w:pPr>
          </w:p>
        </w:tc>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Employee related costs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75,913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122,590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88,525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102,986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284,429</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2017</w:t>
            </w:r>
          </w:p>
        </w:tc>
        <w:tc>
          <w:tcPr>
            <w:tcW w:w="220" w:type="dxa"/>
            <w:vAlign w:val="bottom"/>
          </w:tcPr>
          <w:p>
            <w:pPr>
              <w:spacing w:after="0"/>
              <w:rPr>
                <w:sz w:val="20"/>
                <w:szCs w:val="20"/>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2016</w:t>
            </w:r>
          </w:p>
        </w:tc>
      </w:tr>
      <w:tr>
        <w:trPr>
          <w:trHeight w:val="270"/>
        </w:trPr>
        <w:tc>
          <w:tcPr>
            <w:tcW w:w="7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28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Term Loan A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1,202,500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1,258,000</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5.00% Notes due April 2024</w:t>
            </w:r>
          </w:p>
        </w:tc>
        <w:tc>
          <w:tcPr>
            <w:tcW w:w="2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1,000,000</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 Notes due December 2022</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600,000</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2,802,500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2,858,000</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discount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Unamortized deferred financing costs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(15,062)</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2,766,044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2,819,263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240,500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222,000</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2,525,544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2,597,263</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March 31, 2017. Total undrawn revolver commitments are available to be drawn for general corporate purposes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33" w:lineRule="exact"/>
        <w:rPr>
          <w:sz w:val="20"/>
          <w:szCs w:val="20"/>
          <w:color w:val="auto"/>
        </w:rPr>
      </w:pPr>
    </w:p>
    <w:p>
      <w:pPr>
        <w:ind w:left="1060" w:hanging="647"/>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1060" w:hanging="647"/>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1060" w:hanging="647"/>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March 31, 2017 and December 31,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40" w:type="dxa"/>
            <w:vAlign w:val="bottom"/>
            <w:tcBorders>
              <w:top w:val="single" w:sz="8" w:color="CCEEFF"/>
              <w:bottom w:val="single" w:sz="8" w:color="CCEEFF"/>
            </w:tcBorders>
            <w:shd w:val="clear" w:color="auto" w:fill="CCEEFF"/>
          </w:tcPr>
          <w:p>
            <w:pPr>
              <w:ind w:left="1860"/>
              <w:spacing w:after="0"/>
              <w:rPr>
                <w:sz w:val="20"/>
                <w:szCs w:val="20"/>
                <w:color w:val="auto"/>
              </w:rPr>
            </w:pPr>
            <w:r>
              <w:rPr>
                <w:rFonts w:ascii="Arial" w:cs="Arial" w:eastAsia="Arial" w:hAnsi="Arial"/>
                <w:sz w:val="16"/>
                <w:szCs w:val="16"/>
                <w:b w:val="1"/>
                <w:bCs w:val="1"/>
                <w:color w:val="auto"/>
              </w:rPr>
              <w:t>At March 31, 2017: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28,022</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9,785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5,370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contracts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2,571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b w:val="1"/>
                <w:bCs w:val="1"/>
                <w:color w:val="auto"/>
              </w:rPr>
              <w:t>At December 31, 2016: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65,384</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1,471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6,096</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12,308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3,147</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cash equivalents and available for sale securities are classified within Level I of the fair value hierarchy because they are valued using quoted market prices.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interest rate swap contracts, foreign currency derivatives and the embedded derivative for the portion of interest on the RLJE Term Loans to be paid in shares of RLJ Entertainment, Inc. (“RLJE”) common stock (see Note 8) are classified within Level II of the fair value hierarchy and their fair values are determined based on a market approach valuation technique that uses readily observable market parameters and the consideration of counterparty risk.</w:t>
      </w:r>
    </w:p>
    <w:p>
      <w:pPr>
        <w:spacing w:after="0" w:line="18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October 14, 2016 (the “Closing Date”), Digital Entertainment Holdings LLC (“DEH”), a wholly-owned subsidiary of the Company, and RLJE entered into a Credit and Guaranty agreement (the “RLJE Credit Agreement”), pursuant to which DEH provided term loans to RLJE (the “RLJE Term Loans”). In connection with the RLJE credit agreement, DEH received warrants to purchase at least 20 million shares of RLJE’s common stock, at a price of $3.00 per share (the “RLJE Warrants”). The RLJE Warrants held by the Company are classified within Level III of the fair value hierarchy and the Company determines the value of the RLJE Warrants using a Black Scholes option pricing model. Inputs to the model are stock price volatility, contractual warrant terms (remaining life of the warrants), exercise price, risk-free interest rate, and the RLJE stock price. The equity volatility used is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 For the three months ended March 31, 2017, the Company recorded a gain of $8.9 million related to the RLJE Warrants which is included in Miscellaneous, net in the condensed consolidated statement of income.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March 31, 2017, the Company does not have any other assets or liabilities measured at fair value on a recurring basis that would be considered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March 31, 2017</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1,191,165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1,202,500</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982,456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1,003,750</w:t>
            </w:r>
          </w:p>
        </w:tc>
        <w:tc>
          <w:tcPr>
            <w:tcW w:w="20" w:type="dxa"/>
            <w:vAlign w:val="bottom"/>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592,423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603,750</w:t>
            </w:r>
          </w:p>
        </w:tc>
        <w:tc>
          <w:tcPr>
            <w:tcW w:w="20" w:type="dxa"/>
            <w:vAlign w:val="bottom"/>
          </w:tcPr>
          <w:p>
            <w:pPr>
              <w:spacing w:after="0"/>
              <w:rPr>
                <w:sz w:val="21"/>
                <w:szCs w:val="2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8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2,766,044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2,810,000</w:t>
            </w:r>
          </w:p>
        </w:tc>
        <w:tc>
          <w:tcPr>
            <w:tcW w:w="20" w:type="dxa"/>
            <w:vAlign w:val="bottom"/>
          </w:tcPr>
          <w:p>
            <w:pPr>
              <w:spacing w:after="0"/>
              <w:rPr>
                <w:sz w:val="22"/>
                <w:szCs w:val="22"/>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8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3"/>
              <w:spacing w:after="0"/>
              <w:rPr>
                <w:sz w:val="20"/>
                <w:szCs w:val="20"/>
                <w:color w:val="auto"/>
              </w:rPr>
            </w:pPr>
            <w:r>
              <w:rPr>
                <w:rFonts w:ascii="Arial" w:cs="Arial" w:eastAsia="Arial" w:hAnsi="Arial"/>
                <w:sz w:val="16"/>
                <w:szCs w:val="16"/>
                <w:b w:val="1"/>
                <w:bCs w:val="1"/>
                <w:color w:val="auto"/>
              </w:rPr>
              <w:t>December 31, 2016</w:t>
            </w:r>
          </w:p>
        </w:tc>
        <w:tc>
          <w:tcPr>
            <w:tcW w:w="20" w:type="dxa"/>
            <w:vAlign w:val="bottom"/>
          </w:tcPr>
          <w:p>
            <w:pPr>
              <w:spacing w:after="0"/>
              <w:rPr>
                <w:sz w:val="24"/>
                <w:szCs w:val="24"/>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1,245,175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1,254,855</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981,949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1,002,500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592,139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606,000</w:t>
            </w:r>
          </w:p>
        </w:tc>
        <w:tc>
          <w:tcPr>
            <w:tcW w:w="20" w:type="dxa"/>
            <w:vAlign w:val="bottom"/>
          </w:tcPr>
          <w:p>
            <w:pPr>
              <w:spacing w:after="0"/>
              <w:rPr>
                <w:sz w:val="21"/>
                <w:szCs w:val="2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8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2,819,263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2,863,355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2017, the Company had interest rate swap contracts outstanding with notional amounts aggregating $300.0 million, which consist of interest rate swap contracts with notional amounts of $200.0 million that are designated as cash flow hedges and interest rate swap contracts with notional amounts of $100.0 million that are not designated as hedging instruments. The Company’s outstanding interest rate swap contracts have varying maturities ranging from July 2017 to October 2018. At March 31, 2017, the Company’s interest rate swap contracts designated as cash flow hedges were highly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RLJE Warrants held by the Company meet the definition of a derivative and are included in Other assets in the condensed consolidated balance sheet. In addition, the portion of interest on the RLJE Term Loans to be paid in shares of RLJE common stock is an embedded derivative. Both the RLJE Warrants and the embedded derivative for the portion of future interest to be paid in shares of RLJE common stock are remeasured at the end of each period with changes in fair value recorded in the condensed consolidated statement of income. For the three months ended March 31, 2017, the Company recorded a gain of $11.1 million related to these derivatives, which is included in Miscellaneous, net in the condensed consolidated statement of income.</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360" w:type="dxa"/>
            <w:vAlign w:val="bottom"/>
            <w:gridSpan w:val="2"/>
          </w:tcPr>
          <w:p>
            <w:pPr>
              <w:ind w:left="1620"/>
              <w:spacing w:after="0"/>
              <w:rPr>
                <w:sz w:val="20"/>
                <w:szCs w:val="20"/>
                <w:color w:val="auto"/>
              </w:rPr>
            </w:pPr>
            <w:r>
              <w:rPr>
                <w:rFonts w:ascii="Arial" w:cs="Arial" w:eastAsia="Arial" w:hAnsi="Arial"/>
                <w:sz w:val="16"/>
                <w:szCs w:val="16"/>
                <w:b w:val="1"/>
                <w:bCs w:val="1"/>
                <w:color w:val="auto"/>
              </w:rPr>
              <w:t>Balance Sheet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gridSpan w:val="2"/>
          </w:tcPr>
          <w:p>
            <w:pPr>
              <w:ind w:left="182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2016</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Derivatives designated as hedging instruments:</w:t>
            </w:r>
          </w:p>
        </w:tc>
        <w:tc>
          <w:tcPr>
            <w:tcW w:w="4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23,425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12,308</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2,195</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Location of Gain or (Loss) in</w:t>
            </w: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20" w:type="dxa"/>
            <w:vAlign w:val="bottom"/>
          </w:tcPr>
          <w:p>
            <w:pPr>
              <w:spacing w:after="0"/>
              <w:rPr>
                <w:sz w:val="18"/>
                <w:szCs w:val="18"/>
                <w:color w:val="auto"/>
              </w:rPr>
            </w:pPr>
          </w:p>
        </w:tc>
        <w:tc>
          <w:tcPr>
            <w:tcW w:w="220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940" w:type="dxa"/>
            <w:vAlign w:val="bottom"/>
          </w:tcPr>
          <w:p>
            <w:pPr>
              <w:spacing w:after="0"/>
              <w:rPr>
                <w:sz w:val="18"/>
                <w:szCs w:val="18"/>
                <w:color w:val="auto"/>
              </w:rPr>
            </w:pPr>
          </w:p>
        </w:tc>
        <w:tc>
          <w:tcPr>
            <w:tcW w:w="212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w w:val="95"/>
              </w:rPr>
              <w:t>into Earnings (a)</w:t>
            </w:r>
          </w:p>
        </w:tc>
      </w:tr>
      <w:tr>
        <w:trPr>
          <w:trHeight w:val="33"/>
        </w:trPr>
        <w:tc>
          <w:tcPr>
            <w:tcW w:w="3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1"/>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9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r>
      <w:tr>
        <w:trPr>
          <w:trHeight w:val="231"/>
        </w:trPr>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2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1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2016</w:t>
            </w:r>
          </w:p>
        </w:tc>
      </w:tr>
      <w:tr>
        <w:trPr>
          <w:trHeight w:val="33"/>
        </w:trPr>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-8255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20" w:space="360"/>
            <w:col w:w="8540"/>
          </w:cols>
          <w:pgMar w:left="240" w:top="125" w:right="239" w:bottom="1440" w:gutter="0" w:footer="0" w:header="0"/>
          <w:type w:val="continuous"/>
        </w:sectPr>
      </w:pPr>
    </w:p>
    <w:p>
      <w:pPr>
        <w:ind w:left="40"/>
        <w:spacing w:after="0"/>
        <w:tabs>
          <w:tab w:leader="none" w:pos="2880" w:val="left"/>
          <w:tab w:leader="none" w:pos="3980" w:val="left"/>
          <w:tab w:leader="none" w:pos="4520" w:val="left"/>
          <w:tab w:leader="none" w:pos="5400" w:val="left"/>
          <w:tab w:leader="none" w:pos="6580" w:val="left"/>
          <w:tab w:leader="none" w:pos="8380" w:val="left"/>
          <w:tab w:leader="none" w:pos="9620" w:val="left"/>
          <w:tab w:leader="none" w:pos="9960" w:val="left"/>
          <w:tab w:leader="none" w:pos="1096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(1,741)</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wp:posOffset>
            </wp:positionV>
            <wp:extent cx="19380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8020" cy="2603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31750</wp:posOffset>
            </wp:positionV>
            <wp:extent cx="198120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three months ended March 31, 2017 and 2016.</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 (Loss)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720" w:type="dxa"/>
            <w:vAlign w:val="bottom"/>
          </w:tcPr>
          <w:p>
            <w:pPr>
              <w:spacing w:after="0"/>
              <w:rPr>
                <w:sz w:val="17"/>
                <w:szCs w:val="17"/>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Recognized in Earnings</w:t>
            </w:r>
          </w:p>
        </w:tc>
        <w:tc>
          <w:tcPr>
            <w:tcW w:w="120" w:type="dxa"/>
            <w:vAlign w:val="bottom"/>
          </w:tcPr>
          <w:p>
            <w:pPr>
              <w:spacing w:after="0"/>
              <w:rPr>
                <w:sz w:val="17"/>
                <w:szCs w:val="17"/>
                <w:color w:val="auto"/>
              </w:rPr>
            </w:pPr>
          </w:p>
        </w:tc>
        <w:tc>
          <w:tcPr>
            <w:tcW w:w="294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1"/>
              </w:rPr>
              <w:t>Amount of Gain or (Loss) Recognized in</w:t>
            </w:r>
          </w:p>
        </w:tc>
      </w:tr>
      <w:tr>
        <w:trPr>
          <w:trHeight w:val="210"/>
        </w:trPr>
        <w:tc>
          <w:tcPr>
            <w:tcW w:w="5720" w:type="dxa"/>
            <w:vAlign w:val="bottom"/>
          </w:tcPr>
          <w:p>
            <w:pPr>
              <w:spacing w:after="0"/>
              <w:rPr>
                <w:sz w:val="18"/>
                <w:szCs w:val="18"/>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on Derivatives</w:t>
            </w:r>
          </w:p>
        </w:tc>
        <w:tc>
          <w:tcPr>
            <w:tcW w:w="120" w:type="dxa"/>
            <w:vAlign w:val="bottom"/>
          </w:tcPr>
          <w:p>
            <w:pPr>
              <w:spacing w:after="0"/>
              <w:rPr>
                <w:sz w:val="18"/>
                <w:szCs w:val="18"/>
                <w:color w:val="auto"/>
              </w:rPr>
            </w:pPr>
          </w:p>
        </w:tc>
        <w:tc>
          <w:tcPr>
            <w:tcW w:w="294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2"/>
              </w:rPr>
              <w:t>Earnings on Derivatives</w:t>
            </w:r>
          </w:p>
        </w:tc>
      </w:tr>
      <w:tr>
        <w:trPr>
          <w:trHeight w:val="33"/>
        </w:trPr>
        <w:tc>
          <w:tcPr>
            <w:tcW w:w="57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relationships:</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months ended March 31, 2017, income tax expense was $73.1 million, representing an effective tax rate of 34%. The effective tax rate differs from the federal statutory rate of 35% due primarily to the tax benefit from domestic production activities deduction of $5.9 million, tax benefit from foreign subsidiary earnings indefinitely reinvested outside the U.S. of $4.1</w:t>
      </w:r>
    </w:p>
    <w:p>
      <w:pPr>
        <w:sectPr>
          <w:pgSz w:w="11900" w:h="16838" w:orient="portrait"/>
          <w:cols w:equalWidth="0" w:num="1">
            <w:col w:w="11420"/>
          </w:cols>
          <w:pgMar w:left="240" w:top="125" w:right="239"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million, state income tax expense of $3.4 million and tax expense of $2.3 million for an increase in valuation allowances for foreign taxes.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2016, income tax expense was $58.5 million, representing an effective tax rate of 33%. The effective tax rate differs from the federal statutory rate of 35% due primarily to the tax benefit from domestic production activities deduction of $5.3 million, tax benefit from foreign subsidiary earnings indefinitely reinvested outside the U.S. of $3.5 million, state income tax expense of $3.2 million and tax expense of $2.0 million for an increase in valuation allowances for foreign taxes.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March 31, 2017, the Company had foreign tax credit carry forwards of approximately $37 million, expiring on various dates from 2017 through 2027. For the three months ended March 31, 2017, $0.4 million relating to amortization of tax deductible second component goodwill was realized as a reduction in tax liability (as determined on a ‘with-and-without’ approach).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March 31, 2017, the Company’s contractual obligations not reflected on the Company’s condensed consolidated balance sheet increased $35.1 million to $1.4 billion. The increase relates primarily to payment guarantees to a production service company for certain production related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On December 17, 2013, Frank Darabont (“Darabont”), Ferenc, Inc., Darkwoods Productions, Inc., and Creative Artists Agency, LLC (together, “Plaintiffs”), filed a complaint in New York Supreme Court in connection with Darabont’s rendering services as a writer, director and producer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or more and indicated that the parties have completed fact and expert discovery. The parties each filed motions for summary judgment. The Court set June 9, 2017 as the date for oral argument of the summary judgment motions. The Company has opposed the claims in the Complaint, the Amended Complaint and all subsequent complaints.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 Plans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March 9, 2017, AMC Networks granted 578,901 restricted stock units (“RSUs”) and 458,962 performance restricted stock units (“PRSUs”) to certain executive officers and employees under the AMC Networks Inc. 2016 Employee Stock Plan. The RSUs vest ratably over a three-year period and the vesting criteria for 175,299 RSUs include the achievement of certain performance targets by the Company. The PRSUs vest on the third anniversary of the grant date.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three months ended March 31, 2017, 505,935 RSUs of AMC Networks Class A Common Stock previously issued to employees of the Company vested. On the vesting date, 218,641 RSUs were surrendered to the Company to cover the required statutory tax withholding obligations and 287,294 new shares of AMC Networks Class A Common Stock were issued in respect of the remaining RSUs. The units surrendered to satisfy the employees’ statutory minimum tax withholding obligations for the applicable income and other employment tax had an aggregate value of $12.8 million, which has been reflected as a financing activity in the condensed consolidated statement of cash flows for the three months ended March 31, 2017.</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Share-based compensation expense included in selling, general and administrative expense, for the three months ended March 31, 2017 and March 31, 2016 was $12.5 million and $8.2 million, respectively.</w:t>
      </w:r>
    </w:p>
    <w:p>
      <w:pPr>
        <w:spacing w:after="0" w:line="17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of March 31, 2017, there was $126.2 million of total unrecognized share-based compensation cost related to outstanding unvested share-based awards. The unrecognized compensation cost is expected to be recognized over a weighted-average remaining period of approximately 2.8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Redeemable Noncontrolling Interests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three months ended March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Three Months Ended March</w:t>
            </w:r>
          </w:p>
        </w:tc>
      </w:tr>
      <w:tr>
        <w:trPr>
          <w:trHeight w:val="23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31, 2017</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219,331</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4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5,564</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214,998</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Members of the Dolan Family, for purposes of Section 13(d) of the Securities Exchange Act of 1934, as amended, including trusts for the benefit of the Dolan Family, collectively beneficially own all of the AMC Networks outstanding Class B Common Stock and own approximately 2% of the AMC Networks’ outstanding Class A Common Stock. Such shares of the AMC Networks Class A Common Stock and Class B Common Stock, collectively, represent approximately 68% of the aggregate voting power of AMC Networks’ outstanding common stock. Members of the Dolan Family are also the controlling stockholders of The Madison Square Garden Company (“MSG”) and MSG Networks Inc. (“MSG Networks”). Prior to June 21, 2016, members of the Dolan Family were also the controlling stockholders of Cablevision Systems Corporation (“Cablevision”).</w:t>
      </w:r>
    </w:p>
    <w:p>
      <w:pPr>
        <w:spacing w:after="0" w:line="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June 21, 2016, Cablevision was acquired by a subsidiary of Altice N.V. and a change in control occurred which resulted in members of the Dolan Family no longer being controlling stockholders of the surviving company, Altice USA. Accordingly, Altice USA is not a related party of AMC Networks.</w:t>
      </w:r>
    </w:p>
    <w:p>
      <w:pPr>
        <w:spacing w:after="0" w:line="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$1.6 million and $6.7 million for the three months ended March 31, 2017 and 2016, respectively. Amounts charged to the Company, included in selling, general and administrative expenses, pursuant to transactions with its related parties amounted to $0.6 million and $1.1 million for the three months ended March 31, 2017 and 2016, respectively.</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office expenses is not material.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Cash Flows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28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960" w:type="dxa"/>
            <w:vAlign w:val="bottom"/>
            <w:gridSpan w:val="2"/>
          </w:tcPr>
          <w:p>
            <w:pPr>
              <w:jc w:val="right"/>
              <w:ind w:right="6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Increase in capital lease obligations</w:t>
            </w:r>
          </w:p>
        </w:tc>
        <w:tc>
          <w:tcPr>
            <w:tcW w:w="32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10,983</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not yet settled</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4960" w:type="dxa"/>
            <w:vAlign w:val="bottom"/>
            <w:gridSpan w:val="2"/>
          </w:tcPr>
          <w:p>
            <w:pPr>
              <w:jc w:val="right"/>
              <w:ind w:right="30"/>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2,722</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Data:</w:t>
            </w:r>
          </w:p>
        </w:tc>
        <w:tc>
          <w:tcPr>
            <w:tcW w:w="3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Cash interest paid</w:t>
            </w:r>
          </w:p>
        </w:tc>
        <w:tc>
          <w:tcPr>
            <w:tcW w:w="4960" w:type="dxa"/>
            <w:vAlign w:val="bottom"/>
            <w:gridSpan w:val="2"/>
          </w:tcPr>
          <w:p>
            <w:pPr>
              <w:jc w:val="right"/>
              <w:ind w:right="30"/>
              <w:spacing w:after="0"/>
              <w:rPr>
                <w:sz w:val="20"/>
                <w:szCs w:val="20"/>
                <w:color w:val="auto"/>
              </w:rPr>
            </w:pPr>
            <w:r>
              <w:rPr>
                <w:rFonts w:ascii="Arial" w:cs="Arial" w:eastAsia="Arial" w:hAnsi="Arial"/>
                <w:sz w:val="18"/>
                <w:szCs w:val="18"/>
                <w:color w:val="auto"/>
              </w:rPr>
              <w:t>8,605</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46,436</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 net</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7,498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w:t>
            </w:r>
          </w:p>
        </w:tc>
      </w:tr>
      <w:tr>
        <w:trPr>
          <w:trHeight w:val="567"/>
        </w:trPr>
        <w:tc>
          <w:tcPr>
            <w:tcW w:w="4660" w:type="dxa"/>
            <w:vAlign w:val="bottom"/>
          </w:tcPr>
          <w:p>
            <w:pPr>
              <w:spacing w:after="0"/>
              <w:rPr>
                <w:sz w:val="24"/>
                <w:szCs w:val="24"/>
                <w:color w:val="auto"/>
              </w:rPr>
            </w:pPr>
          </w:p>
        </w:tc>
        <w:tc>
          <w:tcPr>
            <w:tcW w:w="3240" w:type="dxa"/>
            <w:vAlign w:val="bottom"/>
          </w:tcPr>
          <w:p>
            <w:pPr>
              <w:jc w:val="right"/>
              <w:ind w:right="2011"/>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accumulated other comprehensive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March 31, 2017</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 Other</w:t>
            </w:r>
          </w:p>
        </w:tc>
      </w:tr>
      <w:tr>
        <w:trPr>
          <w:trHeight w:val="203"/>
        </w:trPr>
        <w:tc>
          <w:tcPr>
            <w:tcW w:w="47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Currency Translation</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Gains (Losses) on</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200" w:type="dxa"/>
            <w:vAlign w:val="bottom"/>
          </w:tcPr>
          <w:p>
            <w:pPr>
              <w:spacing w:after="0"/>
              <w:rPr>
                <w:sz w:val="17"/>
                <w:szCs w:val="17"/>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Comprehensive</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Cash Flow Hedges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Income (Loss)</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14,206</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1"/>
              </w:rPr>
              <w:t>Net current-period other comprehensive income, before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14,204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2"/>
              </w:rPr>
              <w:t>Net current-period other comprehensive income, net of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12,607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(181,191)</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March 31, 2016</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 Other</w:t>
            </w:r>
          </w:p>
        </w:tc>
      </w:tr>
      <w:tr>
        <w:trPr>
          <w:trHeight w:val="203"/>
        </w:trPr>
        <w:tc>
          <w:tcPr>
            <w:tcW w:w="47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Currency Translation</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Gains (Losses) on</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200" w:type="dxa"/>
            <w:vAlign w:val="bottom"/>
          </w:tcPr>
          <w:p>
            <w:pPr>
              <w:spacing w:after="0"/>
              <w:rPr>
                <w:sz w:val="17"/>
                <w:szCs w:val="17"/>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Comprehensive</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Cash Flow Hedges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Income (Loss)</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(136,057)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13,644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4"/>
              </w:rPr>
              <w:t>Net current-period other comprehensive income (loss), before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15,385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13,807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5"/>
              </w:rPr>
              <w:t>Net current-period other comprehensive income (loss), net of</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12,908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11,908</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condensed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evaluates segment performance based on several factors, of which the primary financial measure is operating segment adjusted operating income (“AOI”), a non-GAAP measure, defined as operating income (loss) before depreciation and amortization, share-based compensation expense or benefit, impairment charges, and restructuring expense or credit. The Company has presented the components that reconcile adjusted operating income to operating income, an accepted GAAP measure, and other information as to the continuing operations of the Company’s operating segments below.</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2017</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247,542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267,612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452,577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615,147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106,797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720,189</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12,464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23,493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267,973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270,332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20,206</w:t>
            </w:r>
          </w:p>
        </w:tc>
      </w:tr>
      <w:tr>
        <w:trPr>
          <w:trHeight w:val="251"/>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2016</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263,852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22,825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286,677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334,783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419,902</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598,635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109,048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706,579</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266,732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8,165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 (credit)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19,632</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280,952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286,569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10,407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12,387</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236"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7"/>
        </w:trPr>
        <w:tc>
          <w:tcPr>
            <w:tcW w:w="766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226"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600,055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574,334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93,962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41,459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38,283</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720,189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706,579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2016</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108,890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104,939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39,976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20,991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21,721</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166,636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Condensed Consolidating Financial Statements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Debt of AMC Networks includes $600 million of 4.75% senior notes due December 2022 and $1 billion of 5.00% senior notes due April 2024. All outstanding senior notes issued by AMC Networks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5"/>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262,256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403,648</w:t>
            </w:r>
          </w:p>
        </w:tc>
        <w:tc>
          <w:tcPr>
            <w:tcW w:w="0" w:type="dxa"/>
            <w:vAlign w:val="bottom"/>
          </w:tcPr>
          <w:p>
            <w:pPr>
              <w:spacing w:after="0"/>
              <w:rPr>
                <w:sz w:val="1"/>
                <w:szCs w:val="1"/>
                <w:color w:val="auto"/>
              </w:rPr>
            </w:pPr>
          </w:p>
        </w:tc>
      </w:tr>
      <w:tr>
        <w:trPr>
          <w:trHeight w:val="264"/>
        </w:trPr>
        <w:tc>
          <w:tcPr>
            <w:tcW w:w="4700" w:type="dxa"/>
            <w:vAlign w:val="bottom"/>
          </w:tcPr>
          <w:p>
            <w:pPr>
              <w:ind w:left="420"/>
              <w:spacing w:after="0"/>
              <w:rPr>
                <w:sz w:val="20"/>
                <w:szCs w:val="20"/>
                <w:color w:val="auto"/>
              </w:rPr>
            </w:pPr>
            <w:r>
              <w:rPr>
                <w:rFonts w:ascii="Arial" w:cs="Arial" w:eastAsia="Arial" w:hAnsi="Arial"/>
                <w:sz w:val="14"/>
                <w:szCs w:val="14"/>
                <w:color w:val="auto"/>
              </w:rPr>
              <w:t>Accounts receivable, trade (less allowance for doubtful accounts)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559,982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156,922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716,904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Amounts due from related parties,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322,957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138,048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461,005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177,967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(122,539)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71,894</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1,323,698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452,289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(122,539)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1,653,987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169,223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3,120,330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805,401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(3,925,731)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913,013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1,077,358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431,140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(431,818)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40,403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177,861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300,899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478,760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593,558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662,076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8,906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133,612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243,939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379,341</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3,122,659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4,000,897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1,826,586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(4,480,088)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4,470,054</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78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97,477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143,519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125,579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153,641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(122,539)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300,200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205,501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276,083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240,500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4,449</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384,154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425,275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278,721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(122,539)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965,611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366,515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31,480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397,995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2,525,544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2,525,544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28,212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34,161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151,149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82,828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442,355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(431,818)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121,280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3,091,207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880,567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778,323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(554,357)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4,195,740</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214,998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3,120,330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805,401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(3,925,731)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31,452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27,864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27,864</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31,452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3,120,330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833,265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(3,925,731)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59,316</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3,122,659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4,000,897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1,826,586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(4,480,088)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4,470,054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 Company</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 Guarantor</w:t>
            </w: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64"/>
        </w:trPr>
        <w:tc>
          <w:tcPr>
            <w:tcW w:w="4700" w:type="dxa"/>
            <w:vAlign w:val="bottom"/>
          </w:tcPr>
          <w:p>
            <w:pPr>
              <w:ind w:left="420"/>
              <w:spacing w:after="0"/>
              <w:rPr>
                <w:sz w:val="20"/>
                <w:szCs w:val="20"/>
                <w:color w:val="auto"/>
              </w:rPr>
            </w:pPr>
            <w:r>
              <w:rPr>
                <w:rFonts w:ascii="Arial" w:cs="Arial" w:eastAsia="Arial" w:hAnsi="Arial"/>
                <w:sz w:val="14"/>
                <w:szCs w:val="14"/>
                <w:color w:val="auto"/>
              </w:rPr>
              <w:t>Accounts receivable, trade (less allowance for doubtful accounts)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537,751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162,904</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700,655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Amounts due from related parties,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307,050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134,080</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441,130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151,175</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15,961</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72,661</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1,513</w:t>
            </w:r>
          </w:p>
        </w:tc>
        <w:tc>
          <w:tcPr>
            <w:tcW w:w="1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1,317,434</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472,819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1,696,343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104,272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62,364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166,636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Investment in affiliates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3,029,922</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784,024</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947,657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160,929</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1,108,586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432,099</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(432,916)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carriage fees,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42,656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180,297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305,512</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485,809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69,154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588,554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657,708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asset,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8,598</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8,598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116,608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194,950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313,029</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assets</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3,032,906</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3,994,201</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1,795,773</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(4,342,285)</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4,480,595</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780"/>
              <w:spacing w:after="0"/>
              <w:rPr>
                <w:sz w:val="20"/>
                <w:szCs w:val="20"/>
                <w:color w:val="auto"/>
              </w:rPr>
            </w:pPr>
            <w:r>
              <w:rPr>
                <w:rFonts w:ascii="Arial" w:cs="Arial" w:eastAsia="Arial" w:hAnsi="Arial"/>
                <w:sz w:val="14"/>
                <w:szCs w:val="14"/>
                <w:b w:val="1"/>
                <w:bCs w:val="1"/>
                <w:color w:val="auto"/>
              </w:rPr>
              <w:t>LIABILITIES AND STOCKHOLDERS’ EQUITY</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40,033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48,644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88,677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71,680</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182,667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125,505</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284,429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226,474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74,371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300,845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42,782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10,861</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53,643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222,000</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222,000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2,645</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4,584</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293,680</w:t>
            </w: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494,601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261,320</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954,178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365,262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32,913</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398,175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2,597,263</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2,597,263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6,647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28,635</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35,282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145,364</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145,791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26,681</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97,769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440,685</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(432,916)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132,219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3,062,988</w:t>
            </w: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964,279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763,980</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(528,339)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4,262,908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219,331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219,331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AMC Networks stockholders’ (deficiency) equity</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(30,082)</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3,029,922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784,024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28,438</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28,438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(deficiency)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(30,082)</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3,029,922</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812,462</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(deficiency) equity</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3,032,906</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3,994,201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1,795,773</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(4,342,285)</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4,480,595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579,382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720,189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221,754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298,612</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119,681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45,479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163,709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23,493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354,343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136,385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488,518</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225,039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231,671</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(29,412)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(27,007)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235,774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11,049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206,250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13,399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(238,804)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(15,958)</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206,250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238,438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215,713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(73,082)</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136,217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9,559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142,631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136,217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3,145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136,217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554,326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706,579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190,110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84,847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274,274</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114,357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41,348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153,901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Restructuring expense (credit)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314,472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135,787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447,772</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239,854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258,807</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(30,572)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(31,029)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246,047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(48,334)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(48,334)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167,062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8,502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(245,280)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(80,200)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248,356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178,607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(53,618)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(58,543)</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113,444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246,047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(245,277)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120,064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113,444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136,217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9,559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142,631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9,864</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gain on interest rate swaps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14,204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12,607</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148,824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(248,783)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155,238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(6,805)</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148,824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113,444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246,047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(245,277)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120,064</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15,385</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(1,578)</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before income taxes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13,807</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(6,322)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18,230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11,908</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107,122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243,202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131,972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107,122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243,202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(242,432)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124,940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224,091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138,889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144,870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(20,206)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Increase to investment in affiliates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(57,926)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94,908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(57,926)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(52,627)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94,908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(48,206)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(12,796)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(12,796)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(11,712)</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(159,719)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(172,832)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6,446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85,605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(144,299)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(76,168)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(144,299)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144,299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262,256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140,869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403,648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204,100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193,453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(249,552)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167,384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(12,387)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to investment in affiliates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(160,665)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(72,411)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246,257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(160,663)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(80,562)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246,257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(12,387)</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982,500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982,500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(691,449)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(691,449)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Premium and fees paid on extinguishment of debt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(39,179)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(39,179)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(10,413)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(10,413)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Excess tax benefits from share-based compensation arrangements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241,441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231,387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284,878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112,294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(7,493)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386,384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(5,844)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148,260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167,627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316,321</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279,468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257,259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166,073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702,800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13" w:lineRule="exact"/>
        <w:rPr>
          <w:sz w:val="20"/>
          <w:szCs w:val="20"/>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our programming networks and our programming;</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digital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multichannel video programming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9" w:lineRule="exact"/>
        <w:rPr>
          <w:rFonts w:ascii="Arial" w:cs="Arial" w:eastAsia="Arial" w:hAnsi="Arial"/>
          <w:sz w:val="18"/>
          <w:szCs w:val="18"/>
          <w:color w:val="auto"/>
        </w:rPr>
      </w:pPr>
    </w:p>
    <w:p>
      <w:pPr>
        <w:ind w:left="880" w:hanging="305"/>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ventures;</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140" w:lineRule="exact"/>
        <w:rPr>
          <w:rFonts w:ascii="Arial" w:cs="Arial" w:eastAsia="Arial" w:hAnsi="Arial"/>
          <w:sz w:val="16"/>
          <w:szCs w:val="16"/>
          <w:color w:val="auto"/>
        </w:rPr>
      </w:pPr>
    </w:p>
    <w:p>
      <w:pPr>
        <w:ind w:left="1060" w:hanging="485"/>
        <w:spacing w:after="0" w:line="277" w:lineRule="auto"/>
        <w:tabs>
          <w:tab w:leader="none" w:pos="8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2016 Annual Report on Form 10-K (the “2016 Form 10-K”), as filed with the Securities and Exchange Commission (“SEC”).</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2016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months ended March 31, 2017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31, 2016. Our discussion is presented on both a consolidated and operating segment basis. Our two operating segments are: (i) National Networks and (ii) International and Other.</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March 31, 2017, as well as an analysis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for the three months ended March 31, 2017 and 2016. The discussion of our financial condition and liquidity includes summaries of (i) our primary sources of liquidity and (ii) our contractual obligations that existed at March 31, 2017 as compared to December 31, 2016.</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980" w:hanging="486"/>
        <w:spacing w:after="0" w:line="276" w:lineRule="auto"/>
        <w:tabs>
          <w:tab w:leader="none" w:pos="9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activities of our programming businesses, which include our five programming networks, distributed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and Canada. These programming networks include AMC, WE tv, BBC AMERICA, IFC, and SundanceTV in the U.S.; and AMC, IFC, and Sundance Channel in Canada. Our AMC Studios operations within the National Networks segment sell rights worldwide to its owned original programming. The National Networks operating segment also includes AMC Networks Broadcasting &amp; Technology, the technical services business, which primarily services most of the programming networks included in the National Networks segment.</w:t>
      </w:r>
    </w:p>
    <w:p>
      <w:pPr>
        <w:spacing w:after="0" w:line="172" w:lineRule="exact"/>
        <w:rPr>
          <w:rFonts w:ascii="Arial" w:cs="Arial" w:eastAsia="Arial" w:hAnsi="Arial"/>
          <w:sz w:val="17"/>
          <w:szCs w:val="17"/>
          <w:i w:val="1"/>
          <w:iCs w:val="1"/>
          <w:color w:val="auto"/>
        </w:rPr>
      </w:pPr>
    </w:p>
    <w:p>
      <w:pPr>
        <w:jc w:val="both"/>
        <w:ind w:left="980" w:hanging="486"/>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and Other: </w:t>
      </w:r>
      <w:r>
        <w:rPr>
          <w:rFonts w:ascii="Arial" w:cs="Arial" w:eastAsia="Arial" w:hAnsi="Arial"/>
          <w:sz w:val="18"/>
          <w:szCs w:val="18"/>
          <w:color w:val="auto"/>
        </w:rPr>
        <w:t>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in Europe, Latin America, the Middle East and parts of Asia and Africa; IFC Films, the Company’s independent film distribution business; AMCNI – DMC, the broadcast solutions unit of certain networks of AMCNI and third party networks; and various developing on-line content distribution initiatives.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33"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2"/>
        </w:trPr>
        <w:tc>
          <w:tcPr>
            <w:tcW w:w="8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615,147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598,635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109,048</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720,189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706,579</w:t>
            </w:r>
          </w:p>
        </w:tc>
        <w:tc>
          <w:tcPr>
            <w:tcW w:w="0" w:type="dxa"/>
            <w:vAlign w:val="bottom"/>
          </w:tcPr>
          <w:p>
            <w:pPr>
              <w:spacing w:after="0"/>
              <w:rPr>
                <w:sz w:val="1"/>
                <w:szCs w:val="1"/>
                <w:color w:val="auto"/>
              </w:rPr>
            </w:pPr>
          </w:p>
        </w:tc>
      </w:tr>
      <w:tr>
        <w:trPr>
          <w:trHeight w:val="20"/>
        </w:trPr>
        <w:tc>
          <w:tcPr>
            <w:tcW w:w="81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gridSpan w:val="5"/>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266,732</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231,671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258,807</w:t>
            </w:r>
          </w:p>
        </w:tc>
        <w:tc>
          <w:tcPr>
            <w:tcW w:w="0" w:type="dxa"/>
            <w:vAlign w:val="bottom"/>
          </w:tcPr>
          <w:p>
            <w:pPr>
              <w:spacing w:after="0"/>
              <w:rPr>
                <w:sz w:val="1"/>
                <w:szCs w:val="1"/>
                <w:color w:val="auto"/>
              </w:rPr>
            </w:pPr>
          </w:p>
        </w:tc>
      </w:tr>
      <w:tr>
        <w:trPr>
          <w:trHeight w:val="190"/>
        </w:trPr>
        <w:tc>
          <w:tcPr>
            <w:tcW w:w="812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267,973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280,952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270,332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286,569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charges, and restructuring expense or credit.</w:t>
      </w:r>
    </w:p>
    <w:p>
      <w:pPr>
        <w:spacing w:after="0" w:line="16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388"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8,165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 (credit)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19,632</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270,332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286,569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our National Networks segment, which accounted for 85% of our consolidated revenues for the three months ended March 31, 2017, we earn revenue principally from the distribution of our programming and the sale of advertising. Distribution revenue primarily includes affiliation fees paid by distributors to carry our programming networks and license fees paid to us for the licensing of original programming for digital, foreign and home video distribution. Affiliation fees paid by distributors represent the largest component of distribution revenue. Our affiliation fee revenues are generally based on a per subscriber fee under multi-</w:t>
      </w:r>
    </w:p>
    <w:p>
      <w:pPr>
        <w:sectPr>
          <w:pgSz w:w="11900" w:h="16838" w:orient="portrait"/>
          <w:cols w:equalWidth="0" w:num="1">
            <w:col w:w="11420"/>
          </w:cols>
          <w:pgMar w:left="240" w:top="476"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76" w:right="239" w:bottom="1440" w:gutter="0" w:footer="0" w:header="0"/>
          <w:type w:val="continuous"/>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year contracts, commonly referred to as “affiliation agreements,” which generally provide for annual affiliation rate increases. The specific affiliation fee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affiliation fee revenues we earn are a fixed contractual monthly fee, which could be adjusted for acquisitions and dispositions of multichannel video programming systems by the distributor. Revenue from the licensing of original programming for digital and foreign distribution is recognized upon availability or distribution by the licensee.</w:t>
      </w:r>
    </w:p>
    <w:p>
      <w:pPr>
        <w:spacing w:after="0" w:line="19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affiliation agreements with our distributors, we have the right to sell a specified amount of national advertising time on our programming networks. Our advertising revenues are more variable than affiliation fee revenues because the majority of our advertising is sold on a short-term basis, not under long-term contracts. Our advertising arrangements with advertisers provide for a set number of advertising units to air over a specific period of time at a negotiated price per unit for which our programming networks generally guarantee specified viewer ratings for their programming.</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such as origination, transmission, uplinking and encryption.</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The timing of exhibition and distribution of original programming varies from period to period, which results in greater variability in our revenues, earnings and cash flows from operating activities. We will continue to increase our investment in programming across all of our channels.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International and Other segment primarily includes the operations of AMCNI, AMCNI – DMC, IFC Films and various developing on-line content distribution initiatives.</w:t>
      </w:r>
    </w:p>
    <w:p>
      <w:pPr>
        <w:spacing w:after="0" w:line="1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our International and Other segment, which accounted for 15% of our consolidated revenues for the three months ended March 31, 2017,we earn revenue principally from the international distribution of programming and, to a lesser extent, the sale of advertising. Distribution revenue primarily includes affiliation fees paid by distributors to carry our programming networks. Our affiliation fee revenues are generally based on either a per-subscriber fee or a fixed contractual annual fee, under multi-year affiliation agreements, which may provide for annual affiliation rate increases. For the three months ended March 31, 2017, distribution revenues represented 81% of the revenues of the International and Other segment. Most of these revenues are derived primarily from Europe and to a lesser extent, Latin America, the Middle East and parts of Asia and Africa. The International and Other segment also includes IFC Films, our independent film distribution business where revenues are derived principally from theatrical, digital and licensing distribution.</w:t>
      </w:r>
    </w:p>
    <w:p>
      <w:pPr>
        <w:spacing w:after="0" w:line="16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Programming and program operating costs, included in technical and operating expense, represents the largest expense of the International and Other segment and primarily consists of amortization of acquired content, costs of dubbing and sub-titling of programs, and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9" w:name="page30"/>
    <w:bookmarkEnd w:id="29"/>
    <w:p>
      <w:pPr>
        <w:jc w:val="both"/>
        <w:ind w:firstLine="432"/>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720,189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706,579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298,612</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274,274</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24,338</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163,709</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153,901</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9,808</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3,861</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Restructuring expense (credit)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2,704</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488,518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447,772</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40,746</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231,671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258,807</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(27,136)</w:t>
            </w:r>
          </w:p>
        </w:tc>
        <w:tc>
          <w:tcPr>
            <w:tcW w:w="1220" w:type="dxa"/>
            <w:vAlign w:val="bottom"/>
            <w:gridSpan w:val="2"/>
          </w:tcPr>
          <w:p>
            <w:pPr>
              <w:jc w:val="right"/>
              <w:ind w:right="9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(27,007)</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(31,029)</w:t>
            </w:r>
          </w:p>
        </w:tc>
        <w:tc>
          <w:tcPr>
            <w:tcW w:w="1380" w:type="dxa"/>
            <w:vAlign w:val="bottom"/>
            <w:gridSpan w:val="3"/>
          </w:tcPr>
          <w:p>
            <w:pPr>
              <w:jc w:val="right"/>
              <w:ind w:right="8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4,022</w:t>
            </w:r>
          </w:p>
        </w:tc>
        <w:tc>
          <w:tcPr>
            <w:tcW w:w="1220" w:type="dxa"/>
            <w:vAlign w:val="bottom"/>
            <w:gridSpan w:val="2"/>
          </w:tcPr>
          <w:p>
            <w:pPr>
              <w:jc w:val="right"/>
              <w:ind w:right="9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(48,334)</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11,049</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w:t>
            </w:r>
          </w:p>
        </w:tc>
        <w:tc>
          <w:tcPr>
            <w:tcW w:w="1380" w:type="dxa"/>
            <w:vAlign w:val="bottom"/>
            <w:gridSpan w:val="3"/>
          </w:tcPr>
          <w:p>
            <w:pPr>
              <w:jc w:val="right"/>
              <w:ind w:right="8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(15,958)</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(80,200)</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64,242</w:t>
            </w:r>
          </w:p>
        </w:tc>
        <w:tc>
          <w:tcPr>
            <w:tcW w:w="12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7"/>
        </w:trPr>
        <w:tc>
          <w:tcPr>
            <w:tcW w:w="3940" w:type="dxa"/>
            <w:vAlign w:val="bottom"/>
          </w:tcPr>
          <w:p>
            <w:pPr>
              <w:ind w:left="380"/>
              <w:spacing w:after="0"/>
              <w:rPr>
                <w:sz w:val="20"/>
                <w:szCs w:val="20"/>
                <w:color w:val="auto"/>
              </w:rPr>
            </w:pPr>
            <w:r>
              <w:rPr>
                <w:rFonts w:ascii="Arial" w:cs="Arial" w:eastAsia="Arial" w:hAnsi="Arial"/>
                <w:sz w:val="18"/>
                <w:szCs w:val="18"/>
                <w:color w:val="auto"/>
                <w:w w:val="91"/>
              </w:rPr>
              <w:t>Net income from operations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215,713</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178,607</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37,106</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(73,082)</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(58,543)</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142,631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120,064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22,567</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3940" w:type="dxa"/>
            <w:vAlign w:val="bottom"/>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136,217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113,444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22,773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2"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615,147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598,635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233,808</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206,139</w:t>
            </w:r>
          </w:p>
        </w:tc>
        <w:tc>
          <w:tcPr>
            <w:tcW w:w="138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27,669</w:t>
            </w:r>
          </w:p>
        </w:tc>
        <w:tc>
          <w:tcPr>
            <w:tcW w:w="13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123,274</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117,765</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5,509</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38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13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266,732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9,908</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6,221</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3,687</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8,404</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7,969</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435</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267,973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280,952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106,797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109,048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67,838</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69,745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40,437</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36,141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4,296</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3,426</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Restructuring expense (credit)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2,650</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127.8 %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1,944</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 (credit)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15,089</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11,663</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3,426</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Revenues, net increased $13.6 million to $720.2 million for the three months ended March 31, 2017 as compared to the three months ended March 31, 2016. The net change by segment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615,147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598,635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106,797</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109,048</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(2,251)</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3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720,189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706,579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247,542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263,852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367,605</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334,783</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32,822</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615,147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598,635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16,512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of $16.3 million in advertising revenues was driven by a decrease of $19.9 million at AMC due to lower ratings and the timing of our original programming, partially offset by an increase of $4.5 million at BBC AMERICA.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revenues increased $32.8 million due to an increase of $19.4 million primarily from digital distribution revenues derived from our original programming, principally at AMC and SundanceTV, and an increase of $13.4 million in affiliation fee revenue across all of our networks resulting from an increase in rates. Distribution revenues vary based on the impact of renewals of affiliation agreements and the timing of availability of our programming to distributors. Because of these factors, we expect distribution revenues to vary from quarter to quarter.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3"/>
                <w:szCs w:val="13"/>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20,070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22,825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86,727</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86,223</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504</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106,797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109,048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57" w:lineRule="auto"/>
        <w:rPr>
          <w:sz w:val="20"/>
          <w:szCs w:val="20"/>
          <w:color w:val="auto"/>
        </w:rPr>
      </w:pPr>
      <w:r>
        <w:rPr>
          <w:rFonts w:ascii="Arial" w:cs="Arial" w:eastAsia="Arial" w:hAnsi="Arial"/>
          <w:sz w:val="18"/>
          <w:szCs w:val="18"/>
          <w:color w:val="auto"/>
        </w:rPr>
        <w:t>The decrease in advertising revenues was principally due to the unfavorable impact of foreign currency translation of $2.4 million. The increase in distribution revenues was driven by an increase in affiliation fee revenue of $3.5 million as a result of expanded distribution at AMCNI, partially offset by a decrease in other distribution revenue of $2.8 million principally at AMCNI - DMC. The net increase in distribution revenues at AMCNI was partially offset by a decrease at IFC Films due to the strong performance of certain titles in 2016 as compared to 2017. Foreign currency translation had an unfavorable impact of $3.2 million on distribution revenue.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72" w:right="239" w:bottom="1440" w:gutter="0" w:footer="0" w:header="0"/>
          <w:type w:val="continuous"/>
        </w:sectPr>
      </w:pPr>
    </w:p>
    <w:bookmarkStart w:id="33" w:name="page34"/>
    <w:bookmarkEnd w:id="33"/>
    <w:p>
      <w:pPr>
        <w:ind w:left="440"/>
        <w:spacing w:after="0"/>
        <w:rPr>
          <w:sz w:val="20"/>
          <w:szCs w:val="20"/>
          <w:color w:val="auto"/>
        </w:rPr>
      </w:pPr>
      <w:r>
        <w:rPr>
          <w:rFonts w:ascii="Arial" w:cs="Arial" w:eastAsia="Arial" w:hAnsi="Arial"/>
          <w:sz w:val="17"/>
          <w:szCs w:val="17"/>
          <w:color w:val="auto"/>
        </w:rPr>
        <w:t>Technical and operating expense (excluding depreciation and amortization) increased $24.3 million to $298.6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as compared to the three months ended March 31, 2016. The net change by segment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233,808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206,139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27,669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67,838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69,745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w:t>
            </w:r>
          </w:p>
        </w:tc>
        <w:tc>
          <w:tcPr>
            <w:tcW w:w="1680" w:type="dxa"/>
            <w:vAlign w:val="bottom"/>
            <w:gridSpan w:val="2"/>
          </w:tcPr>
          <w:p>
            <w:pPr>
              <w:jc w:val="right"/>
              <w:ind w:right="88"/>
              <w:spacing w:after="0"/>
              <w:rPr>
                <w:sz w:val="20"/>
                <w:szCs w:val="20"/>
                <w:color w:val="auto"/>
              </w:rPr>
            </w:pPr>
            <w:r>
              <w:rPr>
                <w:rFonts w:ascii="Arial" w:cs="Arial" w:eastAsia="Arial" w:hAnsi="Arial"/>
                <w:sz w:val="18"/>
                <w:szCs w:val="18"/>
                <w:color w:val="auto"/>
              </w:rPr>
              <w:t>(2.7)</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6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88.4</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298,612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274,274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24,338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increase in technical and operating expense in the National Networks segment was primarily attributable to an increase of $27.8 million in program rights amortization expense as a result of continued investment in our original programming.</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decrease in technical and operating expense in the International and Other segment was primarily due to a decrease at AMCNI of $2.8 million due to a decrease in direct programming related costs, and a decrease at IFC Films of $1.3 million due to the timing of investment in the acquisition of films, partially offset by an increase of $2.2 million related to increased investment at our developing on-line content distribution business. Foreign currency translation had a favorable impact to the change in technical and operating expense of approximately $3.7 million.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$9.8 million to $163.7 million for the three months ended March 31, 2017, as compared to the three months ended March 31,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123,274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117,765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40,437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36,141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4,296</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11.9</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(60.0)</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163,709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153,901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9,808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Selling, general and administrative expense in the National Networks segment increased $5.5 million principally as a result of an increase in sales and marketing costs of $2.3 million related to the promotion and marketing of original programming and a net increase in long-term incentive compensation expense of $1.9 million for the three months ended March 31, 2017 as compared to the three months ended March 31, 2016.</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 the International and Other segment increased $4.3 million for the three months ended March 31, 2017 as compared to the three months ended March 31, 2016 due to an increase in sales and marketing</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76" w:right="239" w:bottom="1440" w:gutter="0" w:footer="0" w:header="0"/>
          <w:type w:val="continuous"/>
        </w:sectPr>
      </w:pPr>
    </w:p>
    <w:bookmarkStart w:id="34" w:name="page35"/>
    <w:bookmarkEnd w:id="34"/>
    <w:p>
      <w:pPr>
        <w:jc w:val="both"/>
        <w:spacing w:after="0" w:line="308" w:lineRule="auto"/>
        <w:rPr>
          <w:sz w:val="20"/>
          <w:szCs w:val="20"/>
          <w:color w:val="auto"/>
        </w:rPr>
      </w:pPr>
      <w:r>
        <w:rPr>
          <w:rFonts w:ascii="Arial" w:cs="Arial" w:eastAsia="Arial" w:hAnsi="Arial"/>
          <w:sz w:val="17"/>
          <w:szCs w:val="17"/>
          <w:color w:val="auto"/>
        </w:rPr>
        <w:t>costs of $1.9 million at AMCNI and $1.6 million at our developing on-line content distribution business principally due to increased subscriber acquisition costs. Foreign currency translation had a favorable impact to the change in selling, general and administrative expense of approximately $1.9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Restructuring expense of $2.7 million for the three months ended March 31, 2017 relates to corporate headquarter severance charges in connection with the restructuring initiative launched during the second half of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increased $3.9 million to $23.5 million for the three months ended March 31, 2017, as compared to the three months ended March 31,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3,426</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29.4</w:t>
            </w:r>
          </w:p>
        </w:tc>
      </w:tr>
      <w:tr>
        <w:trPr>
          <w:trHeight w:val="27"/>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23,493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3,861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increase in depreciation and amortization expense in the International and Other segment was attributable to accelerated depreciation of certain equipment at the AMCNI – DMC business. In addition, depreciation expense for the three months ended March 31, 2016 included a decrease in an asset retirement obligation.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249,607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266,732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(10,781)</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127.8</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150.7</w:t>
            </w:r>
          </w:p>
        </w:tc>
      </w:tr>
      <w:tr>
        <w:trPr>
          <w:trHeight w:val="257"/>
        </w:trPr>
        <w:tc>
          <w:tcPr>
            <w:tcW w:w="50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231,671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258,807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decrease in operating income at the National Networks segment was primarily attributable to an increase in technical and operating expense of $27.7 million and an increase in selling, general and administrative expense of $5.5 million, partially offset by an increase in revenues of $16.5 million. The decrease in operating income in the International and Other segment was primarily attributable to an increase in selling, general and administrative expense of $4.3 million, an increase in depreciation and amortization of $3.4 million, an increase in restructuring expense of $2.7 million and a decrease in revenue of $2.3 million, partially offset by a decrease in technical and operating expense of $1.9 million.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231,671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258,807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12,464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4,299</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52.7</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 (credit)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23,493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3,861</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19.7</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270,332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286,569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54"/>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35" w:name="page36"/>
    <w:bookmarkEnd w:id="35"/>
    <w:p>
      <w:pPr>
        <w:jc w:val="both"/>
        <w:ind w:right="20" w:firstLine="432"/>
        <w:spacing w:after="0" w:line="277" w:lineRule="auto"/>
        <w:rPr>
          <w:sz w:val="20"/>
          <w:szCs w:val="20"/>
          <w:color w:val="auto"/>
        </w:rPr>
      </w:pPr>
      <w:r>
        <w:rPr>
          <w:rFonts w:ascii="Arial" w:cs="Arial" w:eastAsia="Arial" w:hAnsi="Arial"/>
          <w:sz w:val="18"/>
          <w:szCs w:val="18"/>
          <w:color w:val="auto"/>
        </w:rPr>
        <w:t>AOI decreased $16.2 million for the three months ended March 31, 2017 as compared to the three months ended March 31,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280,952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(4,028)</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(78.9)</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150.7</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270,332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286,569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National Networks AOI decreased principally due to an increase in technical and operating expenses of $27.7 million resulting primarily from an increase in program rights amortization and an increase in selling, general and administrative expenses of $1.8 million, partially offset by an increase in revenue of $16.5 million. As a result of the factors discussed above impacting the variability in revenues and operating expenses, we expect AOI to vary from quarter to quarter.</w:t>
      </w:r>
    </w:p>
    <w:p>
      <w:pPr>
        <w:spacing w:after="0" w:line="1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International and Other AOI decreased due to an increase in selling, general and administrative expenses of $3.7 million and a decrease in revenue of $2.3 million, partially offset by a decrease in technical and operating expenses of $1.9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decrease in interest expense, net is driven by a decrease in interest expense of $1.3 million primarily as a result of a decrease in the interest rate on our fixed rate debt due to the early redemption of our 7.75% Notes in March 2016 and an increase in interest income of $2.8 million recorded for the three months ended March 31, 2017, in connection with increased cash balances for the three months ended March 31, 2017 versus the same period in 2016 as well as interest income earned on term loans entered into with RLJ Entertainment, Inc. (“RLJE”) in October 2016.</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loss on extinguishment of debt for the three months ended March 31, 2016 of $48.3 million represents $39.2 million of premium paid and related fees on the early redemption of our 7.75% Notes as well as a write-off of the related unamortized discount of $8.2 million and unamortized deferred financing costs of $1.0 million.</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miscellaneous, net of $11.9 million for the three months ended March 31, 2017 as compared to the three months ended March 31, 2016 is primarily driven by a gain on derivative instruments of $11.1 million related to the RLJE warrants and the portion of future interest on term loans with RLJE to be settled in shares of RLJE common stock.</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2017, income tax expense was $73.1 million, representing an effective tax rate of 34%. The effective tax rate differs from the federal statutory rate of 35% due primarily to tax benefit from the domestic production activities deduction of $5.9 million, tax benefit from foreign subsidiary earnings indefinitely reinvested outside the U.S. of $4.1 million, state income tax expense of $3.4 million and tax expense of $2.3 million for an increase in valuation allowances for foreign taxes.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2016, income tax expense was $58.5 million, representing an effective tax rate of 33%. The effective tax rate differs from the federal statutory rate of 35% due primarily to tax benefit from the domestic production activities deduction of $5.3 million, tax benefit from foreign subsidiary earnings indefinitely reinvested outside the U.S. of $3.5 million, state income tax expense of $3.2 million and tax expense of $2.0 million for an increase in valuation allowances for foreign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ectPr>
          <w:pgSz w:w="11900" w:h="16838" w:orient="portrait"/>
          <w:cols w:equalWidth="0" w:num="1">
            <w:col w:w="11420"/>
          </w:cols>
          <w:pgMar w:left="240" w:top="422"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22" w:right="239" w:bottom="1440" w:gutter="0" w:footer="0" w:header="0"/>
          <w:type w:val="continuous"/>
        </w:sectPr>
      </w:pPr>
    </w:p>
    <w:bookmarkStart w:id="36" w:name="page37"/>
    <w:bookmarkEnd w:id="36"/>
    <w:p>
      <w:pPr>
        <w:jc w:val="both"/>
        <w:ind w:right="20" w:firstLine="432"/>
        <w:spacing w:after="0" w:line="277" w:lineRule="auto"/>
        <w:rPr>
          <w:sz w:val="20"/>
          <w:szCs w:val="20"/>
          <w:color w:val="auto"/>
        </w:rPr>
      </w:pPr>
      <w:r>
        <w:rPr>
          <w:rFonts w:ascii="Arial" w:cs="Arial" w:eastAsia="Arial" w:hAnsi="Arial"/>
          <w:sz w:val="18"/>
          <w:szCs w:val="18"/>
          <w:color w:val="auto"/>
        </w:rPr>
        <w:t>On March 4, 2016, our Board of Directors authorized a program to repurchase up to $500 million shares of the Company’s Class A common stock. For the period April 1, 2017 through April 28, 2017, we repurchased approximately 642,000 additional shares for $37.9 million.</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uses of cash include the acquisition and production of programming, investments and acquisitions, debt service, repurchases of outstanding debt and common stock and payments for income taxes. We continue to increase our investment in original programming, the funding of which generally occurs six to nine months in advance of a program’s airing. We expect this increased investment to continue in 2017. In addition, the required principal payments on our Term Loan A facility over the next twelve months will be $240.5 million.</w:t>
      </w:r>
    </w:p>
    <w:p>
      <w:pPr>
        <w:spacing w:after="0" w:line="1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March 31, 2017, our consolidated cash and cash equivalents balance includes approximately $92.5 million held by foreign subsidiaries, some of which have earnings that have not been subject to U.S. tax. Repatriation of earnings not previously subject to U.S. tax would generally require us to accrue and pay U.S. tax on such amount. Our consolidated financial statements provide for any related tax liability on amounts that may be repatriated, aside from undistributed earnings of certain of our foreign subsidiaries that are intended to be permanently reinvested or repatriated in a tax-free manner. The amount of such undistributed earnings was approximately $87.0 million as of March 31, 2017. Determination of the amount of unrecognized deferred tax liability for temporary differences related to these earnings is not practicable.</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2016 Form 10-K.</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revolving credit facility was not drawn upon at March 31, 2017. The total undrawn revolver commitment is available to be drawn for our general corporate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March 31, 2017.</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three months ended March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5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37465</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167,384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(48,206)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(12,387)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231,387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(76,168)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386,384</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Net cash provided by operating activities amounted to $144.9 million for the three months ended March 31, 2017 as compared to $167.4 million for the three months ended March 31, 2016. Net cash provided by operating activities for the three months ended March 31, 2017 primarily resulted from $377.8 million of net income before amortization of program rights, depreciation and amortization, and other non-cash items, which was partially offset by payments for program rights of $211.3 million, a decrease in accounts payable, accrued expenses and other liabilities of $33.7 million primarily related to lower employee related liabilities, an increase in prepaid expense and other assets of $18.2 million, an increase in accounts receivable, trade of $16.0 million primarily related to timing of cash receipts and a decrease in deferred revenue of $11.1 million. Additionally, net cash provided by operating</w:t>
      </w:r>
    </w:p>
    <w:p>
      <w:pPr>
        <w:sectPr>
          <w:pgSz w:w="11900" w:h="16838" w:orient="portrait"/>
          <w:cols w:equalWidth="0" w:num="1">
            <w:col w:w="11420"/>
          </w:cols>
          <w:pgMar w:left="240" w:top="476"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76"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activities increased due to an increase in taxes payable of $57.6 million.</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Net cash provided by operating activities amounted to $167.4 million for the three months ended March 31, 2016 and primarily resulted from $388.8 million of net income before amortization of program rights, loss on extinguishment of debt, depreciation and amortization, and other non-cash items, which was partially offset by payments for program rights of $192.2 million, a decrease in accounts payable, accrued expenses and other liabilities of $68.9 million primarily related to lower employee related liabilities and an increase in accounts receivable, trade of $9.4 million primarily related to timing of cash receipts. Additionally, net cash provided by operating activities increased due to an increase in taxes payable of $37.4 million, an increase in deferred revenue of $4.0 million primarily related to advertising arrangements and a decrease in prepaid expenses and other assets of $7.9 million.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for the three months ended March 31, 2017 and 2016 was $48.2 million and $12.4 million, respectively. For the three months ended March 31, 2017, cash used in investing activities included investments of $28.0 million and capital expenditures of $20.2 million. For the three months ended March 31, 2016, capital expenditures totaled $12.4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Net cash used in financing activities amounted to $172.8 million for the three months ended March 31, 2017 as compared to net cash provided by financing activities of $231.4 million for the three months ended March 31, 2016. For the three months ended March 31, 2017, financing activities primarily consisted of purchases of our common stock of $91.4 million under our Stock Repurchase Program and scheduled repayments of principal on the Company’s Term A loan facility of $55.5 million. In addition, net cash used in financing activities for the three months ended March 31, 2017 includes taxes paid in lieu of shares issued for equity-based compensation of $12.8 million and distributions to noncontrolling interests of $11.7 million.</w:t>
      </w:r>
    </w:p>
    <w:p>
      <w:pPr>
        <w:spacing w:after="0" w:line="6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Net cash provided by financing activities amounted to $231.4 million for the three months ended March 31, 2016 consisted of cash provided by the issuance of $1.0 billion of 5.00% Notes, net of an issuance discount of $17.5 million, offset by principal payments on long term debt of $691.4 million which included the repayment of $654.0 million of the Company’s 7.75% Notes pursuant to the Tender Offer, as well as the scheduled repayment of principal on the Company’s Term A loan facility of $37.0 million. In addition, net cash used in financing activities included premium payments and fees for the tender offer of $39.2 million, taxes paid in lieu of shares issued for equity-based compensation of $10.4 million and distributions to noncontrolling interest of $9.0 million.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2017, our contractual obligations not reflected on the condensed consolidated balance sheet increased $35.1 million to $1.4 billion. The increase relates primarily to payment guarantees to a production service company for certain production related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We describe our significant accounting policies in Note 2 to the Company’s Consolidated Financial Statements included in our 2016 Form 10-K. We discuss our critical accounting estimates in Item 7, “Management’s Discussion and Analysis of Financial Condition and Results of Operations,” in the same 2016 Form 10-K. There have been no significant changes in our significant accounting policies or critical accounting estimates since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March 31, 2017, the fair value of our fixed rate debt of $1.61 billion was more than its carrying value of $1.57 billion by approximately $33 million. The fair value of these financial instruments is estimated based on reference to quoted market prices for these or comparable securities. A hypothetical 100 basis point decrease in interest rates prevailing at March 31, 2017 would increase the estimated fair value of our fixed rate debt by approximately $66.0 million to approximately $1.7 billion.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0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2017, we had $2.8 billion of debt outstanding (excluding capital leases), of which $1.2 billion is outstanding under the credit facility and is subject to variable interest rates (before consideration of the interest rate swaps contracts described below).</w:t>
      </w:r>
    </w:p>
    <w:p>
      <w:pPr>
        <w:spacing w:after="0" w:line="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March 31, 2017, we had interest rate swap contracts outstanding with notional amounts aggregating $300.0 million. The aggregate fair value of interest rate swap contracts at March 31, 2017 was a net asset of $1.4 million. As a result of these transactions, the interest rate paid on approximately 68% of the Company’s debt (excluding capital leases) as of March 31, 2017 is effectively fixed (57% being fixed rate obligations and 11% effectively fixed through utilization of these interest rate swap contracts). Accumulated other comprehensive loss includes $0.6 million of cumulative unrealized gains, net of tax, on the portion of floating-to-fixed interest rate swap contracts designated as cash flow hedges. At March 31, 2017, our interest rate swap contracts designated as cash flow hedges were highly effective, in all material respects.</w:t>
      </w:r>
    </w:p>
    <w:p>
      <w:pPr>
        <w:spacing w:after="0" w:line="112" w:lineRule="exact"/>
        <w:rPr>
          <w:sz w:val="20"/>
          <w:szCs w:val="20"/>
          <w:color w:val="auto"/>
        </w:rPr>
      </w:pPr>
    </w:p>
    <w:p>
      <w:pPr>
        <w:ind w:right="140" w:firstLine="432"/>
        <w:spacing w:after="0" w:line="430" w:lineRule="auto"/>
        <w:rPr>
          <w:sz w:val="20"/>
          <w:szCs w:val="20"/>
          <w:color w:val="auto"/>
        </w:rPr>
      </w:pPr>
      <w:r>
        <w:rPr>
          <w:rFonts w:ascii="Arial" w:cs="Arial" w:eastAsia="Arial" w:hAnsi="Arial"/>
          <w:sz w:val="18"/>
          <w:szCs w:val="18"/>
          <w:color w:val="auto"/>
        </w:rPr>
        <w:t xml:space="preserve">A hypothetical 100 basis point increase in interest rates prevailing at March 31, 2017 would not have a material impact on our annual interest expense. </w:t>
      </w:r>
      <w:r>
        <w:rPr>
          <w:rFonts w:ascii="Arial" w:cs="Arial" w:eastAsia="Arial" w:hAnsi="Arial"/>
          <w:sz w:val="18"/>
          <w:szCs w:val="18"/>
          <w:b w:val="1"/>
          <w:bCs w:val="1"/>
          <w:color w:val="auto"/>
        </w:rPr>
        <w:t>Managing our Foreign Currency Exchange Rate Risk</w:t>
      </w:r>
    </w:p>
    <w:p>
      <w:pPr>
        <w:spacing w:after="0" w:line="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$0.4 million of foreign currency transaction gains, net for the three months ended March 31, 2017. Such amount is included in miscellaneous, net in the condensed consolidated statement of income.</w:t>
      </w:r>
    </w:p>
    <w:p>
      <w:pPr>
        <w:spacing w:after="0" w:line="12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2017,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2017, there were no changes in the Company’s internal control over financial reporting, that have materially affected, or are reasonably likely to materially affect, the Company’s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36" w:right="239" w:bottom="1440" w:gutter="0" w:footer="0" w:header="0"/>
        </w:sectPr>
      </w:pPr>
    </w:p>
    <w:bookmarkStart w:id="39" w:name="page40"/>
    <w:bookmarkEnd w:id="39"/>
    <w:p>
      <w:pPr>
        <w:spacing w:after="0" w:line="209" w:lineRule="auto"/>
        <w:framePr w:w="2040" w:h="160" w:wrap="auto" w:vAnchor="page" w:hAnchor="page" w:x="1380" w:y="8015"/>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3600" w:h="160" w:wrap="auto" w:vAnchor="page" w:hAnchor="page" w:x="1380" w:y="8407"/>
        <w:rPr>
          <w:rFonts w:ascii="Arial" w:cs="Arial" w:eastAsia="Arial" w:hAnsi="Arial"/>
          <w:sz w:val="16"/>
          <w:szCs w:val="16"/>
          <w:color w:val="auto"/>
        </w:rPr>
      </w:pPr>
      <w:r>
        <w:rPr>
          <w:rFonts w:ascii="Arial" w:cs="Arial" w:eastAsia="Arial" w:hAnsi="Arial"/>
          <w:sz w:val="16"/>
          <w:szCs w:val="16"/>
          <w:color w:val="auto"/>
        </w:rPr>
        <w:t>XBRL Taxonomy Extension Schema Document.</w:t>
      </w:r>
    </w:p>
    <w:p>
      <w:pPr>
        <w:spacing w:after="0" w:line="338" w:lineRule="auto"/>
        <w:framePr w:w="4560" w:h="552" w:wrap="auto" w:vAnchor="page" w:hAnchor="page" w:x="1380" w:y="8799"/>
        <w:rPr>
          <w:rFonts w:ascii="Arial" w:cs="Arial" w:eastAsia="Arial" w:hAnsi="Arial"/>
          <w:sz w:val="17"/>
          <w:szCs w:val="17"/>
          <w:color w:val="auto"/>
        </w:rPr>
      </w:pPr>
      <w:r>
        <w:rPr>
          <w:rFonts w:ascii="Arial" w:cs="Arial" w:eastAsia="Arial" w:hAnsi="Arial"/>
          <w:sz w:val="17"/>
          <w:szCs w:val="17"/>
          <w:color w:val="auto"/>
        </w:rPr>
        <w:t>XBRL Taxonomy Extension Calculation Linkbase Document. XBRL Taxonomy Extension Definition Linkbase.</w:t>
      </w:r>
    </w:p>
    <w:p>
      <w:pPr>
        <w:spacing w:after="0" w:line="360" w:lineRule="auto"/>
        <w:framePr w:w="4620" w:h="552" w:wrap="auto" w:vAnchor="page" w:hAnchor="page" w:x="1380" w:y="9582"/>
        <w:rPr>
          <w:rFonts w:ascii="Arial" w:cs="Arial" w:eastAsia="Arial" w:hAnsi="Arial"/>
          <w:sz w:val="16"/>
          <w:szCs w:val="16"/>
          <w:color w:val="auto"/>
        </w:rPr>
      </w:pPr>
      <w:r>
        <w:rPr>
          <w:rFonts w:ascii="Arial" w:cs="Arial" w:eastAsia="Arial" w:hAnsi="Arial"/>
          <w:sz w:val="16"/>
          <w:szCs w:val="16"/>
          <w:color w:val="auto"/>
        </w:rPr>
        <w:t>XBRL Taxonomy Extension Label Linkbase Document. XBRL Taxonomy Extension Presentation Linkbase Document.</w:t>
      </w: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rFonts w:ascii="Arial" w:cs="Arial" w:eastAsia="Arial" w:hAnsi="Arial"/>
          <w:sz w:val="16"/>
          <w:szCs w:val="16"/>
          <w:color w:val="auto"/>
        </w:rPr>
      </w:pPr>
    </w:p>
    <w:p>
      <w:pPr>
        <w:ind w:right="260" w:firstLine="324"/>
        <w:spacing w:after="0" w:line="277" w:lineRule="auto"/>
        <w:rPr>
          <w:sz w:val="20"/>
          <w:szCs w:val="20"/>
          <w:color w:val="auto"/>
        </w:rPr>
      </w:pPr>
      <w:r>
        <w:rPr>
          <w:rFonts w:ascii="Arial" w:cs="Arial" w:eastAsia="Arial" w:hAnsi="Arial"/>
          <w:sz w:val="18"/>
          <w:szCs w:val="18"/>
          <w:color w:val="auto"/>
        </w:rPr>
        <w:t>Since our 2016 Form 10-K, there have been no material developments in legal proceedings in which we are involved. See Note 10, Commitments and Contingencies to the condensed consolidated financial statements included in this Quarterly Report on Form 10-Q.</w:t>
      </w:r>
    </w:p>
    <w:p>
      <w:pPr>
        <w:spacing w:after="0" w:line="1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rFonts w:ascii="Arial" w:cs="Arial" w:eastAsia="Arial" w:hAnsi="Arial"/>
          <w:sz w:val="16"/>
          <w:szCs w:val="16"/>
          <w:color w:val="auto"/>
        </w:rPr>
      </w:pPr>
    </w:p>
    <w:p>
      <w:pPr>
        <w:ind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March 31, 2017.</w:t>
      </w:r>
    </w:p>
    <w:p>
      <w:pPr>
        <w:spacing w:after="0" w:line="225"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2017 to January 31, 2017</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565,443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565,443</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245,842,819</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February 1, 2017 to February 28, 2017</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342,485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342,485</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226,613,051</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2017 to March 31, 2017</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707,458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58.34</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707,458</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185,339,837</w:t>
            </w:r>
          </w:p>
        </w:tc>
      </w:tr>
      <w:tr>
        <w:trPr>
          <w:trHeight w:val="25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1,615,386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1,615,386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62"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Executive Officer pursuant to Section 302 of the Sarbanes-Oxley Act of 2002.</w:t>
              </w:r>
            </w:hyperlink>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7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20" w:hanging="1145"/>
        <w:spacing w:after="0" w:line="277" w:lineRule="auto"/>
        <w:tabs>
          <w:tab w:leader="none" w:pos="1180" w:val="left"/>
        </w:tabs>
        <w:numPr>
          <w:ilvl w:val="0"/>
          <w:numId w:val="11"/>
        </w:numPr>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Section 1350.</w:t>
        </w:r>
      </w:hyperlink>
    </w:p>
    <w:p>
      <w:pPr>
        <w:spacing w:after="0" w:line="130"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101.SCH</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72"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March 31, 2017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2019-12-29T06:09:56Z</dcterms:created>
  <dcterms:modified xsi:type="dcterms:W3CDTF">2019-12-29T06:09:56Z</dcterms:modified>
</cp:coreProperties>
</file>