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 (June 16, 2026)</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360"/>
        </w:trPr>
        <w:tc>
          <w:tcPr>
            <w:tcW w:w="2040" w:type="dxa"/>
            <w:vAlign w:val="bottom"/>
          </w:tcPr>
          <w:p>
            <w:pPr>
              <w:spacing w:after="0"/>
              <w:rPr>
                <w:sz w:val="24"/>
                <w:szCs w:val="24"/>
                <w:color w:val="auto"/>
              </w:rPr>
            </w:pPr>
          </w:p>
        </w:tc>
        <w:tc>
          <w:tcPr>
            <w:tcW w:w="4360" w:type="dxa"/>
            <w:vAlign w:val="bottom"/>
            <w:gridSpan w:val="2"/>
          </w:tcPr>
          <w:p>
            <w:pPr>
              <w:jc w:val="center"/>
              <w:ind w:left="948"/>
              <w:spacing w:after="0"/>
              <w:rPr>
                <w:sz w:val="20"/>
                <w:szCs w:val="20"/>
                <w:color w:val="auto"/>
              </w:rPr>
            </w:pPr>
            <w:r>
              <w:rPr>
                <w:rFonts w:ascii="Times New Roman" w:cs="Times New Roman" w:eastAsia="Times New Roman" w:hAnsi="Times New Roman"/>
                <w:sz w:val="29"/>
                <w:szCs w:val="29"/>
                <w:b w:val="1"/>
                <w:bCs w:val="1"/>
                <w:color w:val="auto"/>
                <w:w w:val="99"/>
              </w:rPr>
              <w:t>AMC Global Media Inc.</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7380" w:type="dxa"/>
            <w:vAlign w:val="bottom"/>
            <w:gridSpan w:val="4"/>
          </w:tcPr>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0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r>
        <w:trPr>
          <w:trHeight w:val="387"/>
        </w:trPr>
        <w:tc>
          <w:tcPr>
            <w:tcW w:w="374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660" w:type="dxa"/>
            <w:vAlign w:val="bottom"/>
          </w:tcPr>
          <w:p>
            <w:pPr>
              <w:spacing w:after="0"/>
              <w:rPr>
                <w:sz w:val="24"/>
                <w:szCs w:val="24"/>
                <w:color w:val="auto"/>
              </w:rPr>
            </w:pPr>
          </w:p>
        </w:tc>
        <w:tc>
          <w:tcPr>
            <w:tcW w:w="3020" w:type="dxa"/>
            <w:vAlign w:val="bottom"/>
            <w:gridSpan w:val="2"/>
          </w:tcPr>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740" w:type="dxa"/>
            <w:vAlign w:val="bottom"/>
            <w:gridSpan w:val="2"/>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spacing w:after="0"/>
              <w:rPr>
                <w:sz w:val="12"/>
                <w:szCs w:val="12"/>
                <w:color w:val="auto"/>
              </w:rPr>
            </w:pPr>
          </w:p>
        </w:tc>
        <w:tc>
          <w:tcPr>
            <w:tcW w:w="302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spacing w:after="0"/>
              <w:rPr>
                <w:sz w:val="16"/>
                <w:szCs w:val="16"/>
                <w:color w:val="auto"/>
              </w:rPr>
            </w:pPr>
          </w:p>
        </w:tc>
        <w:tc>
          <w:tcPr>
            <w:tcW w:w="30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740" w:type="dxa"/>
            <w:vAlign w:val="bottom"/>
            <w:gridSpan w:val="2"/>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37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1920" w:type="dxa"/>
            <w:vAlign w:val="bottom"/>
          </w:tcPr>
          <w:p>
            <w:pPr>
              <w:spacing w:after="0"/>
              <w:rPr>
                <w:sz w:val="19"/>
                <w:szCs w:val="19"/>
                <w:color w:val="auto"/>
              </w:rPr>
            </w:pPr>
          </w:p>
        </w:tc>
      </w:tr>
      <w:tr>
        <w:trPr>
          <w:trHeight w:val="190"/>
        </w:trPr>
        <w:tc>
          <w:tcPr>
            <w:tcW w:w="374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spacing w:after="0"/>
              <w:rPr>
                <w:sz w:val="16"/>
                <w:szCs w:val="16"/>
                <w:color w:val="auto"/>
              </w:rPr>
            </w:pPr>
          </w:p>
        </w:tc>
        <w:tc>
          <w:tcPr>
            <w:tcW w:w="302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60" w:type="dxa"/>
            <w:vAlign w:val="bottom"/>
          </w:tcPr>
          <w:p>
            <w:pPr>
              <w:jc w:val="center"/>
              <w:ind w:right="576"/>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4360" w:type="dxa"/>
            <w:vAlign w:val="bottom"/>
            <w:gridSpan w:val="2"/>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662"/>
        </w:trPr>
        <w:tc>
          <w:tcPr>
            <w:tcW w:w="2040" w:type="dxa"/>
            <w:vAlign w:val="bottom"/>
          </w:tcPr>
          <w:p>
            <w:pPr>
              <w:spacing w:after="0"/>
              <w:rPr>
                <w:sz w:val="24"/>
                <w:szCs w:val="24"/>
                <w:color w:val="auto"/>
              </w:rPr>
            </w:pPr>
          </w:p>
        </w:tc>
        <w:tc>
          <w:tcPr>
            <w:tcW w:w="7380" w:type="dxa"/>
            <w:vAlign w:val="bottom"/>
            <w:gridSpan w:val="4"/>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740" w:type="dxa"/>
            <w:vAlign w:val="bottom"/>
            <w:gridSpan w:val="2"/>
          </w:tcPr>
          <w:p>
            <w:pPr>
              <w:jc w:val="center"/>
              <w:ind w:right="34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60" w:type="dxa"/>
            <w:vAlign w:val="bottom"/>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740" w:type="dxa"/>
            <w:vAlign w:val="bottom"/>
            <w:gridSpan w:val="2"/>
          </w:tcPr>
          <w:p>
            <w:pPr>
              <w:jc w:val="center"/>
              <w:ind w:right="368"/>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660" w:type="dxa"/>
            <w:vAlign w:val="bottom"/>
          </w:tcPr>
          <w:p>
            <w:pPr>
              <w:jc w:val="center"/>
              <w:ind w:right="416"/>
              <w:spacing w:after="0"/>
              <w:rPr>
                <w:sz w:val="20"/>
                <w:szCs w:val="20"/>
                <w:color w:val="auto"/>
              </w:rPr>
            </w:pPr>
            <w:r>
              <w:rPr>
                <w:rFonts w:ascii="Times New Roman" w:cs="Times New Roman" w:eastAsia="Times New Roman" w:hAnsi="Times New Roman"/>
                <w:sz w:val="16"/>
                <w:szCs w:val="16"/>
                <w:color w:val="auto"/>
                <w:w w:val="99"/>
              </w:rPr>
              <w:t>AMCX</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0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Appointment of Chief Financial Officer and Entry into Employment Agreement</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June 16, 2026, the Board of Directors (the “Board”) of AMC Global Media Inc. (the “Company”) appointed Hozefa Lokhandwala, age 51, as Executive Vice President and Chief Financial Officer of the Company, effective as of June 16, 2026. Mr. Lokhandwala previously served as an Independent Director for MSG Networks from 2024 to 2025. Prior to that, Mr. Lokhandwala served as Co-Chief Executive Officer of VICE Media Group in 2023, having previously held the position of Chief Strategy Officer from 2018 to 2023. Before joining VICE Media Group, Mr. Lokhandwala served as a Managing Director in the Media Investment Banking Group at J.P. Morgan for over twelve years, where as Head of Content &amp; Entertainment Investment Banking he advised media clients on mergers and acquisitions, capital markets and corporate finance matters across diversified media, programming networks, film and entertainment, gaming, music and digital media. Before joining J.P. Morgan, he was an investment banker in the Media &amp; Entertainment group at Bear Stearns and worked in the Business &amp; Finance group at Morgan Lewis, where he advised clients on mergers and acquisitions and financing transactions. He holds an M.B.A. from Columbia Business School, a J.D. from Brooklyn Law School, and a B.A. from Oberlin College. He also serves on the Board of Trustees for Oberlin College, including as Chair of the Risk Management &amp; Audit Committee.</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Mr. Lokhandwala’s appointment as Executive Vice President and Chief Financial Officer of the Company, Mr. Lokhandwala and the Company entered into an employment agreement dated June 16, 2026 (the “CFO Employment Agreement”), which becomes effective as of the date thereof (the “CFO Effective Date”) and expires on June 30, 2029 (the “CFO Expiration Date”). The CFO Employment Agreement provides a minimum annual base salary of $750,000 (subject to annual review and potential increase in the discretion of the Compensation Committee of the Board of Directors of the Company (the “Compensation Committee”)). The CFO Employment Agreement also provides for an annual target bonus opportunity equal to 100% of actual salary dollars paid during the applicable year. The CFO Employment Agreement provides that Mr. Lokhandwala will participate, subject to his continued employment by the Company, in such long-term equity and other incentive programs that are made available in the future to similarly-situated executives of the Company. For each award cycle during the term of the CFO Employment Agreement, it is expected that Mr. Lokhandwala will receive annual grants of cash and/or equity awards with an annual aggregate target value of not less than $750,000. In addition, pursuant to the CFO Employment Agreement, on June 16, 2026, Mr. Lokhandwala received a pro-rated grant of long-term incentive awards for 2026 with a total target value of $375,000 consisting of (i) an award of restricted stock units with aggregate grant date fair value of $187,500 and (ii) a cash performance award with a target value of $187,500, which awards will vest in accordance with the vesting schedule applicable to previously approved 2026 long-term incentive awards granted to similarly-situated executives of the Company. Mr. Lokhandwala is eligible to participate in the Company’s standard benefit programs, subject to meeting the relevant eligibility requirements, payment of required premiums and the terms of the plans.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prior to the CFO Expiration Date, Mr. Lokhandwala’s employment with the Company is terminated (i) by the Company other than for cause or</w:t>
      </w:r>
    </w:p>
    <w:p>
      <w:pPr>
        <w:spacing w:after="0" w:line="27" w:lineRule="exact"/>
        <w:rPr>
          <w:sz w:val="20"/>
          <w:szCs w:val="20"/>
          <w:color w:val="auto"/>
        </w:rPr>
      </w:pPr>
    </w:p>
    <w:p>
      <w:pPr>
        <w:jc w:val="both"/>
        <w:ind w:firstLine="8"/>
        <w:spacing w:after="0" w:line="251"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Mr. Lokhandwala for good reason and so long as cause does not then exist, then, subject to Mr. Lokhandwala’s execution of a severance agreement (including an effective release of claims), the Company will provide Mr. Lokhandwala with the following benefits and rights: (a) a cash severance payment in an amount determined by the Compensation Committee, but in no event less than two times the sum of Mr. Lokhandwala’s annual base salary and annual target bonus; (b) a prorated annual bonus for the year of termination and any unpaid annual bonus for the preceding year; (c) each of Mr. Lokhandwala’s outstanding long-term cash incentive awards and performance-based RSUs will immediately vest in full and be payable to the same extent that other similarly-situated executives receive payment; (d) each of Mr. Lokhandwala’s outstanding time-vested restricted stock or RSUs awards granted under plans of the Company generally will continue to vest in accordance with its original vesting schedule; and (e) each of Mr. Lokhandwala’s outstanding stock options and stock appreciation awards, if any, will continue to vest in accordance with their original vesting schedule and he will have the right to exercise each of such options and awards for the remainder of the term of such option or award.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Mr. Lokhandwala ceases to be an employee of the Company prior to the CFO Expiration Date as a result of his death or physical or mental disability, and at such time cause does not exist, then, subject to Mr. Lokhandwala’s execution of a severance agreement (other than in the case of death), he or his estate or beneficiary will be provided with the benefits and rights set forth in clause (b) above and each of Mr. Lokhandwala’s outstanding equity, cash incentive, stock option, and stock appreciation awards will vest and pay in full, whether or not subject to performance criteria; provided that if any such award is subject to performance criteria, then (i) if the measurement period for such performance criteria has not yet been fully completed, then the payment amount will be at the target amount for such award and (ii) if the measurement period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criteria has already been fully completed, then the payment amount of such award will be to the same extent that other similarly-situated executives at the Company receive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CFO Employment Agreement contains certain covenants by Mr. Lokhandwala, including a noncompetition agreement that restricts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Lokhandwala’s ability to engage in competitive activities until the first anniversary of the termination of his employment with the Company, if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Lokhandwala’s employment terminates prior to the CFO Expiration Date.</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CFO Employment Agreement is not complete and is qualified in its entirety by reference to the full text of the CFO Employment Agreement, which the Company has filed as an exhibit to this Current Report on Form 8-K.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Employment Agreement with Michael J. Sherin III, Executive Vice President and Chief Accounting Officer</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16, 2026, the Company entered into a new employment agreement with Michael J. Sherin III to continue to serve as the Company’s Executive Vice President and Chief Accounting Officer (the “CAO Employment Agreement”), effective as of June 16, 2026 (the “Effective Date”) through August 15, 2029 (the “CAO Expiration Date”). The CAO Employment Agreement provides a minimum annual base salary of $475,000, retroactive to April 1, 2026 (subject to annual review and potential increase in the discretion of the Compensation Committee of the Board of Directors of the Company (the “Compensation Committee”)). The CAO Employment Agreement also provides for an annual target bonus opportunity equal to 45% of actual salary dollars paid during the applicable year, retroactive to April 1, 2026. The CAO Employment Agreement provides that Mr. Sherin will continue to participate, subject to his continued employment by the Company, in such long-term equity and other incentive programs that are made available in the future to similarly-situated executives of the Company. For each award cycle during the term of the CAO Employment Agreement, it is expected that Mr. Sherin will receive annual grants of cash and/or equity awards with an annual aggregate target value of not less than $400,000. In addition, pursuant to the CFO Employment Agreement, in October 2026, Mr. Sherin will be recommended to the Compensation Committee to receive additional grants of long-term incentive awards for 2026 with a total target value of $60,000 consisting of (i) an award of restricted stock units with aggregate grant date fair value of $30,000 and (ii) a cash performance award with a target value of $30,000, which awards will vest in accordance with the vesting schedule applicable to Mr. Sherin’s previously approved 2026 long-term incentive awards. Mr. Sherin remains eligible to participate in the Company’s standard benefit programs, subject to meeting the relevant eligibility requirements, payment of required premiums and the terms of the plans.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prior to the CAO Expiration Date, Mr. Sherin’s employment with the Company is terminated by the Company other than for cause, then, subject to Mr. Sherin’s execution of a severance agreement (including an effective release of claims), the Company will provide Mr. Sherin with the following benefits and rights: (a) a cash severance payment in an amount determined by the Compensation Committee, but in no event less than one and one-half times the sum of Mr. Sherin’s annual base salary and annual target bonus and (b) a prorated annual bonus for the year of termination and any unpaid annual bonus for the preceding year.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CAO Employment Agreement contains certain covenants by Mr. Sherin, including a noncompetition agreement that restricts Mr. Sherin’s ability to engage in competitive activities until the first anniversary of the termination of his employment with the Company, if Mr. Sherin’s employment terminates prior to the CAO Expiration Date.</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CAO Employment Agreement is not complete and is qualified in its entirety by reference to the full text of the CAO Employment Agreement, which the Company has filed as an exhibit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2382520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160" w:firstLine="8"/>
        <w:spacing w:after="0" w:line="245" w:lineRule="auto"/>
        <w:tabs>
          <w:tab w:leader="none" w:pos="3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annual meeting of stockholders (the “Annual Meeting”) on June 16, 2026. In accordance with the Company’s amended and restated certificate of incorporation as then in effect, the Class A stockholders have one vote per share and the Class B stockholders have ten votes per share. The proposals are described in detail in the Company’s proxy statement on Schedule 14A for the Annual Meeting filed with the U.S. Securities and Exchange Commission on April 30, 2026.</w:t>
      </w:r>
    </w:p>
    <w:p>
      <w:pPr>
        <w:spacing w:after="0" w:line="20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 The final results for the votes regarding each proposal are set forth below.</w:t>
      </w:r>
    </w:p>
    <w:p>
      <w:pPr>
        <w:spacing w:after="0" w:line="266" w:lineRule="exact"/>
        <w:rPr>
          <w:sz w:val="20"/>
          <w:szCs w:val="20"/>
          <w:color w:val="auto"/>
        </w:rPr>
      </w:pPr>
    </w:p>
    <w:p>
      <w:pPr>
        <w:ind w:right="140" w:firstLine="8"/>
        <w:spacing w:after="0" w:line="232" w:lineRule="auto"/>
        <w:tabs>
          <w:tab w:leader="none" w:pos="34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Class A stockholders elected the three directors listed below to the Board of Directors, each for a one-year term. The votes regarding this proposal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14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For</w:t>
            </w: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Withheld</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Broker</w:t>
            </w:r>
          </w:p>
        </w:tc>
        <w:tc>
          <w:tcPr>
            <w:tcW w:w="0" w:type="dxa"/>
            <w:vAlign w:val="bottom"/>
          </w:tcPr>
          <w:p>
            <w:pPr>
              <w:spacing w:after="0"/>
              <w:rPr>
                <w:sz w:val="1"/>
                <w:szCs w:val="1"/>
                <w:color w:val="auto"/>
              </w:rPr>
            </w:pPr>
          </w:p>
        </w:tc>
      </w:tr>
      <w:tr>
        <w:trPr>
          <w:trHeight w:val="179"/>
        </w:trPr>
        <w:tc>
          <w:tcPr>
            <w:tcW w:w="70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Non-Votes</w:t>
            </w:r>
          </w:p>
        </w:tc>
        <w:tc>
          <w:tcPr>
            <w:tcW w:w="0" w:type="dxa"/>
            <w:vAlign w:val="bottom"/>
          </w:tcPr>
          <w:p>
            <w:pPr>
              <w:spacing w:after="0"/>
              <w:rPr>
                <w:sz w:val="1"/>
                <w:szCs w:val="1"/>
                <w:color w:val="auto"/>
              </w:rPr>
            </w:pPr>
          </w:p>
        </w:tc>
      </w:tr>
      <w:tr>
        <w:trPr>
          <w:trHeight w:val="230"/>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C. Blank</w:t>
            </w: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12,124,766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9,680,178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5,599,838</w:t>
            </w:r>
          </w:p>
        </w:tc>
        <w:tc>
          <w:tcPr>
            <w:tcW w:w="0" w:type="dxa"/>
            <w:vAlign w:val="bottom"/>
          </w:tcPr>
          <w:p>
            <w:pPr>
              <w:spacing w:after="0"/>
              <w:rPr>
                <w:sz w:val="1"/>
                <w:szCs w:val="1"/>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G. Perelman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12,137,870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9,667,074</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5,599,838</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E. Vogel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5,853,965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15,950,979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5,599,838</w:t>
            </w:r>
          </w:p>
        </w:tc>
        <w:tc>
          <w:tcPr>
            <w:tcW w:w="0" w:type="dxa"/>
            <w:vAlign w:val="bottom"/>
          </w:tcPr>
          <w:p>
            <w:pPr>
              <w:spacing w:after="0"/>
              <w:rPr>
                <w:sz w:val="1"/>
                <w:szCs w:val="1"/>
                <w:color w:val="auto"/>
              </w:rPr>
            </w:pPr>
          </w:p>
        </w:tc>
      </w:tr>
      <w:tr>
        <w:trPr>
          <w:trHeight w:val="22"/>
        </w:trPr>
        <w:tc>
          <w:tcPr>
            <w:tcW w:w="7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Class B stockholders elected the seven directors listed below to the Board of Directors, each for a one-year term. The votes regarding this proposal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Broker</w:t>
            </w:r>
          </w:p>
        </w:tc>
      </w:tr>
      <w:tr>
        <w:trPr>
          <w:trHeight w:val="186"/>
        </w:trPr>
        <w:tc>
          <w:tcPr>
            <w:tcW w:w="704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Withheld</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Non-Votes</w:t>
            </w:r>
          </w:p>
        </w:tc>
      </w:tr>
      <w:tr>
        <w:trPr>
          <w:trHeight w:val="237"/>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Dolan</w:t>
            </w: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Cox</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Aidan J. Dolan</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Dolan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C. Dolan</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Sweeney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 Tese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114,844,080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70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580" w:firstLine="8"/>
        <w:spacing w:after="0" w:line="250" w:lineRule="auto"/>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ratified the appointment of KPMG LLP as the Company’s independent registered public accounting firm for the 2026 fiscal year. The votes regarding this proposal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244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For</w:t>
            </w:r>
          </w:p>
        </w:tc>
        <w:tc>
          <w:tcPr>
            <w:tcW w:w="30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3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48"/>
        </w:trPr>
        <w:tc>
          <w:tcPr>
            <w:tcW w:w="10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34"/>
        </w:trPr>
        <w:tc>
          <w:tcPr>
            <w:tcW w:w="3500" w:type="dxa"/>
            <w:vAlign w:val="bottom"/>
            <w:gridSpan w:val="3"/>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rPr>
              <w:t>142,138,711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98,835</w:t>
            </w:r>
          </w:p>
        </w:tc>
        <w:tc>
          <w:tcPr>
            <w:tcW w:w="24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spacing w:after="0"/>
              <w:rPr>
                <w:sz w:val="20"/>
                <w:szCs w:val="20"/>
                <w:color w:val="auto"/>
              </w:rPr>
            </w:pPr>
          </w:p>
        </w:tc>
      </w:tr>
      <w:tr>
        <w:trPr>
          <w:trHeight w:val="22"/>
        </w:trPr>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320" w:firstLine="8"/>
        <w:spacing w:after="0" w:line="266" w:lineRule="auto"/>
        <w:tabs>
          <w:tab w:leader="none" w:pos="3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on an advisory basis (non-binding), the compensation of the Company’s Named Executive Officers. The votes regarding this proposal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For</w:t>
            </w:r>
          </w:p>
        </w:tc>
        <w:tc>
          <w:tcPr>
            <w:tcW w:w="1000" w:type="dxa"/>
            <w:vAlign w:val="bottom"/>
          </w:tcPr>
          <w:p>
            <w:pPr>
              <w:spacing w:after="0"/>
              <w:rPr>
                <w:sz w:val="18"/>
                <w:szCs w:val="18"/>
                <w:color w:val="auto"/>
              </w:rPr>
            </w:pPr>
          </w:p>
        </w:tc>
        <w:tc>
          <w:tcPr>
            <w:tcW w:w="30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3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48"/>
        </w:trPr>
        <w:tc>
          <w:tcPr>
            <w:tcW w:w="10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34"/>
        </w:trPr>
        <w:tc>
          <w:tcPr>
            <w:tcW w:w="25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121,381,952</w:t>
            </w:r>
          </w:p>
        </w:tc>
        <w:tc>
          <w:tcPr>
            <w:tcW w:w="4000" w:type="dxa"/>
            <w:vAlign w:val="bottom"/>
            <w:gridSpan w:val="3"/>
            <w:shd w:val="clear" w:color="auto" w:fill="CCEEFF"/>
          </w:tcPr>
          <w:p>
            <w:pPr>
              <w:jc w:val="right"/>
              <w:ind w:right="2320"/>
              <w:spacing w:after="0"/>
              <w:rPr>
                <w:sz w:val="20"/>
                <w:szCs w:val="20"/>
                <w:color w:val="auto"/>
              </w:rPr>
            </w:pPr>
            <w:r>
              <w:rPr>
                <w:rFonts w:ascii="Times New Roman" w:cs="Times New Roman" w:eastAsia="Times New Roman" w:hAnsi="Times New Roman"/>
                <w:sz w:val="18"/>
                <w:szCs w:val="18"/>
                <w:color w:val="auto"/>
              </w:rPr>
              <w:t>15,219,121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10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5,599,838</w:t>
            </w:r>
          </w:p>
        </w:tc>
        <w:tc>
          <w:tcPr>
            <w:tcW w:w="700" w:type="dxa"/>
            <w:vAlign w:val="bottom"/>
            <w:shd w:val="clear" w:color="auto" w:fill="CCEEFF"/>
          </w:tcPr>
          <w:p>
            <w:pPr>
              <w:spacing w:after="0"/>
              <w:rPr>
                <w:sz w:val="20"/>
                <w:szCs w:val="20"/>
                <w:color w:val="auto"/>
              </w:rPr>
            </w:pPr>
          </w:p>
        </w:tc>
      </w:tr>
      <w:tr>
        <w:trPr>
          <w:trHeight w:val="22"/>
        </w:trPr>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80" w:firstLine="8"/>
        <w:spacing w:after="0" w:line="250" w:lineRule="auto"/>
        <w:tabs>
          <w:tab w:leader="none" w:pos="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a proposal recommending the Company’s Amended and Restated 2011 Stock Plan for Non-Employee Directors. The votes regarding this proposal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For</w:t>
            </w:r>
          </w:p>
        </w:tc>
        <w:tc>
          <w:tcPr>
            <w:tcW w:w="960" w:type="dxa"/>
            <w:vAlign w:val="bottom"/>
          </w:tcPr>
          <w:p>
            <w:pPr>
              <w:spacing w:after="0"/>
              <w:rPr>
                <w:sz w:val="18"/>
                <w:szCs w:val="18"/>
                <w:color w:val="auto"/>
              </w:rPr>
            </w:pPr>
          </w:p>
        </w:tc>
        <w:tc>
          <w:tcPr>
            <w:tcW w:w="300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Against</w:t>
            </w:r>
          </w:p>
        </w:tc>
        <w:tc>
          <w:tcPr>
            <w:tcW w:w="16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Abstain</w:t>
            </w:r>
          </w:p>
        </w:tc>
        <w:tc>
          <w:tcPr>
            <w:tcW w:w="31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48"/>
        </w:trPr>
        <w:tc>
          <w:tcPr>
            <w:tcW w:w="10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36"/>
        </w:trPr>
        <w:tc>
          <w:tcPr>
            <w:tcW w:w="254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132,943,297</w:t>
            </w:r>
          </w:p>
        </w:tc>
        <w:tc>
          <w:tcPr>
            <w:tcW w:w="3960" w:type="dxa"/>
            <w:vAlign w:val="bottom"/>
            <w:tcBorders>
              <w:bottom w:val="single" w:sz="8" w:color="CCEEFF"/>
            </w:tcBorders>
            <w:gridSpan w:val="3"/>
            <w:shd w:val="clear" w:color="auto" w:fill="CCEEFF"/>
          </w:tcPr>
          <w:p>
            <w:pPr>
              <w:jc w:val="right"/>
              <w:ind w:right="2360"/>
              <w:spacing w:after="0"/>
              <w:rPr>
                <w:sz w:val="20"/>
                <w:szCs w:val="20"/>
                <w:color w:val="auto"/>
              </w:rPr>
            </w:pPr>
            <w:r>
              <w:rPr>
                <w:rFonts w:ascii="Times New Roman" w:cs="Times New Roman" w:eastAsia="Times New Roman" w:hAnsi="Times New Roman"/>
                <w:sz w:val="18"/>
                <w:szCs w:val="18"/>
                <w:color w:val="auto"/>
              </w:rPr>
              <w:t>3,695,457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08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5,599,838</w:t>
            </w:r>
          </w:p>
        </w:tc>
        <w:tc>
          <w:tcPr>
            <w:tcW w:w="700" w:type="dxa"/>
            <w:vAlign w:val="bottom"/>
            <w:tcBorders>
              <w:bottom w:val="single" w:sz="8" w:color="CCEEFF"/>
            </w:tcBorders>
            <w:shd w:val="clear" w:color="auto" w:fill="CCEEFF"/>
          </w:tcPr>
          <w:p>
            <w:pPr>
              <w:spacing w:after="0"/>
              <w:rPr>
                <w:sz w:val="20"/>
                <w:szCs w:val="20"/>
                <w:color w:val="auto"/>
              </w:rPr>
            </w:pPr>
          </w:p>
        </w:tc>
      </w:tr>
      <w:tr>
        <w:trPr>
          <w:trHeight w:val="1222"/>
        </w:trPr>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3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w:t>
            </w:r>
          </w:p>
        </w:tc>
      </w:tr>
      <w:tr>
        <w:trPr>
          <w:trHeight w:val="20"/>
        </w:trPr>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80" w:type="dxa"/>
            <w:vAlign w:val="bottom"/>
          </w:tcPr>
          <w:p>
            <w:pPr>
              <w:spacing w:after="0"/>
              <w:rPr>
                <w:sz w:val="18"/>
                <w:szCs w:val="18"/>
                <w:color w:val="auto"/>
              </w:rPr>
            </w:pPr>
          </w:p>
        </w:tc>
        <w:tc>
          <w:tcPr>
            <w:tcW w:w="8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CFO Employment Agreement, dated June 16, 2026, by and between AMC Global Media Inc. and Hozefa Lokhandwala.</w:t>
            </w:r>
          </w:p>
        </w:tc>
        <w:tc>
          <w:tcPr>
            <w:tcW w:w="920" w:type="dxa"/>
            <w:vAlign w:val="bottom"/>
          </w:tcPr>
          <w:p>
            <w:pPr>
              <w:spacing w:after="0"/>
              <w:rPr>
                <w:sz w:val="18"/>
                <w:szCs w:val="18"/>
                <w:color w:val="auto"/>
              </w:rPr>
            </w:pPr>
          </w:p>
        </w:tc>
      </w:tr>
      <w:tr>
        <w:trPr>
          <w:trHeight w:val="209"/>
        </w:trPr>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10.2</w:t>
            </w:r>
          </w:p>
        </w:tc>
        <w:tc>
          <w:tcPr>
            <w:tcW w:w="380" w:type="dxa"/>
            <w:vAlign w:val="bottom"/>
          </w:tcPr>
          <w:p>
            <w:pPr>
              <w:spacing w:after="0"/>
              <w:rPr>
                <w:sz w:val="18"/>
                <w:szCs w:val="18"/>
                <w:color w:val="auto"/>
              </w:rPr>
            </w:pPr>
          </w:p>
        </w:tc>
        <w:tc>
          <w:tcPr>
            <w:tcW w:w="8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CAO Employment Agreement, dated June 16, 2026, by and between AMC Global Media Inc. and Michael J. Sherin III.</w:t>
            </w:r>
          </w:p>
        </w:tc>
        <w:tc>
          <w:tcPr>
            <w:tcW w:w="940" w:type="dxa"/>
            <w:vAlign w:val="bottom"/>
            <w:gridSpan w:val="2"/>
          </w:tcPr>
          <w:p>
            <w:pPr>
              <w:spacing w:after="0"/>
              <w:rPr>
                <w:sz w:val="18"/>
                <w:szCs w:val="18"/>
                <w:color w:val="auto"/>
              </w:rPr>
            </w:pPr>
          </w:p>
        </w:tc>
      </w:tr>
      <w:tr>
        <w:trPr>
          <w:trHeight w:val="250"/>
        </w:trPr>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104</w:t>
            </w:r>
          </w:p>
        </w:tc>
        <w:tc>
          <w:tcPr>
            <w:tcW w:w="380" w:type="dxa"/>
            <w:vAlign w:val="bottom"/>
          </w:tcPr>
          <w:p>
            <w:pPr>
              <w:spacing w:after="0"/>
              <w:rPr>
                <w:sz w:val="21"/>
                <w:szCs w:val="21"/>
                <w:color w:val="auto"/>
              </w:rPr>
            </w:pPr>
          </w:p>
        </w:tc>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Global Media Inc.</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7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Anne G. Kelly</w:t>
            </w:r>
          </w:p>
        </w:tc>
      </w:tr>
      <w:tr>
        <w:trPr>
          <w:trHeight w:val="218"/>
        </w:trPr>
        <w:tc>
          <w:tcPr>
            <w:tcW w:w="3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Anne G. Kelly</w:t>
            </w:r>
          </w:p>
        </w:tc>
      </w:tr>
      <w:tr>
        <w:trPr>
          <w:trHeight w:val="234"/>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Secretary</w:t>
            </w:r>
          </w:p>
        </w:tc>
      </w:tr>
    </w:tbl>
    <w:p>
      <w:pPr>
        <w:sectPr>
          <w:pgSz w:w="11900" w:h="16838" w:orient="portrait"/>
          <w:cols w:equalWidth="0" w:num="1">
            <w:col w:w="11240"/>
          </w:cols>
          <w:pgMar w:left="320" w:top="113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156845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June 16,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Hozefa Lokhandwala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AMC Global Media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209"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Employment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Hozefa:</w:t>
      </w:r>
    </w:p>
    <w:p>
      <w:pPr>
        <w:spacing w:after="0" w:line="21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22"/>
          <w:szCs w:val="22"/>
          <w:color w:val="auto"/>
        </w:rPr>
        <w:t>I am pleased to forward this letter agreement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effective as of the date hereof (the “</w:t>
      </w:r>
      <w:r>
        <w:rPr>
          <w:rFonts w:ascii="Times New Roman" w:cs="Times New Roman" w:eastAsia="Times New Roman" w:hAnsi="Times New Roman"/>
          <w:sz w:val="22"/>
          <w:szCs w:val="22"/>
          <w:i w:val="1"/>
          <w:iCs w:val="1"/>
          <w:u w:val="single" w:color="auto"/>
          <w:color w:val="auto"/>
        </w:rPr>
        <w:t>Effective Date</w:t>
      </w:r>
      <w:r>
        <w:rPr>
          <w:rFonts w:ascii="Times New Roman" w:cs="Times New Roman" w:eastAsia="Times New Roman" w:hAnsi="Times New Roman"/>
          <w:sz w:val="22"/>
          <w:szCs w:val="22"/>
          <w:color w:val="auto"/>
        </w:rPr>
        <w:t>”), which will confirm the terms of your employment by AMC Global Media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which employment shall commence on June 16, 2026, or such other date as the parties may agree (the “</w:t>
      </w:r>
      <w:r>
        <w:rPr>
          <w:rFonts w:ascii="Times New Roman" w:cs="Times New Roman" w:eastAsia="Times New Roman" w:hAnsi="Times New Roman"/>
          <w:sz w:val="22"/>
          <w:szCs w:val="22"/>
          <w:i w:val="1"/>
          <w:iCs w:val="1"/>
          <w:u w:val="single" w:color="auto"/>
          <w:color w:val="auto"/>
        </w:rPr>
        <w:t>Commencement Date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332"/>
        <w:spacing w:after="0" w:line="259" w:lineRule="auto"/>
        <w:tabs>
          <w:tab w:leader="none" w:pos="86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Duties.</w:t>
      </w:r>
      <w:r>
        <w:rPr>
          <w:rFonts w:ascii="Times New Roman" w:cs="Times New Roman" w:eastAsia="Times New Roman" w:hAnsi="Times New Roman"/>
          <w:sz w:val="21"/>
          <w:szCs w:val="21"/>
          <w:color w:val="auto"/>
        </w:rPr>
        <w:t xml:space="preserve"> Beginning on the Commencement Date, you will be employed by the Company as Executive Vice President and Chief Financial Officer. In this capacity, you will report to the Chief Executive Officer (the “</w:t>
      </w:r>
      <w:r>
        <w:rPr>
          <w:rFonts w:ascii="Times New Roman" w:cs="Times New Roman" w:eastAsia="Times New Roman" w:hAnsi="Times New Roman"/>
          <w:sz w:val="21"/>
          <w:szCs w:val="21"/>
          <w:i w:val="1"/>
          <w:iCs w:val="1"/>
          <w:color w:val="auto"/>
        </w:rPr>
        <w:t>CEO</w:t>
      </w:r>
      <w:r>
        <w:rPr>
          <w:rFonts w:ascii="Times New Roman" w:cs="Times New Roman" w:eastAsia="Times New Roman" w:hAnsi="Times New Roman"/>
          <w:sz w:val="21"/>
          <w:szCs w:val="21"/>
          <w:color w:val="auto"/>
        </w:rPr>
        <w:t>”) of the Company, including, without limitation, any interim CEO, or any successor entity. You agree to devote substantially all of your business time and attention to the business and affairs of the Company and to perform your duties in a diligent, competent and skillful manner and in accordance with applicable law; provided, that, to the extent such activities do not violate any terms of this Agreement or any Company policies, including, without limitation, the Company’s Code of Business Conduct and Ethics Policy, or interfere with your performance of your duties, services and responsibilities under this Agreement, you may participate or serve in your individual capacity: i) in educational, charitable, religious and civic organizations; ii) as a member of the board of directors or advisory board (or their equivalents in the case of a non-corporate entity) of non-competing businesses upon consent of the Company; or iii) on such other corporate or industry organization boards which have been approved in advance by the Company. The Company acknowledges and agrees that your participation in the activities set forth on Annex II hereto is preapproved as of the Effective Date. Except for the activities set forth on Annex II or otherwise approved by the Company pursuant to this Section 1, you agree that you shall, as soon as practicable following the Effective Date, and in any event no later than fifteen (15) business days thereafter, resign from any board of directors, advisory board or similar governing body position. The Company reserves the right to withdraw its approval of your participation on corporate or industry organization boards, with reasonable advance notice, if it determines, in its reasonable discretion, that your participation, or continued participation, is interfering, or may interfere, with your obligations to the Company or create a conflict of interest.</w:t>
      </w:r>
    </w:p>
    <w:p>
      <w:pPr>
        <w:sectPr>
          <w:pgSz w:w="11900" w:h="16838" w:orient="portrait"/>
          <w:cols w:equalWidth="0" w:num="1">
            <w:col w:w="11240"/>
          </w:cols>
          <w:pgMar w:left="320" w:top="1440" w:right="339" w:bottom="1440" w:gutter="0" w:footer="0" w:header="0"/>
        </w:sectPr>
      </w:pPr>
    </w:p>
    <w:bookmarkStart w:id="7" w:name="page8"/>
    <w:bookmarkEnd w:id="7"/>
    <w:p>
      <w:pPr>
        <w:ind w:firstLine="332"/>
        <w:spacing w:after="0" w:line="275" w:lineRule="auto"/>
        <w:tabs>
          <w:tab w:leader="none" w:pos="7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shall commence as of the Effective Date and shall automatically expire on June 30, 2029 (the “</w:t>
      </w: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332"/>
        <w:spacing w:after="0" w:line="256" w:lineRule="auto"/>
        <w:tabs>
          <w:tab w:leader="none" w:pos="82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Prior Restrictions</w:t>
      </w:r>
      <w:r>
        <w:rPr>
          <w:rFonts w:ascii="Times New Roman" w:cs="Times New Roman" w:eastAsia="Times New Roman" w:hAnsi="Times New Roman"/>
          <w:sz w:val="22"/>
          <w:szCs w:val="22"/>
          <w:color w:val="auto"/>
        </w:rPr>
        <w:t>. By signing this Agreement, you represent and warrant that you are aware of no obligations, contractual or otherwise, relating to a prior employer or any other entity for which you rendered services or with which you are or were affiliated which would prevent or prohibit you from accepting or commencing employment with the Company and/or performing fully your job responsibilities now or in the future.</w:t>
      </w:r>
    </w:p>
    <w:p>
      <w:pPr>
        <w:spacing w:after="0" w:line="176" w:lineRule="exact"/>
        <w:rPr>
          <w:rFonts w:ascii="Times New Roman" w:cs="Times New Roman" w:eastAsia="Times New Roman" w:hAnsi="Times New Roman"/>
          <w:sz w:val="22"/>
          <w:szCs w:val="22"/>
          <w:color w:val="auto"/>
        </w:rPr>
      </w:pPr>
    </w:p>
    <w:p>
      <w:pPr>
        <w:jc w:val="both"/>
        <w:ind w:left="80" w:firstLine="252"/>
        <w:spacing w:after="0" w:line="256" w:lineRule="auto"/>
        <w:tabs>
          <w:tab w:leader="none" w:pos="8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w:t>
      </w:r>
      <w:r>
        <w:rPr>
          <w:rFonts w:ascii="Times New Roman" w:cs="Times New Roman" w:eastAsia="Times New Roman" w:hAnsi="Times New Roman"/>
          <w:sz w:val="22"/>
          <w:szCs w:val="22"/>
          <w:color w:val="auto"/>
        </w:rPr>
        <w:t>. Beginning on the Commencement Date, your annual base salary will be a minimum of $750,000, subject to annual review and potential increase by the Compensation Committee of the Board of Directors of the Company (the “</w:t>
      </w: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in its discretion. The Compensation Committee will review your compensation package on an annual basis.</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You will also be eligible participate in our discretionary annual incentive bonus program (“AIP”) with an annual target bonus opportunity equal to one hundred percent (100%) of actual salary dollars earned during the year. Bonus payments depend on a number of factors, which may include Company, unit and individual performance. However, the decision of whether or not to pay a bonus, and the amount of that bonus, if any, will be made by the Compensation Committee in its sole discretion. Except as otherwise provided herein, in order to receive a bonus, you must be employed by the Company at the time bonuses are being paid. Such bonus shall be earned, only if and when actually paid to, and received by, you. Notwithstanding the foregoing, if your employment with the Company ends on or after the Expiration Date, for reasons other than a termination by the Company for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as defined below, you shall be eligible for a full-year bonus with respect to the fiscal year ending December 31, 2029 which bonus, shall be payable to you if and when such bonuses are generally paid to similarly situated then current employees and will be based on your then current annual target bonus opportunity and the performance metrics established by the Compensation Committee in its discretion</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You will also participate, subject to your continued employment by the Company and actual grant by the Compensation Committee in its discretion, in such long-term equity and other incentive programs as are made available in the future to similarly situated executives at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purposes of this provision, the Company’s CEO shall not be deemed a “similarly situated executive.” Beginning in 2027, it is expected that such awards will consist of annual grants of cash and/or equity awards with an annual aggregate target value of not less than $750,000, as determined by the Compensation Committee. For calendar year 2026, you will be recommended to the Compensation Committee, in October 2026, for grants of long-term incentive awards with a total target value of $375,000, which grants will be comprised of a one-time award of restricted stock units with a value, at the time of grant, of $187,500 and a one-time award of cash performance awards with a target value of $187,500, which awards will vest in accordance with the vesting schedule applicable to the long-term incentive awards granted to other similarly situated executives in calendar year 2026. Any such awards would be subject to actual grant to you by the Compensation Committee in its discretion pursuant to the applicable plan documents and would be subject to terms and conditions established by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8" w:name="page9"/>
    <w:bookmarkEnd w:id="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in its discretion that would be detailed in separate agreements you would receive after any award is actually made.</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Additionally, you will be eligible for the Company’s standard benefits program. Participation in the Company’s benefits program is subject to meeting the relevant eligibility requirements, payment of the required premiums, and the terms of the plans themselves. The Company currently offers medical, dental, vision, life, and accidental death and dismemberment insurance, short- and long-term disability insurance, a savings and retirement program and paid holidays. You will also be eligible for four</w:t>
      </w:r>
    </w:p>
    <w:p>
      <w:pPr>
        <w:spacing w:after="0" w:line="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weeks’ vacation per year, to be used and accrued in accordance with Company policy.</w:t>
      </w:r>
    </w:p>
    <w:p>
      <w:pPr>
        <w:spacing w:after="0" w:line="195" w:lineRule="exact"/>
        <w:rPr>
          <w:rFonts w:ascii="Times New Roman" w:cs="Times New Roman" w:eastAsia="Times New Roman" w:hAnsi="Times New Roman"/>
          <w:sz w:val="22"/>
          <w:szCs w:val="22"/>
          <w:color w:val="auto"/>
        </w:rPr>
      </w:pPr>
    </w:p>
    <w:p>
      <w:pPr>
        <w:jc w:val="both"/>
        <w:ind w:firstLine="332"/>
        <w:spacing w:after="0" w:line="256" w:lineRule="auto"/>
        <w:tabs>
          <w:tab w:leader="none" w:pos="76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Notwithstanding anything herein to the contrary, you acknowledge that any incentive compensation that you earn, receive or vest in, whether during or after the Term, which is based, wholly or in part, upon the attainment of a Financial Reporting Measure, as defined below, is subject to the terms of the Company’s Clawback Policy, as in effect from time to time.</w:t>
      </w:r>
    </w:p>
    <w:p>
      <w:pPr>
        <w:spacing w:after="0" w:line="203" w:lineRule="exact"/>
        <w:rPr>
          <w:rFonts w:ascii="Times New Roman" w:cs="Times New Roman" w:eastAsia="Times New Roman" w:hAnsi="Times New Roman"/>
          <w:sz w:val="22"/>
          <w:szCs w:val="22"/>
          <w:color w:val="auto"/>
        </w:rPr>
      </w:pPr>
    </w:p>
    <w:p>
      <w:pPr>
        <w:jc w:val="both"/>
        <w:ind w:firstLine="332"/>
        <w:spacing w:after="0" w:line="257" w:lineRule="auto"/>
        <w:tabs>
          <w:tab w:leader="none" w:pos="74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Effective immediately, you and the Company agree to be bound by the additional covenants and provisions applicable to each that are set forth in </w:t>
      </w:r>
      <w:r>
        <w:rPr>
          <w:rFonts w:ascii="Times New Roman" w:cs="Times New Roman" w:eastAsia="Times New Roman" w:hAnsi="Times New Roman"/>
          <w:sz w:val="22"/>
          <w:szCs w:val="22"/>
          <w:i w:val="1"/>
          <w:iCs w:val="1"/>
          <w:color w:val="auto"/>
        </w:rPr>
        <w:t>Annex I</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shall be deemed to be a part of this Agreement.</w:t>
      </w:r>
    </w:p>
    <w:p>
      <w:pPr>
        <w:spacing w:after="0" w:line="172" w:lineRule="exact"/>
        <w:rPr>
          <w:rFonts w:ascii="Times New Roman" w:cs="Times New Roman" w:eastAsia="Times New Roman" w:hAnsi="Times New Roman"/>
          <w:sz w:val="22"/>
          <w:szCs w:val="22"/>
          <w:color w:val="auto"/>
        </w:rPr>
      </w:pPr>
    </w:p>
    <w:p>
      <w:pPr>
        <w:jc w:val="both"/>
        <w:ind w:firstLine="332"/>
        <w:spacing w:after="0" w:line="261" w:lineRule="auto"/>
        <w:tabs>
          <w:tab w:leader="none" w:pos="75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If your employment with the Company is terminated following the Commencement Date and prior to the expiration of the Term (1) by the Company or (2) by you for “</w:t>
      </w:r>
      <w:r>
        <w:rPr>
          <w:rFonts w:ascii="Times New Roman" w:cs="Times New Roman" w:eastAsia="Times New Roman" w:hAnsi="Times New Roman"/>
          <w:sz w:val="22"/>
          <w:szCs w:val="22"/>
          <w:i w:val="1"/>
          <w:iCs w:val="1"/>
          <w:color w:val="auto"/>
        </w:rPr>
        <w:t>Good Reason</w:t>
      </w:r>
      <w:r>
        <w:rPr>
          <w:rFonts w:ascii="Times New Roman" w:cs="Times New Roman" w:eastAsia="Times New Roman" w:hAnsi="Times New Roman"/>
          <w:sz w:val="22"/>
          <w:szCs w:val="22"/>
          <w:color w:val="auto"/>
        </w:rPr>
        <w:t>,” and at the time of such termination under clauses</w:t>
      </w:r>
    </w:p>
    <w:p>
      <w:pPr>
        <w:jc w:val="both"/>
        <w:ind w:firstLine="8"/>
        <w:spacing w:after="0" w:line="247"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xml:space="preserve">” does not exist, then subject to your execution and the effectiveness of a severance agreement satisfactory to the Company, which shall include, without limitation, non-compete (limited to one (1) year), non-disparagement, non-solicitation, confidentiality and further cooperation obligations/restrictions on you substantially consistent with </w:t>
      </w:r>
      <w:r>
        <w:rPr>
          <w:rFonts w:ascii="Times New Roman" w:cs="Times New Roman" w:eastAsia="Times New Roman" w:hAnsi="Times New Roman"/>
          <w:sz w:val="22"/>
          <w:szCs w:val="22"/>
          <w:i w:val="1"/>
          <w:iCs w:val="1"/>
          <w:color w:val="auto"/>
        </w:rPr>
        <w:t>Annex I</w:t>
      </w:r>
      <w:r>
        <w:rPr>
          <w:rFonts w:ascii="Times New Roman" w:cs="Times New Roman" w:eastAsia="Times New Roman" w:hAnsi="Times New Roman"/>
          <w:sz w:val="22"/>
          <w:szCs w:val="22"/>
          <w:color w:val="auto"/>
        </w:rPr>
        <w:t xml:space="preserve"> hereto, as well as a general release by you of the Company and its affiliates (the “Severance Agreement”), the Company will provide you with the following (collectively, the “Separation Benefits”):</w:t>
      </w:r>
    </w:p>
    <w:p>
      <w:pPr>
        <w:spacing w:after="0" w:line="182"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382" w:val="left"/>
        </w:tabs>
        <w:numPr>
          <w:ilvl w:val="2"/>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in an amount to be determined by the Compensation Committee (the “</w:t>
      </w:r>
      <w:r>
        <w:rPr>
          <w:rFonts w:ascii="Times New Roman" w:cs="Times New Roman" w:eastAsia="Times New Roman" w:hAnsi="Times New Roman"/>
          <w:sz w:val="21"/>
          <w:szCs w:val="21"/>
          <w:i w:val="1"/>
          <w:iCs w:val="1"/>
          <w:color w:val="auto"/>
        </w:rPr>
        <w:t>Severance Amount</w:t>
      </w:r>
      <w:r>
        <w:rPr>
          <w:rFonts w:ascii="Times New Roman" w:cs="Times New Roman" w:eastAsia="Times New Roman" w:hAnsi="Times New Roman"/>
          <w:sz w:val="21"/>
          <w:szCs w:val="21"/>
          <w:color w:val="auto"/>
        </w:rPr>
        <w:t xml:space="preserve">”), but in no event less than two (2) times the sum of your annual base salary plus your target annual bonus, each as in effect on the effective date of your termination (the “Termination Date”). An amount equal to sixty percent (60%) of the payment provided for in this paragraph (the “First Payment”) will be payable to you on the six-month anniversary of the Termination Date and the remainder of the Severance Amount will be payable to you over the six-month period following such anniversary in accordance with the Company’s then prevailing payroll policies;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maximum portion of the First Payment that is exempt from Section 409A of the Code (as defined below) will be payable to you on or before the seventy-fifth (75) day following the Termination Date; </w:t>
      </w:r>
      <w:r>
        <w:rPr>
          <w:rFonts w:ascii="Times New Roman" w:cs="Times New Roman" w:eastAsia="Times New Roman" w:hAnsi="Times New Roman"/>
          <w:sz w:val="21"/>
          <w:szCs w:val="21"/>
          <w:i w:val="1"/>
          <w:iCs w:val="1"/>
          <w:u w:val="single" w:color="auto"/>
          <w:color w:val="auto"/>
        </w:rPr>
        <w:t>plus</w:t>
      </w:r>
    </w:p>
    <w:p>
      <w:pPr>
        <w:spacing w:after="0" w:line="168" w:lineRule="exact"/>
        <w:rPr>
          <w:rFonts w:ascii="Times New Roman" w:cs="Times New Roman" w:eastAsia="Times New Roman" w:hAnsi="Times New Roman"/>
          <w:sz w:val="21"/>
          <w:szCs w:val="21"/>
          <w:color w:val="auto"/>
        </w:rPr>
      </w:pPr>
    </w:p>
    <w:p>
      <w:pPr>
        <w:ind w:left="1300" w:hanging="320"/>
        <w:spacing w:after="0" w:line="271" w:lineRule="auto"/>
        <w:tabs>
          <w:tab w:leader="none" w:pos="1457"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prorated bonus based on the amount of your base salary earned by you during the fiscal year through the Termination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bonus, if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3"/>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22"/>
          <w:szCs w:val="22"/>
          <w:color w:val="auto"/>
        </w:rPr>
        <w:t>will be payable to you if and when such bonuses are generally paid to similarly situated employees and will be based on your then current annual target bonus as well as Company and your business unit performance as determined by the Compensation Committee in its discretion, but without reduction for your individual performance;</w:t>
      </w:r>
    </w:p>
    <w:p>
      <w:pPr>
        <w:spacing w:after="0" w:line="176" w:lineRule="exact"/>
        <w:rPr>
          <w:sz w:val="20"/>
          <w:szCs w:val="20"/>
          <w:color w:val="auto"/>
        </w:rPr>
      </w:pPr>
    </w:p>
    <w:p>
      <w:pPr>
        <w:jc w:val="both"/>
        <w:ind w:left="320" w:hanging="320"/>
        <w:spacing w:after="0" w:line="251" w:lineRule="auto"/>
        <w:tabs>
          <w:tab w:leader="none" w:pos="4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Compensation Committee in its discretion, but without reduction for your individual performance; and</w:t>
      </w:r>
    </w:p>
    <w:p>
      <w:pPr>
        <w:spacing w:after="0" w:line="181" w:lineRule="exact"/>
        <w:rPr>
          <w:rFonts w:ascii="Times New Roman" w:cs="Times New Roman" w:eastAsia="Times New Roman" w:hAnsi="Times New Roman"/>
          <w:sz w:val="22"/>
          <w:szCs w:val="22"/>
          <w:color w:val="auto"/>
        </w:rPr>
      </w:pPr>
    </w:p>
    <w:p>
      <w:pPr>
        <w:jc w:val="both"/>
        <w:ind w:left="320" w:hanging="320"/>
        <w:spacing w:after="0" w:line="261" w:lineRule="auto"/>
        <w:tabs>
          <w:tab w:leader="none" w:pos="482"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Time-Vested Restricted Stock and RSU Awards (including RSU Awards that are subject to achievement of a performance condition and RSU Awards that have no performance conditions)</w:t>
      </w:r>
      <w:r>
        <w:rPr>
          <w:rFonts w:ascii="Times New Roman" w:cs="Times New Roman" w:eastAsia="Times New Roman" w:hAnsi="Times New Roman"/>
          <w:sz w:val="21"/>
          <w:szCs w:val="21"/>
          <w:color w:val="auto"/>
        </w:rPr>
        <w:t xml:space="preserve">. Each of your outstanding restricted stock or restricted stock units awards granted to you under the plans of the Company, if any, shall continue to vest in accordance with their original vesting schedule and payments or deliveries with respect to your restricted stock and restricted stock units shall be made on the original vesting date(s) (or, in the case of restricted stock units, on the original distribution date(s)); provided, 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 </w:t>
      </w:r>
      <w:r>
        <w:rPr>
          <w:rFonts w:ascii="Times New Roman" w:cs="Times New Roman" w:eastAsia="Times New Roman" w:hAnsi="Times New Roman"/>
          <w:sz w:val="21"/>
          <w:szCs w:val="21"/>
          <w:i w:val="1"/>
          <w:iCs w:val="1"/>
          <w:u w:val="single" w:color="auto"/>
          <w:color w:val="auto"/>
        </w:rPr>
        <w:t>plus</w:t>
      </w:r>
    </w:p>
    <w:p>
      <w:pPr>
        <w:spacing w:after="0" w:line="202" w:lineRule="exact"/>
        <w:rPr>
          <w:rFonts w:ascii="Times New Roman" w:cs="Times New Roman" w:eastAsia="Times New Roman" w:hAnsi="Times New Roman"/>
          <w:sz w:val="21"/>
          <w:szCs w:val="21"/>
          <w:color w:val="auto"/>
        </w:rPr>
      </w:pPr>
    </w:p>
    <w:p>
      <w:pPr>
        <w:jc w:val="both"/>
        <w:ind w:left="320" w:hanging="320"/>
        <w:spacing w:after="0" w:line="250" w:lineRule="auto"/>
        <w:tabs>
          <w:tab w:leader="none" w:pos="4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Performance-Based RSU Awards</w:t>
      </w:r>
      <w:r>
        <w:rPr>
          <w:rFonts w:ascii="Times New Roman" w:cs="Times New Roman" w:eastAsia="Times New Roman" w:hAnsi="Times New Roman"/>
          <w:sz w:val="22"/>
          <w:szCs w:val="22"/>
          <w:color w:val="auto"/>
        </w:rPr>
        <w:t xml:space="preserve">. Each of your outstanding performance-based restricted stock unit (“PRSUs”) awards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provided that, if the applicable performance objectives are not satisfied and no payments are made to other similarly situated executives then any such PRSUs will be forfeited; </w:t>
      </w:r>
      <w:r>
        <w:rPr>
          <w:rFonts w:ascii="Times New Roman" w:cs="Times New Roman" w:eastAsia="Times New Roman" w:hAnsi="Times New Roman"/>
          <w:sz w:val="22"/>
          <w:szCs w:val="22"/>
          <w:i w:val="1"/>
          <w:iCs w:val="1"/>
          <w:u w:val="single" w:color="auto"/>
          <w:color w:val="auto"/>
        </w:rPr>
        <w:t>plus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3" w:lineRule="exact"/>
        <w:rPr>
          <w:rFonts w:ascii="Times New Roman" w:cs="Times New Roman" w:eastAsia="Times New Roman" w:hAnsi="Times New Roman"/>
          <w:sz w:val="22"/>
          <w:szCs w:val="22"/>
          <w:color w:val="auto"/>
        </w:rPr>
      </w:pPr>
    </w:p>
    <w:p>
      <w:pPr>
        <w:ind w:left="4600" w:hanging="136"/>
        <w:spacing w:after="0"/>
        <w:tabs>
          <w:tab w:leader="none" w:pos="4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0260"/>
          </w:cols>
          <w:pgMar w:left="1300" w:top="1440" w:right="339" w:bottom="1440" w:gutter="0" w:footer="0" w:header="0"/>
        </w:sectPr>
      </w:pPr>
    </w:p>
    <w:bookmarkStart w:id="10" w:name="page11"/>
    <w:bookmarkEnd w:id="10"/>
    <w:p>
      <w:pPr>
        <w:jc w:val="both"/>
        <w:ind w:left="1300" w:hanging="320"/>
        <w:spacing w:after="0" w:line="250" w:lineRule="auto"/>
        <w:tabs>
          <w:tab w:leader="none" w:pos="133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Performance Awards</w:t>
      </w:r>
      <w:r>
        <w:rPr>
          <w:rFonts w:ascii="Times New Roman" w:cs="Times New Roman" w:eastAsia="Times New Roman" w:hAnsi="Times New Roman"/>
          <w:sz w:val="22"/>
          <w:szCs w:val="22"/>
          <w:color w:val="auto"/>
        </w:rPr>
        <w:t xml:space="preserve">. Each of your outstanding long-term cash performance awards (“CPAs”)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provided that, if the applicable performance objectives are not satisfied and no payments are made to other similarly situated executives then any such CPAs will be forfeited; </w:t>
      </w:r>
      <w:r>
        <w:rPr>
          <w:rFonts w:ascii="Times New Roman" w:cs="Times New Roman" w:eastAsia="Times New Roman" w:hAnsi="Times New Roman"/>
          <w:sz w:val="22"/>
          <w:szCs w:val="22"/>
          <w:i w:val="1"/>
          <w:iCs w:val="1"/>
          <w:u w:val="single" w:color="auto"/>
          <w:color w:val="auto"/>
        </w:rPr>
        <w:t>and</w:t>
      </w:r>
    </w:p>
    <w:p>
      <w:pPr>
        <w:spacing w:after="0" w:line="207" w:lineRule="exact"/>
        <w:rPr>
          <w:rFonts w:ascii="Times New Roman" w:cs="Times New Roman" w:eastAsia="Times New Roman" w:hAnsi="Times New Roman"/>
          <w:sz w:val="22"/>
          <w:szCs w:val="22"/>
          <w:color w:val="auto"/>
        </w:rPr>
      </w:pPr>
    </w:p>
    <w:p>
      <w:pPr>
        <w:jc w:val="both"/>
        <w:ind w:left="1300" w:hanging="320"/>
        <w:spacing w:after="0" w:line="256" w:lineRule="auto"/>
        <w:tabs>
          <w:tab w:leader="none" w:pos="13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 Stock Appreciation Awards.</w:t>
      </w:r>
      <w:r>
        <w:rPr>
          <w:rFonts w:ascii="Times New Roman" w:cs="Times New Roman" w:eastAsia="Times New Roman" w:hAnsi="Times New Roman"/>
          <w:sz w:val="22"/>
          <w:szCs w:val="22"/>
          <w:color w:val="auto"/>
        </w:rPr>
        <w:t xml:space="preserve"> 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you die after a termination of your employment that is subject to the above, your estate or beneficiaries will be provided any remaining benefits and rights under the above sections (a) through g), above.</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(b) and (c)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2" w:right="33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22"/>
          <w:szCs w:val="22"/>
          <w:color w:val="auto"/>
        </w:rPr>
        <w:t>to the extent that other similarly situated executives receive payment as determined by the Compensation Committee (subject to satisfaction of the applicable performance criteria).</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This Agreement does not constitute a guarantee of employment for any definite period or on any specific terms. Your employment is at will and may be terminated by you or the Company at any time, with or without notice or reason.</w:t>
      </w:r>
    </w:p>
    <w:p>
      <w:pPr>
        <w:spacing w:after="0" w:line="144" w:lineRule="exact"/>
        <w:rPr>
          <w:sz w:val="20"/>
          <w:szCs w:val="20"/>
          <w:color w:val="auto"/>
        </w:rPr>
      </w:pPr>
    </w:p>
    <w:p>
      <w:pPr>
        <w:jc w:val="both"/>
        <w:ind w:firstLine="332"/>
        <w:spacing w:after="0" w:line="251" w:lineRule="auto"/>
        <w:tabs>
          <w:tab w:leader="none" w:pos="70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181" w:lineRule="exact"/>
        <w:rPr>
          <w:rFonts w:ascii="Times New Roman" w:cs="Times New Roman" w:eastAsia="Times New Roman" w:hAnsi="Times New Roman"/>
          <w:sz w:val="22"/>
          <w:szCs w:val="22"/>
          <w:color w:val="auto"/>
        </w:rPr>
      </w:pPr>
    </w:p>
    <w:p>
      <w:pPr>
        <w:jc w:val="both"/>
        <w:ind w:firstLine="332"/>
        <w:spacing w:after="0" w:line="249" w:lineRule="auto"/>
        <w:tabs>
          <w:tab w:leader="none" w:pos="71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 A</w:t>
      </w:r>
      <w:r>
        <w:rPr>
          <w:rFonts w:ascii="Times New Roman" w:cs="Times New Roman" w:eastAsia="Times New Roman" w:hAnsi="Times New Roman"/>
          <w:sz w:val="22"/>
          <w:szCs w:val="22"/>
          <w:color w:val="auto"/>
        </w:rPr>
        <w:t>. If and to the extent that any payment or benefit under this Agreement, or any plan, award or arrangement of the Company or its affiliates, constitutes “non-qualified deferred compensation” subject to Section 409A of the Internal Revenue Code of 1986, as amended (the “Code”) and any regulations and guidelines promulgated thereunder (collectively,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a lump sum or provided to you as soon as practicable after the expiration of such six-month period.</w:t>
      </w:r>
    </w:p>
    <w:p>
      <w:pPr>
        <w:spacing w:after="0" w:line="18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Each payment or benefit under this Agreement shall be treated as a separate payment for purposes of Section 409A to the extent Section 409A applies to such payments or benefits.</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1"/>
          <w:szCs w:val="21"/>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16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2"/>
          <w:szCs w:val="22"/>
          <w:color w:val="auto"/>
        </w:rPr>
        <w:t>The Company may withhold from any payment due to you any taxes that are required to be withheld under any law, rule or regulation. To the extent permitted by applicable law, the Company may also offset from any payment otherwise due to you under this Agreement any outstanding amounts you then owe to the Company or any of its affiliates of whatever nature. If any payment otherwise due to you hereunder would result in the imposition of the excise tax imposed by Section 4999 of the Code, as amended, the Company will instead pay you either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12" w:name="page13"/>
    <w:bookmarkEnd w:id="12"/>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such amount or (ii) the maximum amount that could be paid to you without the imposition of the excise tax, depending on whichever amount results in your receiving the greater amount of after-tax proceeds (as reasonably determined by the Company).</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2"/>
          <w:szCs w:val="22"/>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92" w:lineRule="exact"/>
        <w:rPr>
          <w:sz w:val="20"/>
          <w:szCs w:val="20"/>
          <w:color w:val="auto"/>
        </w:rPr>
      </w:pPr>
    </w:p>
    <w:p>
      <w:pPr>
        <w:jc w:val="both"/>
        <w:ind w:firstLine="332"/>
        <w:spacing w:after="0" w:line="282" w:lineRule="auto"/>
        <w:tabs>
          <w:tab w:leader="none" w:pos="90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390" w:lineRule="exact"/>
        <w:rPr>
          <w:rFonts w:ascii="Times New Roman" w:cs="Times New Roman" w:eastAsia="Times New Roman" w:hAnsi="Times New Roman"/>
          <w:sz w:val="22"/>
          <w:szCs w:val="22"/>
          <w:color w:val="auto"/>
        </w:rPr>
      </w:pPr>
    </w:p>
    <w:p>
      <w:pPr>
        <w:ind w:firstLine="332"/>
        <w:spacing w:after="0" w:line="296" w:lineRule="auto"/>
        <w:tabs>
          <w:tab w:leader="none" w:pos="8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To the extent permitted by law, you hereby waive any and all rights to a jury trial with respect to any matter relating to this Agreement. your employment by the Company or the termination of your employment with the Company.</w:t>
      </w:r>
    </w:p>
    <w:p>
      <w:pPr>
        <w:spacing w:after="0" w:line="374" w:lineRule="exact"/>
        <w:rPr>
          <w:rFonts w:ascii="Times New Roman" w:cs="Times New Roman" w:eastAsia="Times New Roman" w:hAnsi="Times New Roman"/>
          <w:sz w:val="22"/>
          <w:szCs w:val="22"/>
          <w:color w:val="auto"/>
        </w:rPr>
      </w:pPr>
    </w:p>
    <w:p>
      <w:pPr>
        <w:ind w:right="20" w:firstLine="332"/>
        <w:spacing w:after="0" w:line="296" w:lineRule="auto"/>
        <w:tabs>
          <w:tab w:leader="none" w:pos="8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 of the State of New York applicable to contracts made and to be performed entirely within that State.</w:t>
      </w:r>
    </w:p>
    <w:p>
      <w:pPr>
        <w:spacing w:after="0" w:line="361" w:lineRule="exact"/>
        <w:rPr>
          <w:rFonts w:ascii="Times New Roman" w:cs="Times New Roman" w:eastAsia="Times New Roman" w:hAnsi="Times New Roman"/>
          <w:sz w:val="22"/>
          <w:szCs w:val="22"/>
          <w:color w:val="auto"/>
        </w:rPr>
      </w:pPr>
    </w:p>
    <w:p>
      <w:pPr>
        <w:jc w:val="both"/>
        <w:ind w:firstLine="332"/>
        <w:spacing w:after="0" w:line="279"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You and the Company hereby irrevocably submit to the jurisdiction of the courts of the State of New York and the federal courts of the United States of America located, in each case, in New York County, New York solely in respect of the interpretation and enforcement of the provisions of this Agreement, and you hereby waive, and agree not to assert, as a defense that you are not subject thereto or that the venue thereof may not be appropriate. You and the Company hereby agree that a mailing of process or other papers with proof of delivery in connection with any such action or proceeding in any manner as may be permitted by law shall be valid and sufficient service thereof.</w:t>
      </w:r>
    </w:p>
    <w:p>
      <w:pPr>
        <w:spacing w:after="0" w:line="381" w:lineRule="exact"/>
        <w:rPr>
          <w:rFonts w:ascii="Times New Roman" w:cs="Times New Roman" w:eastAsia="Times New Roman" w:hAnsi="Times New Roman"/>
          <w:sz w:val="22"/>
          <w:szCs w:val="22"/>
          <w:color w:val="auto"/>
        </w:rPr>
      </w:pPr>
    </w:p>
    <w:p>
      <w:pPr>
        <w:ind w:firstLine="332"/>
        <w:spacing w:after="0" w:line="309" w:lineRule="auto"/>
        <w:tabs>
          <w:tab w:leader="none" w:pos="83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not be amended or modified otherwise than by a written agreement executed by the parties hereto or their respective successors and legal representatives.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22" w:right="339" w:bottom="1440" w:gutter="0" w:footer="0" w:header="0"/>
        </w:sectPr>
      </w:pPr>
    </w:p>
    <w:bookmarkStart w:id="13" w:name="page14"/>
    <w:bookmarkEnd w:id="13"/>
    <w:p>
      <w:pPr>
        <w:jc w:val="both"/>
        <w:ind w:firstLine="332"/>
        <w:spacing w:after="0" w:line="279" w:lineRule="auto"/>
        <w:tabs>
          <w:tab w:leader="none" w:pos="93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spacing w:after="0" w:line="392" w:lineRule="exact"/>
        <w:rPr>
          <w:rFonts w:ascii="Times New Roman" w:cs="Times New Roman" w:eastAsia="Times New Roman" w:hAnsi="Times New Roman"/>
          <w:sz w:val="22"/>
          <w:szCs w:val="22"/>
          <w:color w:val="auto"/>
        </w:rPr>
      </w:pPr>
    </w:p>
    <w:p>
      <w:pPr>
        <w:jc w:val="both"/>
        <w:ind w:firstLine="332"/>
        <w:spacing w:after="0" w:line="278" w:lineRule="auto"/>
        <w:tabs>
          <w:tab w:leader="none" w:pos="86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 Additionally, this Agreement may be executed by facsimile or other electronically transmitted signature, and such facsimile or electronically transmitted signature shall be deemed an original and be relied upon to the same extent as an original executed copy.</w:t>
      </w:r>
    </w:p>
    <w:p>
      <w:pPr>
        <w:spacing w:after="0" w:line="389" w:lineRule="exact"/>
        <w:rPr>
          <w:rFonts w:ascii="Times New Roman" w:cs="Times New Roman" w:eastAsia="Times New Roman" w:hAnsi="Times New Roman"/>
          <w:sz w:val="22"/>
          <w:szCs w:val="22"/>
          <w:color w:val="auto"/>
        </w:rPr>
      </w:pPr>
    </w:p>
    <w:p>
      <w:pPr>
        <w:ind w:firstLine="332"/>
        <w:spacing w:after="0" w:line="300" w:lineRule="auto"/>
        <w:tabs>
          <w:tab w:leader="none" w:pos="83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in this Agreement, including in </w:t>
      </w:r>
      <w:r>
        <w:rPr>
          <w:rFonts w:ascii="Times New Roman" w:cs="Times New Roman" w:eastAsia="Times New Roman" w:hAnsi="Times New Roman"/>
          <w:sz w:val="22"/>
          <w:szCs w:val="22"/>
          <w:i w:val="1"/>
          <w:iCs w:val="1"/>
          <w:color w:val="auto"/>
        </w:rPr>
        <w:t>Annex I</w:t>
      </w:r>
      <w:r>
        <w:rPr>
          <w:rFonts w:ascii="Times New Roman" w:cs="Times New Roman" w:eastAsia="Times New Roman" w:hAnsi="Times New Roman"/>
          <w:sz w:val="22"/>
          <w:szCs w:val="22"/>
          <w:color w:val="auto"/>
        </w:rPr>
        <w:t xml:space="preserve"> attached hereto, and not otherwise defined, shall have the meanings set forth below:</w:t>
      </w:r>
    </w:p>
    <w:p>
      <w:pPr>
        <w:spacing w:after="0" w:line="35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xml:space="preserve">” means, as determined by the Company,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or imposition of unadjudicated probation for any crime involving moral turpitude or any felony (iii) repeated failure to perform your material duties or follow lawful material directives, in each case as determined by the Company in good faith, which failure, if curable, as determined by the Company in its good faith discretion, is not cured to the Company’s reasonable satisfaction within ten (10) business days after the Company provides you with written notice of such failure; (iv) material violation of your obligations under this Agreement or any Company policies, including without limitation, the Company’s Code of Conduct and Company policies prohibiting unlawful harassment and/or discrimination or the protection of confidential information, which violation, if curable, as determined by the Company in its good faith discretion, is not cured to the Company’s reasonable satisfaction within ten (10) business days after the Company provides you with written notice of such violation.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Good Reason</w:t>
      </w:r>
      <w:r>
        <w:rPr>
          <w:rFonts w:ascii="Times New Roman" w:cs="Times New Roman" w:eastAsia="Times New Roman" w:hAnsi="Times New Roman"/>
          <w:sz w:val="22"/>
          <w:szCs w:val="22"/>
          <w:color w:val="auto"/>
        </w:rPr>
        <w:t>” means that (1) without your consent, (A) your base salary or annual bonus target (as each may be increased from time to time in the Compensation Committee’s discretion) is reduced, (B) the terms of your long term award agreements, including, the amount of said awards, are modified in a manner inconsistent with modifications applicable to similarly situated executives of the Company, provided, however, that for the purposes of this provision, the Company’s CEO shall not be considered a “similarly situated executive”; C) your title is diminished, (D) you report to someone other than the CEO, including any interim CEO, of the Company or any successor entity, (E) your responsibilities as in effect immediately after the Commencement Date are thereafter materially diminished, (F) the Company materially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35" w:right="339" w:bottom="1440" w:gutter="0" w:footer="0" w:header="0"/>
        </w:sectPr>
      </w:pPr>
    </w:p>
    <w:bookmarkStart w:id="14" w:name="page15"/>
    <w:bookmarkEnd w:id="1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obligations to you under this Agreement or, (G) the Company requires that your principal office be located more than fifty</w:t>
      </w:r>
    </w:p>
    <w:p>
      <w:pPr>
        <w:spacing w:after="0" w:line="28" w:lineRule="exact"/>
        <w:rPr>
          <w:sz w:val="20"/>
          <w:szCs w:val="20"/>
          <w:color w:val="auto"/>
        </w:rPr>
      </w:pPr>
    </w:p>
    <w:p>
      <w:pPr>
        <w:jc w:val="both"/>
        <w:ind w:firstLine="8"/>
        <w:spacing w:after="0" w:line="247" w:lineRule="auto"/>
        <w:tabs>
          <w:tab w:leader="none" w:pos="42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miles from Manhattan, New York, provided, for clarity, that routine business travel in connection with your performance of your duties shall not constitute a relocation of your principal office, (2) you have given the Company written notice, referring specifically to this Agreement and definition, that you do not consent to such action, (3) the Company has not corrected such action within 30 days of receiving such notice,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(4) you voluntarily terminate your employment with the Company within 90 days following the happening of the action described in subsection (1) above.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Reporting Measure”</w:t>
      </w:r>
      <w:r>
        <w:rPr>
          <w:rFonts w:ascii="Times New Roman" w:cs="Times New Roman" w:eastAsia="Times New Roman" w:hAnsi="Times New Roman"/>
          <w:sz w:val="22"/>
          <w:szCs w:val="22"/>
          <w:color w:val="auto"/>
        </w:rPr>
        <w:t xml:space="preserve"> means any of the following: (i) measures that are determined and presented in accordance with the accounting principles used in preparing the Company’s financial statements, and any measures that are derived wholly or in part from such measures (i.e., revenue and adjusted operating income), (ii) the Company’s stock price and</w:t>
      </w:r>
    </w:p>
    <w:p>
      <w:pPr>
        <w:spacing w:after="0" w:line="1"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w:t>
      </w:r>
    </w:p>
    <w:p>
      <w:pPr>
        <w:spacing w:after="0" w:line="209" w:lineRule="exact"/>
        <w:rPr>
          <w:rFonts w:ascii="Times New Roman" w:cs="Times New Roman" w:eastAsia="Times New Roman" w:hAnsi="Times New Roman"/>
          <w:sz w:val="22"/>
          <w:szCs w:val="22"/>
          <w:color w:val="auto"/>
        </w:rPr>
      </w:pPr>
    </w:p>
    <w:p>
      <w:pPr>
        <w:jc w:val="both"/>
        <w:ind w:firstLine="332"/>
        <w:spacing w:after="0" w:line="302" w:lineRule="auto"/>
        <w:tabs>
          <w:tab w:leader="none" w:pos="87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It is the parties’ intention that this Agreement not be construed more strictly with regard to you or the Company. This Agreement sets forth the entire agreement between the parties concerning the subject matter thereof and supersede all prior agreements and understandings, both oral and written, between the parties with respect to said subject matter.</w:t>
      </w:r>
    </w:p>
    <w:p>
      <w:pPr>
        <w:spacing w:after="0" w:line="200" w:lineRule="exact"/>
        <w:rPr>
          <w:rFonts w:ascii="Times New Roman" w:cs="Times New Roman" w:eastAsia="Times New Roman" w:hAnsi="Times New Roman"/>
          <w:sz w:val="21"/>
          <w:szCs w:val="21"/>
          <w:color w:val="auto"/>
        </w:rPr>
      </w:pPr>
    </w:p>
    <w:p>
      <w:pPr>
        <w:spacing w:after="0" w:line="346" w:lineRule="exact"/>
        <w:rPr>
          <w:rFonts w:ascii="Times New Roman" w:cs="Times New Roman" w:eastAsia="Times New Roman" w:hAnsi="Times New Roman"/>
          <w:sz w:val="21"/>
          <w:szCs w:val="21"/>
          <w:color w:val="auto"/>
        </w:rPr>
      </w:pPr>
    </w:p>
    <w:p>
      <w:pPr>
        <w:jc w:val="both"/>
        <w:ind w:firstLine="332"/>
        <w:spacing w:after="0" w:line="279" w:lineRule="auto"/>
        <w:tabs>
          <w:tab w:leader="none" w:pos="87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Agreement</w:t>
      </w:r>
      <w:r>
        <w:rPr>
          <w:rFonts w:ascii="Times New Roman" w:cs="Times New Roman" w:eastAsia="Times New Roman" w:hAnsi="Times New Roman"/>
          <w:sz w:val="22"/>
          <w:szCs w:val="22"/>
          <w:color w:val="auto"/>
        </w:rPr>
        <w:t xml:space="preserve">. This Agreement will automatically terminate, and be of no further force or effect, on the earlier of (a) June 19, 2026, if it is not acknowledged by you below prior to such date, or (b) the Expiration Date (except as to any right that accrued prior to such date to receive the Separation Benefits subject to the execution and effectiveness of the Severance Agreement); provided, however, that any provisions that, by their term, survive the termination of this Agreement, including but not limited to the covenants and provisions set forth in the </w:t>
      </w:r>
      <w:r>
        <w:rPr>
          <w:rFonts w:ascii="Times New Roman" w:cs="Times New Roman" w:eastAsia="Times New Roman" w:hAnsi="Times New Roman"/>
          <w:sz w:val="22"/>
          <w:szCs w:val="22"/>
          <w:i w:val="1"/>
          <w:iCs w:val="1"/>
          <w:color w:val="auto"/>
        </w:rPr>
        <w:t>Annex I</w:t>
      </w:r>
      <w:r>
        <w:rPr>
          <w:rFonts w:ascii="Times New Roman" w:cs="Times New Roman" w:eastAsia="Times New Roman" w:hAnsi="Times New Roman"/>
          <w:sz w:val="22"/>
          <w:szCs w:val="22"/>
          <w:color w:val="auto"/>
        </w:rPr>
        <w:t xml:space="preserve"> hereto, shall survive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AMC GLOBAL MEDIA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Sal Romanello</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Sal Romanello</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Executive Vice President and General Counsel</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Hozefa Lokhandwala</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Hozefa Lokhandwala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0139"/>
          </w:cols>
          <w:pgMar w:left="320" w:top="144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ANNEX I</w:t>
      </w:r>
    </w:p>
    <w:p>
      <w:pPr>
        <w:spacing w:after="0" w:line="22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This Annex I constitutes part of the Agreement, dated June 16, 2026, by and between Hozefa Lokhandwala (“</w:t>
      </w:r>
      <w:r>
        <w:rPr>
          <w:rFonts w:ascii="Times New Roman" w:cs="Times New Roman" w:eastAsia="Times New Roman" w:hAnsi="Times New Roman"/>
          <w:sz w:val="22"/>
          <w:szCs w:val="22"/>
          <w:i w:val="1"/>
          <w:iCs w:val="1"/>
          <w:color w:val="auto"/>
        </w:rPr>
        <w:t>You</w:t>
      </w:r>
      <w:r>
        <w:rPr>
          <w:rFonts w:ascii="Times New Roman" w:cs="Times New Roman" w:eastAsia="Times New Roman" w:hAnsi="Times New Roman"/>
          <w:sz w:val="22"/>
          <w:szCs w:val="22"/>
          <w:color w:val="auto"/>
        </w:rPr>
        <w:t>”) and AMC Global Media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Terms defined in the Agreement shall have the same meanings in this Annex.</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You agree to comply with the following covenants in addition to those set forth in the Agreement.</w:t>
      </w:r>
    </w:p>
    <w:p>
      <w:pPr>
        <w:spacing w:after="0" w:line="216"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84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You agree to keep the existence and terms of this Agreement confidential (unless it is made public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and Proprietary Information</w:t>
      </w:r>
      <w:r>
        <w:rPr>
          <w:rFonts w:ascii="Times New Roman" w:cs="Times New Roman" w:eastAsia="Times New Roman" w:hAnsi="Times New Roman"/>
          <w:sz w:val="22"/>
          <w:szCs w:val="22"/>
          <w:color w:val="auto"/>
        </w:rPr>
        <w:t xml:space="preserve">. You agree to retain in strict confidence and not use for any purpose whatsoever or divulge, disseminate, copy, disclose to any third party, or otherwise use any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other than for legitimate business purposes of the Company and its affiliates. As used herein,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 w:cs="Times New Roman" w:eastAsia="Times New Roman" w:hAnsi="Times New Roman"/>
          <w:sz w:val="22"/>
          <w:szCs w:val="22"/>
          <w:i w:val="1"/>
          <w:iCs w:val="1"/>
          <w:color w:val="auto"/>
        </w:rPr>
        <w:t>Covered Parties</w:t>
      </w:r>
      <w:r>
        <w:rPr>
          <w:rFonts w:ascii="Times New Roman" w:cs="Times New Roman" w:eastAsia="Times New Roman" w:hAnsi="Times New Roman"/>
          <w:sz w:val="22"/>
          <w:szCs w:val="22"/>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subscription video on demand, streaming,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1"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16" w:right="339" w:bottom="1440" w:gutter="0" w:footer="0" w:header="0"/>
        </w:sectPr>
      </w:pPr>
    </w:p>
    <w:bookmarkStart w:id="17" w:name="page18"/>
    <w:bookmarkEnd w:id="17"/>
    <w:p>
      <w:pPr>
        <w:spacing w:after="0" w:line="198" w:lineRule="exact"/>
        <w:rPr>
          <w:sz w:val="20"/>
          <w:szCs w:val="20"/>
          <w:color w:val="auto"/>
        </w:rPr>
      </w:pPr>
    </w:p>
    <w:p>
      <w:pPr>
        <w:jc w:val="both"/>
        <w:ind w:firstLine="1304"/>
        <w:spacing w:after="0" w:line="257" w:lineRule="auto"/>
        <w:tabs>
          <w:tab w:leader="none" w:pos="191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for Disclosure Pursuant to Law</w:t>
      </w:r>
      <w:r>
        <w:rPr>
          <w:rFonts w:ascii="Times New Roman" w:cs="Times New Roman" w:eastAsia="Times New Roman" w:hAnsi="Times New Roman"/>
          <w:sz w:val="22"/>
          <w:szCs w:val="22"/>
          <w:color w:val="auto"/>
        </w:rPr>
        <w:t>. Notwithstanding the foregoing, the obligations set forth in subsection (b) above, other than with respect to subscriber or customer information, shall not apply to Confidential Information that is:</w:t>
      </w:r>
    </w:p>
    <w:p>
      <w:pPr>
        <w:spacing w:after="0" w:line="186"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in the public domain;</w:t>
      </w:r>
    </w:p>
    <w:p>
      <w:pPr>
        <w:spacing w:after="0" w:line="219"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to you by a third party with the right to disclose it in good faith; or</w:t>
      </w:r>
    </w:p>
    <w:p>
      <w:pPr>
        <w:spacing w:after="0" w:line="219" w:lineRule="exact"/>
        <w:rPr>
          <w:rFonts w:ascii="Times New Roman" w:cs="Times New Roman" w:eastAsia="Times New Roman" w:hAnsi="Times New Roman"/>
          <w:sz w:val="22"/>
          <w:szCs w:val="22"/>
          <w:color w:val="auto"/>
        </w:rPr>
      </w:pPr>
    </w:p>
    <w:p>
      <w:pPr>
        <w:ind w:left="2600" w:right="760" w:hanging="648"/>
        <w:spacing w:after="0" w:line="271" w:lineRule="auto"/>
        <w:tabs>
          <w:tab w:leader="none" w:pos="234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specifically exempted in writing by the applicable Covered Party from the applicability of this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16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69"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Non-Compete</w:t>
      </w:r>
    </w:p>
    <w:p>
      <w:pPr>
        <w:spacing w:after="0" w:line="22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and to the extent permissible under applicable rules of professional responsibility, you will not represent, become employed by, consult to, advise in any manner or have any material interest, directly or indirectly, in any Competitive Entity (as defined below). A “</w:t>
      </w:r>
      <w:r>
        <w:rPr>
          <w:rFonts w:ascii="Times New Roman" w:cs="Times New Roman" w:eastAsia="Times New Roman" w:hAnsi="Times New Roman"/>
          <w:sz w:val="21"/>
          <w:szCs w:val="21"/>
          <w:i w:val="1"/>
          <w:iCs w:val="1"/>
          <w:color w:val="auto"/>
        </w:rPr>
        <w:t>Competitive Entity</w:t>
      </w:r>
      <w:r>
        <w:rPr>
          <w:rFonts w:ascii="Times New Roman" w:cs="Times New Roman" w:eastAsia="Times New Roman" w:hAnsi="Times New Roman"/>
          <w:sz w:val="21"/>
          <w:szCs w:val="21"/>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avoidance of doubt, this agreement not to compete will expire on the Expiration Date if the termination of your employment with the Company occurs on the Expiration Date.</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Additional Understandings</w:t>
      </w:r>
    </w:p>
    <w:p>
      <w:pPr>
        <w:spacing w:after="0" w:line="2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This agreement in no way restricts or prevents you from providing truthful testimony concerning the Company or its affiliates (i) as required by court order or other legal process;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 w:cs="Times New Roman" w:eastAsia="Times New Roman" w:hAnsi="Times New Roman"/>
          <w:sz w:val="22"/>
          <w:szCs w:val="22"/>
          <w:i w:val="1"/>
          <w:iCs w:val="1"/>
          <w:color w:val="auto"/>
        </w:rPr>
        <w:t>Materials</w:t>
      </w:r>
      <w:r>
        <w:rPr>
          <w:rFonts w:ascii="Times New Roman" w:cs="Times New Roman" w:eastAsia="Times New Roman" w:hAnsi="Times New Roman"/>
          <w:sz w:val="22"/>
          <w:szCs w:val="22"/>
          <w:color w:val="auto"/>
        </w:rPr>
        <w:t>”). The Company will have the sole and exclusive authority to use the Materials in any manner that it deems appropriate, in perpetuity, without additional payment to you.</w:t>
      </w:r>
    </w:p>
    <w:p>
      <w:pPr>
        <w:spacing w:after="0" w:line="176"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Cooperation</w:t>
      </w:r>
    </w:p>
    <w:p>
      <w:pPr>
        <w:spacing w:after="0" w:line="23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$4,000 per day for each day or part thereof, within 30 days of the approval of the invoice thereof.</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hereunder as soon as practicable after you present appropriate documentation evidencing such expenses. You agree to provide the Company with an estimate of any such expense before it is incurred.</w:t>
      </w:r>
    </w:p>
    <w:p>
      <w:pPr>
        <w:spacing w:after="0" w:line="154"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Hire or Solicit</w:t>
      </w:r>
    </w:p>
    <w:p>
      <w:pPr>
        <w:spacing w:after="0" w:line="2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Acknowledgments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You acknowledge that the restrictions contained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raise the defense that the Company has an adequate remedy at law. Nothing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w:t>
      </w:r>
    </w:p>
    <w:p>
      <w:pPr>
        <w:spacing w:after="0" w:line="33"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22"/>
          <w:szCs w:val="22"/>
          <w:color w:val="auto"/>
        </w:rPr>
        <w:t xml:space="preserve">The covenants and agreement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shall survive any termination or expiration of this Agreement and any termination of your employment with the Company,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40" w:right="339" w:bottom="1440" w:gutter="0" w:footer="0" w:header="0"/>
        </w:sectPr>
      </w:pPr>
    </w:p>
    <w:bookmarkStart w:id="20" w:name="page21"/>
    <w:bookmarkEnd w:id="20"/>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This Annex II constitutes part of the Agreement, dated June 16, 2026, by and between Hozefa Lokhandwala (“</w:t>
      </w:r>
      <w:r>
        <w:rPr>
          <w:rFonts w:ascii="Times New Roman" w:cs="Times New Roman" w:eastAsia="Times New Roman" w:hAnsi="Times New Roman"/>
          <w:sz w:val="22"/>
          <w:szCs w:val="22"/>
          <w:i w:val="1"/>
          <w:iCs w:val="1"/>
          <w:color w:val="auto"/>
        </w:rPr>
        <w:t>You</w:t>
      </w:r>
      <w:r>
        <w:rPr>
          <w:rFonts w:ascii="Times New Roman" w:cs="Times New Roman" w:eastAsia="Times New Roman" w:hAnsi="Times New Roman"/>
          <w:sz w:val="22"/>
          <w:szCs w:val="22"/>
          <w:color w:val="auto"/>
        </w:rPr>
        <w:t>”) and AMC Global Media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In accordance with Paragraph 1 of the Agreement, your participation in the activities set forth below is hereby pre-approved by the Company as of the Effective Date:</w:t>
      </w:r>
    </w:p>
    <w:p>
      <w:pPr>
        <w:spacing w:after="0" w:line="192" w:lineRule="exact"/>
        <w:rPr>
          <w:sz w:val="20"/>
          <w:szCs w:val="20"/>
          <w:color w:val="auto"/>
        </w:rPr>
      </w:pPr>
    </w:p>
    <w:p>
      <w:pPr>
        <w:ind w:left="700" w:hanging="368"/>
        <w:spacing w:after="0"/>
        <w:tabs>
          <w:tab w:leader="none" w:pos="700" w:val="left"/>
        </w:tabs>
        <w:numPr>
          <w:ilvl w:val="0"/>
          <w:numId w:val="25"/>
        </w:numPr>
        <w:rPr>
          <w:rFonts w:ascii="Times New Roman" w:cs="Times New Roman" w:eastAsia="Times New Roman" w:hAnsi="Times New Roman"/>
          <w:sz w:val="22"/>
          <w:szCs w:val="22"/>
          <w:color w:val="242424"/>
        </w:rPr>
      </w:pPr>
      <w:r>
        <w:rPr>
          <w:rFonts w:ascii="Times New Roman" w:cs="Times New Roman" w:eastAsia="Times New Roman" w:hAnsi="Times New Roman"/>
          <w:sz w:val="22"/>
          <w:szCs w:val="22"/>
          <w:color w:val="242424"/>
        </w:rPr>
        <w:t>Your service as a trustee and Chairman of the Risk Management &amp; Audit Committee of Oberlin College.</w:t>
      </w:r>
    </w:p>
    <w:p>
      <w:pPr>
        <w:spacing w:after="0" w:line="27" w:lineRule="exact"/>
        <w:rPr>
          <w:rFonts w:ascii="Times New Roman" w:cs="Times New Roman" w:eastAsia="Times New Roman" w:hAnsi="Times New Roman"/>
          <w:sz w:val="22"/>
          <w:szCs w:val="22"/>
          <w:color w:val="242424"/>
        </w:rPr>
      </w:pPr>
    </w:p>
    <w:p>
      <w:pPr>
        <w:ind w:left="720" w:hanging="388"/>
        <w:spacing w:after="0"/>
        <w:tabs>
          <w:tab w:leader="none" w:pos="7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42424"/>
        </w:rPr>
        <w:t>Your service in an advisory role to Westview Advisors.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0980"/>
          </w:cols>
          <w:pgMar w:left="320" w:top="1416" w:right="5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56845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 Sherin III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AMC Networks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10001</w:t>
      </w:r>
    </w:p>
    <w:p>
      <w:pPr>
        <w:spacing w:after="0" w:line="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Employment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 am pleased to forward this letter agreement (the “Agreement”) setting forth the terms of your continued employment with AMC Global Media Inc. which, together with its subsidiaries, and affiliates, is referred to herein as the “Company.”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Upon execution by you and the Company, this Agreement will be effective as of June 16, 2026 (the “Effective Date”). The term of this Agreement shall commence as of the Effective Date and shall automatically expire on August 15, 2029 (the “Expiration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You will continue to be employed by the Company in the position of Executive Vice President and Chief Accounting Officer. You agree to devote substantially all of your business time and attention to the business and affairs of the Company and shall perform your duties in a diligent, competent and skillful manner and in accordance with applicable law.</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Effective as April 1, 2026, your annual base salary will be not less than $475,000, subject to annual review and potential increase by the Compensation Committee of the Board of Directors of AMC Global Media Inc. (the “Compensation Committee”), in its discretion. As soon as reasonably practicable following the execution of this Agreement, but in no event later than thirty (30) days thereafter, the Company shall pay to you a lump-sum top-up payment in an amount equal to the excess of (i) the base salary that would have been earned by you from April 1, 2026 through the applicable payroll date, calculated on the basis of the increased annual base salary set forth herein, over (ii) the base salary actually paid to you for such period.</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will also continue to be eligible to participate in our discretionary annual incentive bonus program (“AIP”). Beginning with your performance as of April 1, 2026, and on a go forward basis, your annual target bonus opportunity will be equal to forty-five percent (45%) of earned salary. Bonus payments are based on actual salary dollars earned during the year and depend on a number of factors including Company, unit and individual performance. The decision of whether or not to pay a bonus, and the amount of that bonus, if any, will be made by the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Except as otherwise provided herein, in order to receive a bonus, you must be employed by the Company at the time bonuses are being paid. Subject to the terms of this Agreement, any bonus shall be earned, only if and when actually paid to, and received by, you. Notwithstanding the foregoing, if your employment with the Company ends on or after the Expiration Date, for reasons other than a termination by the Company for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as defined below, you shall be eligible for a full-year bonus with respect to the fiscal year ending December 31, 2029 which bonus, shall be payable to you if and when such bonuses are generally paid to similarly situated then current employees and will be based on your then current annual target bonus opportunity and the performance metrics established by the Compensation Committee in its discretion.</w:t>
      </w:r>
    </w:p>
    <w:p>
      <w:pPr>
        <w:spacing w:after="0" w:line="1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You will also continue to be eligible, subject to your continued employment by the Company and actual grant by the Compensation Committee in its discretion, to participate in such long-term equity and other incentive programs as are made available in the future to similarly situated executives at the Company. Beginning in 2027, it is expected that such awards will consist of annual grants of cash and/or equity awards with an annual target value, at the time of grant, of not less than $400,000, as determined by the Compensation Committee. For calendar year 2026, you have previously received grants of restricted stock units and cash performance awards with a combined target value of $340,000. In addition to said grants, in or about October 2026, you will be recommended to the Compensation Committee for additional grants of long-term incentive awards with a total target value of $60,000, which grants will be comprised of a one-time award of restricted stock units with a value, at the time of grant, of $30,000 and a one-time award of cash performance awards with a target value of $30,000, which awards will vest in accordance with the vesting schedule applicable to your previously approved 2026 awards.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provided, however, that such terms and conditions shall be consistent with the terms and conditions of the grant agreements received by similarly situated executives;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for the purposes of this provision, the Company’s Chief Executive Officer shall not be deemed a “similarly situated executive.”</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You will also be eligible for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We currently offer medical, dental, vision, life, and accidental death and dismemberment insurance; short and long-term disability insurance; a savings and retirement program, and paid holidays. You will be entitled to four (4) weeks’ vacation per year, to be accrued and used in accordance with Company policy. You will also be entitled to reimbursement of business expenses upon submission of appropriate documentation in accordance with Company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prior to the Expiration Date, your employment is involuntarily terminated by the Company for reasons other than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xml:space="preserve">,” then subject to your execution and the effectiveness of a severance agreement (the “Severance Agreement”) to the Company’s satisfaction (to include, without limitation, non-compete (limited to one year), non-disparagement, non-solicitation, confidentiality and further cooperation obligations/restrictions on you, in each case, substantially consistent with the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hereto, as well as a general release by you of the Company and its affiliates), you will be paid no less than an amount (the “Severance Amount”) equal to:</w:t>
      </w:r>
    </w:p>
    <w:p>
      <w:pPr>
        <w:spacing w:after="0" w:line="181" w:lineRule="exact"/>
        <w:rPr>
          <w:sz w:val="20"/>
          <w:szCs w:val="20"/>
          <w:color w:val="auto"/>
        </w:rPr>
      </w:pPr>
    </w:p>
    <w:p>
      <w:pPr>
        <w:jc w:val="both"/>
        <w:ind w:left="660" w:hanging="4"/>
        <w:spacing w:after="0" w:line="250" w:lineRule="auto"/>
        <w:tabs>
          <w:tab w:leader="none" w:pos="90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and one-half (1.5) times the sum of your annual base salary and annual target bonus opportunity each as in effect on the effective date of your termination (the “Termination Date”). Sixty percent (60%) of the payment provided for in this paragraph (the “First Payment”) will be payable to you on the six-month anniversary of the Termination Date and the remaining forty percent (40%) will be payable to you over the six month period following such anniversary in accordance with the Company’s then prevailing payroll policies ; provided that the maximum portion of the First Payment that is exempt from Section 409A (as defined below) will be payable to you on or before the seventy-fifth (75) day following the date your employment so terminates; </w:t>
      </w:r>
      <w:r>
        <w:rPr>
          <w:rFonts w:ascii="Times New Roman" w:cs="Times New Roman" w:eastAsia="Times New Roman" w:hAnsi="Times New Roman"/>
          <w:sz w:val="22"/>
          <w:szCs w:val="22"/>
          <w:i w:val="1"/>
          <w:iCs w:val="1"/>
          <w:color w:val="auto"/>
        </w:rPr>
        <w:t>plus</w:t>
      </w:r>
    </w:p>
    <w:p>
      <w:pPr>
        <w:spacing w:after="0" w:line="207"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8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prorated annual bonus based on the amount of your then current annual base salary actually earned by you during the fiscal year through the Termination Date, provided, that such bonus, if any, will be payable to you if and when such bonuses are generally paid to similarly situated employees and will be based on your then current annual target bonus as well as Company and your business unit performance as determined by the Company in its discretion, but without reduction for your individual performance; </w:t>
      </w:r>
      <w:r>
        <w:rPr>
          <w:rFonts w:ascii="Times New Roman" w:cs="Times New Roman" w:eastAsia="Times New Roman" w:hAnsi="Times New Roman"/>
          <w:sz w:val="22"/>
          <w:szCs w:val="22"/>
          <w:i w:val="1"/>
          <w:iCs w:val="1"/>
          <w:color w:val="auto"/>
        </w:rPr>
        <w:t>and</w:t>
      </w:r>
    </w:p>
    <w:p>
      <w:pPr>
        <w:spacing w:after="0" w:line="205"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90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as of the Termination Date, bonuses had not yet generally been paid to similarly situated employees with respect to the prior fiscal year, a bonus based on the amount of your base salary actually paid to you during such prior fiscal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bonus, if any, will be payable to you if and when such bonuses are generally paid to similarly situated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and will be based on your annual target bonus that was in effect with respect to such prior fiscal year as well as Company and your business unit performance as determined by the Company, but without reduction for your individual performance.</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you die after a termination of your employment that is subject to the above, your estate or beneficiaries will be provided any remaining benefits and rights under the above Sections (1) through (3).</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connection with any termination of your employment, your then outstanding long-term incentive awards shall be treated in accordance with their terms and, other than as provided in this Agreement, you shall not be eligible for severance benefits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other plan, program or policy of the Company. Nothing in this Agreement is intended to limit any more favorable rights that you may be entitled to under your long-term incentive award agreements, including, without limitation, your rights in the event of a termination of your employment, a “Going Private Transaction” or a “Change of Control” (as those terms are defined in the applicable award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xml:space="preserve">” means, as determined by the Company, your (i) commission of an act of fraud, embezzlement, misappropriation, willful misconduct, gross negligence or breach of fiduciary duty against the Company or an affiliate thereof;(ii) commission of any act or omission that results in a conviction, plea of no contest,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imposition of unadjudicated probation for any crime involving moral turpitude or any felony; (iii) repeated failure to perform your material duties or follow lawful material directives, in each case as determined by the Company in its good faith discretion, which failure, if curable, as determined by the Company in its good faith discretion, is not cured to the Company’s reasonable satisfaction within ten (10) business days after the Company provides you with written notice of such failure; or (iv) material violation of your obligations under this Agreement or any Company policies, including without limitation, the Company’s Code of Conduct and Company policies prohibiting unlawful harassment and/or discrimination or the protection of confidential information, which violation, if curable, as determined by the Company in its good faith discretion, is not cured to the Company’s reasonable satisfaction within ten (10) business days after the Company provides you with written notice of such violation.</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Effective immediately, you and the Company agree to be bound by the additional covenants and provisions applicable to each that are set forth in the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shall be deemed to be a part of this Agreement.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Agreement does not constitute a guarantee of employment for any definite period or on any specific terms. Your employment is at will and may be terminated by you or the Company at any time, with or without notice or reason. The Company may withhold from any payment due to you any taxes that are required to be withheld under any law, rule or regulation. Notwithstanding anything herein to the contrary, you acknowledge that any incentive compensation that you earn, receive or vest in, whether during or after the term of this Agreement, which is based, wholly or in part, upon the attainment of a Financial Reporting Measure is subject to the terms of the Company’s Clawback Policy, as in effect from time to time. For purposes of this paragraph, a Financial Reporting Measure means any of the following: (i) measures that are determined and presented in accordance with the accounting principles used in preparing the Company’s financial statements, and any measures that are derived wholly or in part from such measures (i.e., revenue and adjusted operating income), (ii) the Company’s stock price and (iii) total shareholder return.</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any payment otherwise due to you hereunder would result in the imposition of the excise tax imposed by Section 4999 of the Internal Revenue Code, as amended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intended that this Agreement will comply with Section 409A of the Code (together with the applicable regulations thereunder, “Section 409A”) and to the extent the Agreement is subject thereto, the Agreement shall be interpreted on a basis consistent with such intent. If and to the extent that any payment or benefit under this Agreement, or any plan, award or arrangement of the Company or its affiliates, constitutes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the manner set forth in this Agreement. Any such payment or benefit shall be treated as a separate payment for purposes of Section 409A to the extent Section 409A applies to such payments.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177" w:lineRule="exact"/>
        <w:rPr>
          <w:sz w:val="20"/>
          <w:szCs w:val="20"/>
          <w:color w:val="auto"/>
        </w:rPr>
      </w:pPr>
    </w:p>
    <w:p>
      <w:pPr>
        <w:jc w:val="both"/>
        <w:ind w:firstLine="229"/>
        <w:spacing w:after="0" w:line="275" w:lineRule="auto"/>
        <w:rPr>
          <w:sz w:val="20"/>
          <w:szCs w:val="20"/>
          <w:color w:val="auto"/>
        </w:rPr>
      </w:pPr>
      <w:r>
        <w:rPr>
          <w:rFonts w:ascii="Times New Roman" w:cs="Times New Roman" w:eastAsia="Times New Roman" w:hAnsi="Times New Roman"/>
          <w:sz w:val="22"/>
          <w:szCs w:val="22"/>
          <w:b w:val="1"/>
          <w:bCs w:val="1"/>
          <w:color w:val="auto"/>
        </w:rPr>
        <w:t>To the extent permitted by law, you hereby waive any and all rights to the jury trial with respect to any matter relating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ind w:firstLine="257"/>
        <w:spacing w:after="0" w:line="275" w:lineRule="auto"/>
        <w:rPr>
          <w:sz w:val="20"/>
          <w:szCs w:val="20"/>
          <w:color w:val="auto"/>
        </w:rPr>
      </w:pPr>
      <w:r>
        <w:rPr>
          <w:rFonts w:ascii="Times New Roman" w:cs="Times New Roman" w:eastAsia="Times New Roman" w:hAnsi="Times New Roman"/>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53" w:lineRule="exact"/>
        <w:rPr>
          <w:sz w:val="20"/>
          <w:szCs w:val="20"/>
          <w:color w:val="auto"/>
        </w:rPr>
      </w:pPr>
    </w:p>
    <w:p>
      <w:pPr>
        <w:jc w:val="both"/>
        <w:ind w:firstLine="256"/>
        <w:spacing w:after="0" w:line="268" w:lineRule="auto"/>
        <w:rPr>
          <w:sz w:val="20"/>
          <w:szCs w:val="20"/>
          <w:color w:val="auto"/>
        </w:rPr>
      </w:pPr>
      <w:r>
        <w:rPr>
          <w:rFonts w:ascii="Times New Roman" w:cs="Times New Roman" w:eastAsia="Times New Roman" w:hAnsi="Times New Roman"/>
          <w:sz w:val="21"/>
          <w:szCs w:val="21"/>
          <w:color w:val="auto"/>
        </w:rPr>
        <w:t>You hereby irrevocably submit to the jurisdiction of the courts of the State of New York and the federal courts of the United States of America located, in each case, in New York County, New York solely in respect of the interpretation and enforcement of the provisions of this Agreement,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spacing w:after="0" w:line="164" w:lineRule="exact"/>
        <w:rPr>
          <w:sz w:val="20"/>
          <w:szCs w:val="20"/>
          <w:color w:val="auto"/>
        </w:rPr>
      </w:pPr>
    </w:p>
    <w:p>
      <w:pPr>
        <w:jc w:val="both"/>
        <w:ind w:firstLine="217"/>
        <w:spacing w:after="0" w:line="250" w:lineRule="auto"/>
        <w:rPr>
          <w:sz w:val="20"/>
          <w:szCs w:val="20"/>
          <w:color w:val="auto"/>
        </w:rPr>
      </w:pPr>
      <w:r>
        <w:rPr>
          <w:rFonts w:ascii="Times New Roman" w:cs="Times New Roman" w:eastAsia="Times New Roman" w:hAnsi="Times New Roman"/>
          <w:sz w:val="22"/>
          <w:szCs w:val="22"/>
          <w:color w:val="auto"/>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 It is the parties’ intention that this Agreement not be construed more strictly with regard to you or the Company.</w:t>
      </w:r>
    </w:p>
    <w:p>
      <w:pPr>
        <w:spacing w:after="0" w:line="194"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22"/>
          <w:szCs w:val="22"/>
          <w:color w:val="auto"/>
        </w:rPr>
        <w:t>This Agreement sets forth the entire agreement between the parties concerning the subject matter hereof and supersedes all prior agreements and understandings, both oral and written, between the parties with respect to the subject matter hereof, including, without limitation the letter agreement between you and the Company dated August 15, 2023.</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Agreement will automatically terminate, and be of no further force or effect, on the earlier of (a) June 19, 2026, if it is not acknowledged by you below prior to such date, or (b) the Expiration Date (except as to any right that accrued prior to such date to receive the Severance Amount subject to the execution and effectiveness of the Severance Agreement); provided, however, that the confidentiality obligations set forth herein and the covenants and agreements set forth in the Annex shall survive any termination or expiration of this Agreement, and any termination of your employment with the Company,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look forward to your execution of this Agreement.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Sal Romanello</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Sal Romanello</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Executive Vice President and General Counsel</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AMC Global Media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J. Sherin III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 Sherin III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June 16,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39"/>
          </w:cols>
          <w:pgMar w:left="320" w:top="1440" w:right="1440" w:bottom="1440" w:gutter="0" w:footer="0" w:header="0"/>
        </w:sectPr>
      </w:pPr>
    </w:p>
    <w:bookmarkStart w:id="28" w:name="page29"/>
    <w:bookmarkEnd w:id="28"/>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ANNEX</w:t>
      </w:r>
    </w:p>
    <w:p>
      <w:pPr>
        <w:spacing w:after="0" w:line="200" w:lineRule="exact"/>
        <w:rPr>
          <w:sz w:val="20"/>
          <w:szCs w:val="20"/>
          <w:color w:val="auto"/>
        </w:rPr>
      </w:pPr>
    </w:p>
    <w:p>
      <w:pPr>
        <w:spacing w:after="0" w:line="26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This Annex constitutes part of the Agreement, dated June 16, 2026, by and between Michael J. Sherin III (“</w:t>
      </w:r>
      <w:r>
        <w:rPr>
          <w:rFonts w:ascii="Times New Roman" w:cs="Times New Roman" w:eastAsia="Times New Roman" w:hAnsi="Times New Roman"/>
          <w:sz w:val="22"/>
          <w:szCs w:val="22"/>
          <w:i w:val="1"/>
          <w:iCs w:val="1"/>
          <w:color w:val="auto"/>
        </w:rPr>
        <w:t>You</w:t>
      </w:r>
      <w:r>
        <w:rPr>
          <w:rFonts w:ascii="Times New Roman" w:cs="Times New Roman" w:eastAsia="Times New Roman" w:hAnsi="Times New Roman"/>
          <w:sz w:val="22"/>
          <w:szCs w:val="22"/>
          <w:color w:val="auto"/>
        </w:rPr>
        <w:t>”) and the Company. Terms defined in the Agreement shall have the same meanings in this Annex.</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agree to comply with the following covenants in addition to those set forth in the Agreement.</w:t>
      </w:r>
    </w:p>
    <w:p>
      <w:pPr>
        <w:spacing w:after="0" w:line="243"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15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You agree to keep the existence and terms of this Agreement confidential (unless it is made public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and (2) you are authorized to disclose this Agreement and its terms to your legal, financial and tax advisors or to members of your immediate family so long as such advisors and family members agree to maintain the confidentiality of the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3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and Proprietary Information.</w:t>
      </w:r>
      <w:r>
        <w:rPr>
          <w:rFonts w:ascii="Times New Roman" w:cs="Times New Roman" w:eastAsia="Times New Roman" w:hAnsi="Times New Roman"/>
          <w:sz w:val="22"/>
          <w:szCs w:val="22"/>
          <w:color w:val="auto"/>
        </w:rPr>
        <w:t xml:space="preserve">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 w:cs="Times New Roman" w:eastAsia="Times New Roman" w:hAnsi="Times New Roman"/>
          <w:sz w:val="22"/>
          <w:szCs w:val="22"/>
          <w:i w:val="1"/>
          <w:iCs w:val="1"/>
          <w:color w:val="auto"/>
        </w:rPr>
        <w:t>Covered Parties</w:t>
      </w:r>
      <w:r>
        <w:rPr>
          <w:rFonts w:ascii="Times New Roman" w:cs="Times New Roman" w:eastAsia="Times New Roman" w:hAnsi="Times New Roman"/>
          <w:sz w:val="22"/>
          <w:szCs w:val="22"/>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ind w:firstLine="656"/>
        <w:spacing w:after="0" w:line="251" w:lineRule="auto"/>
        <w:tabs>
          <w:tab w:leader="none" w:pos="117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for Disclosure Pursuant to Law.</w:t>
      </w:r>
      <w:r>
        <w:rPr>
          <w:rFonts w:ascii="Times New Roman" w:cs="Times New Roman" w:eastAsia="Times New Roman" w:hAnsi="Times New Roman"/>
          <w:sz w:val="22"/>
          <w:szCs w:val="22"/>
          <w:color w:val="auto"/>
        </w:rPr>
        <w:t xml:space="preserve"> Notwithstanding anything contained elsewhere in this Agreement, you are authorized to make any disclosure required of you by any federal, state or local laws or judicial, arbitral or governmental agency proceedings, including, but not limited to, providing truthful testimony concerning the Company or its affiliates as required by court order or other legal process; after providing the Company with prior written notice and an opportunity to respond prior to such disclosure. In addition, this Agreement in no way restricts or prevents you from providing truthful testimony concerning the Company to judicial, administrative, regulatory or other governmental authorities.</w:t>
      </w:r>
    </w:p>
    <w:p>
      <w:pPr>
        <w:spacing w:after="0" w:line="208" w:lineRule="exact"/>
        <w:rPr>
          <w:sz w:val="20"/>
          <w:szCs w:val="20"/>
          <w:color w:val="auto"/>
        </w:rPr>
      </w:pPr>
    </w:p>
    <w:p>
      <w:pPr>
        <w:jc w:val="both"/>
        <w:ind w:firstLine="218"/>
        <w:spacing w:after="0" w:line="267" w:lineRule="auto"/>
        <w:rPr>
          <w:sz w:val="20"/>
          <w:szCs w:val="20"/>
          <w:color w:val="auto"/>
        </w:rPr>
      </w:pPr>
      <w:r>
        <w:rPr>
          <w:rFonts w:ascii="Times New Roman" w:cs="Times New Roman" w:eastAsia="Times New Roman" w:hAnsi="Times New Roman"/>
          <w:sz w:val="21"/>
          <w:szCs w:val="21"/>
          <w:color w:val="auto"/>
        </w:rPr>
        <w:t>By signing this Agreement, you acknowledge that you have been advised that pursuant to the federal Defend Trade Secrets Act of 2016, you may not be held criminally or civilly liable under any federal or state trade secret law for disclosing a trade secret:</w:t>
      </w:r>
    </w:p>
    <w:p>
      <w:pPr>
        <w:spacing w:after="0" w:line="2" w:lineRule="exact"/>
        <w:rPr>
          <w:sz w:val="20"/>
          <w:szCs w:val="20"/>
          <w:color w:val="auto"/>
        </w:rPr>
      </w:pPr>
    </w:p>
    <w:p>
      <w:pPr>
        <w:jc w:val="both"/>
        <w:ind w:firstLine="8"/>
        <w:spacing w:after="0" w:line="246"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acknowledge that you have been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w:t>
      </w:r>
    </w:p>
    <w:p>
      <w:pPr>
        <w:spacing w:after="0" w:line="223"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Non-Compete</w:t>
      </w:r>
    </w:p>
    <w:p>
      <w:pPr>
        <w:spacing w:after="0" w:line="2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Times New Roman" w:cs="Times New Roman" w:eastAsia="Times New Roman" w:hAnsi="Times New Roman"/>
          <w:sz w:val="21"/>
          <w:szCs w:val="21"/>
          <w:i w:val="1"/>
          <w:iCs w:val="1"/>
          <w:color w:val="auto"/>
        </w:rPr>
        <w:t>Competitive Entity</w:t>
      </w:r>
      <w:r>
        <w:rPr>
          <w:rFonts w:ascii="Times New Roman" w:cs="Times New Roman" w:eastAsia="Times New Roman" w:hAnsi="Times New Roman"/>
          <w:sz w:val="21"/>
          <w:szCs w:val="21"/>
          <w:color w:val="auto"/>
        </w:rPr>
        <w:t>” shall mean (1) any person, entity or business that (i) competes with any of the Company’s or any of its affiliates’ programming, distribution or other existing businesses, internationally,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avoidance of doubt, this agreement not to compete will expire on the Expiration Date if the termination of your employment with the Company occurs on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Additional Understandings</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 w:cs="Times New Roman" w:eastAsia="Times New Roman" w:hAnsi="Times New Roman"/>
          <w:sz w:val="22"/>
          <w:szCs w:val="22"/>
          <w:i w:val="1"/>
          <w:iCs w:val="1"/>
          <w:color w:val="auto"/>
        </w:rPr>
        <w:t>Materials</w:t>
      </w:r>
      <w:r>
        <w:rPr>
          <w:rFonts w:ascii="Times New Roman" w:cs="Times New Roman" w:eastAsia="Times New Roman" w:hAnsi="Times New Roman"/>
          <w:sz w:val="22"/>
          <w:szCs w:val="22"/>
          <w:color w:val="auto"/>
        </w:rPr>
        <w:t>”). The Company will have the sole and exclusive authority to use the Materials in any manner that it deems appropriate, in perpetuity, without additional payment to you.</w:t>
      </w:r>
    </w:p>
    <w:p>
      <w:pPr>
        <w:spacing w:after="0" w:line="203"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Cooperation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will pay you for your services rendered under this provision at a rate of $4,000 per day for each day or part thereof, within 30 days of the approval of the invoice thereof. 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Hire or Solicit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w:t>
      </w:r>
    </w:p>
    <w:p>
      <w:pPr>
        <w:spacing w:after="0" w:line="2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Acknowledgments</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You acknowledge that the restrictions contained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raise the defense that the Company has an adequate remedy at law. Nothing in this </w:t>
      </w:r>
      <w:r>
        <w:rPr>
          <w:rFonts w:ascii="Times New Roman" w:cs="Times New Roman" w:eastAsia="Times New Roman" w:hAnsi="Times New Roman"/>
          <w:sz w:val="22"/>
          <w:szCs w:val="22"/>
          <w:i w:val="1"/>
          <w:iCs w:val="1"/>
          <w:color w:val="auto"/>
        </w:rPr>
        <w:t xml:space="preserve">Annex </w:t>
      </w:r>
      <w:r>
        <w:rPr>
          <w:rFonts w:ascii="Times New Roman" w:cs="Times New Roman" w:eastAsia="Times New Roman" w:hAnsi="Times New Roman"/>
          <w:sz w:val="22"/>
          <w:szCs w:val="22"/>
          <w:color w:val="auto"/>
        </w:rPr>
        <w:t>shall be construed as prohibiting the Company from pursuing any other remedies at law or in equity that it may have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other rights that it may have under any other agreement. If it is determined that any of the provisions of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w:t>
      </w:r>
    </w:p>
    <w:p>
      <w:pPr>
        <w:spacing w:after="0" w:line="23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The covenants and agreements set forth in this </w:t>
      </w:r>
      <w:r>
        <w:rPr>
          <w:rFonts w:ascii="Times New Roman" w:cs="Times New Roman" w:eastAsia="Times New Roman" w:hAnsi="Times New Roman"/>
          <w:sz w:val="22"/>
          <w:szCs w:val="22"/>
          <w:i w:val="1"/>
          <w:iCs w:val="1"/>
          <w:color w:val="auto"/>
        </w:rPr>
        <w:t>Annex</w:t>
      </w:r>
      <w:r>
        <w:rPr>
          <w:rFonts w:ascii="Times New Roman" w:cs="Times New Roman" w:eastAsia="Times New Roman" w:hAnsi="Times New Roman"/>
          <w:sz w:val="22"/>
          <w:szCs w:val="22"/>
          <w:color w:val="auto"/>
        </w:rPr>
        <w:t xml:space="preserve"> shall survive any termination or expiration of this Agreement and any termination of your employment with the Company,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Roman"/>
      <w:start w:val="2"/>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2"/>
    </w:lvl>
  </w:abstractNum>
  <w:abstractNum w:abstractNumId="9">
    <w:nsid w:val="333AB105"/>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0">
    <w:nsid w:val="721DA31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1">
    <w:nsid w:val="2443A858"/>
    <w:multiLevelType w:val="hybridMultilevel"/>
    <w:lvl w:ilvl="0">
      <w:lvlJc w:val="left"/>
      <w:lvlText w:val="%1."/>
      <w:numFmt w:val="lowerLetter"/>
      <w:start w:val="3"/>
    </w:lvl>
    <w:lvl w:ilvl="1">
      <w:lvlJc w:val="left"/>
      <w:lvlText w:val="-"/>
      <w:numFmt w:val="bullet"/>
      <w:start w:val="1"/>
    </w:lvl>
  </w:abstractNum>
  <w:abstractNum w:abstractNumId="12">
    <w:nsid w:val="2D1D5AE9"/>
    <w:multiLevelType w:val="hybridMultilevel"/>
    <w:lvl w:ilvl="0">
      <w:lvlJc w:val="left"/>
      <w:lvlText w:val="%1."/>
      <w:numFmt w:val="lowerLetter"/>
      <w:start w:val="6"/>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10"/>
    </w:lvl>
    <w:lvl w:ilvl="1">
      <w:lvlJc w:val="left"/>
      <w:lvlText w:val="-"/>
      <w:numFmt w:val="bullet"/>
      <w:start w:val="1"/>
    </w:lvl>
  </w:abstractNum>
  <w:abstractNum w:abstractNumId="15">
    <w:nsid w:val="8EDBDAB"/>
    <w:multiLevelType w:val="hybridMultilevel"/>
    <w:lvl w:ilvl="0">
      <w:lvlJc w:val="left"/>
      <w:lvlText w:val="%1."/>
      <w:numFmt w:val="decimal"/>
      <w:start w:val="15"/>
    </w:lvl>
  </w:abstractNum>
  <w:abstractNum w:abstractNumId="16">
    <w:nsid w:val="79838CB2"/>
    <w:multiLevelType w:val="hybridMultilevel"/>
    <w:lvl w:ilvl="0">
      <w:lvlJc w:val="left"/>
      <w:lvlText w:val="(%1)"/>
      <w:numFmt w:val="decimal"/>
      <w:start w:val="50"/>
    </w:lvl>
  </w:abstractNum>
  <w:abstractNum w:abstractNumId="17">
    <w:nsid w:val="4353D0CD"/>
    <w:multiLevelType w:val="hybridMultilevel"/>
    <w:lvl w:ilvl="0">
      <w:lvlJc w:val="left"/>
      <w:lvlText w:val="(%1)"/>
      <w:numFmt w:val="lowerRoman"/>
      <w:start w:val="3"/>
    </w:lvl>
    <w:lvl w:ilvl="1">
      <w:lvlJc w:val="left"/>
      <w:lvlText w:val="%2."/>
      <w:numFmt w:val="decimal"/>
      <w:start w:val="18"/>
    </w:lvl>
  </w:abstractNum>
  <w:abstractNum w:abstractNumId="18">
    <w:nsid w:val="B03E0C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
    <w:nsid w:val="189A769B"/>
    <w:multiLevelType w:val="hybridMultilevel"/>
    <w:lvl w:ilvl="0">
      <w:lvlJc w:val="left"/>
      <w:lvlText w:val="(%1)"/>
      <w:numFmt w:val="lowerLetter"/>
      <w:start w:val="3"/>
    </w:lvl>
    <w:lvl w:ilvl="1">
      <w:lvlJc w:val="left"/>
      <w:lvlText w:val="%2)"/>
      <w:numFmt w:val="decimal"/>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decimal"/>
      <w:start w:val="5"/>
    </w:lvl>
  </w:abstractNum>
  <w:abstractNum w:abstractNumId="23">
    <w:nsid w:val="836C40E"/>
    <w:multiLevelType w:val="hybridMultilevel"/>
    <w:lvl w:ilvl="0">
      <w:lvlJc w:val="left"/>
      <w:lvlText w:val="%1."/>
      <w:numFmt w:val="decimal"/>
      <w:start w:val="7"/>
    </w:lvl>
  </w:abstractNum>
  <w:abstractNum w:abstractNumId="24">
    <w:nsid w:val="2901D82"/>
    <w:multiLevelType w:val="hybridMultilevel"/>
    <w:lvl w:ilvl="0">
      <w:lvlJc w:val="left"/>
      <w:lvlText w:val="%1."/>
      <w:numFmt w:val="decimal"/>
      <w:start w:val="1"/>
    </w:lvl>
    <w:lvl w:ilvl="1">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lowerLetter"/>
      <w:start w:val="3"/>
    </w:lvl>
  </w:abstractNum>
  <w:abstractNum w:abstractNumId="28">
    <w:nsid w:val="7C3DBD3D"/>
    <w:multiLevelType w:val="hybridMultilevel"/>
    <w:lvl w:ilvl="0">
      <w:lvlJc w:val="left"/>
      <w:lvlText w:val="(%1)"/>
      <w:numFmt w:val="lowerRoman"/>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decimal"/>
      <w:start w:val="4"/>
    </w:lvl>
  </w:abstractNum>
  <w:abstractNum w:abstractNumId="31">
    <w:nsid w:val="22221A70"/>
    <w:multiLevelType w:val="hybridMultilevel"/>
    <w:lvl w:ilvl="0">
      <w:lvlJc w:val="left"/>
      <w:lvlText w:val="%1."/>
      <w:numFmt w:val="decimal"/>
      <w:start w:val="5"/>
    </w:lvl>
  </w:abstractNum>
  <w:abstractNum w:abstractNumId="32">
    <w:nsid w:val="4516DDE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2026-06-17T15:05:37Z</dcterms:created>
  <dcterms:modified xsi:type="dcterms:W3CDTF">2026-06-17T15:05:37Z</dcterms:modified>
</cp:coreProperties>
</file>