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57150</wp:posOffset>
            </wp:positionV>
            <wp:extent cx="3291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88265</wp:posOffset>
            </wp:positionV>
            <wp:extent cx="32918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83"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27"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3"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2860" w:type="dxa"/>
            <w:vAlign w:val="bottom"/>
            <w:gridSpan w:val="2"/>
          </w:tcPr>
          <w:p>
            <w:pPr>
              <w:ind w:left="460"/>
              <w:spacing w:after="0"/>
              <w:rPr>
                <w:sz w:val="20"/>
                <w:szCs w:val="20"/>
                <w:color w:val="auto"/>
              </w:rPr>
            </w:pPr>
            <w:r>
              <w:rPr>
                <w:rFonts w:ascii="Arial" w:cs="Arial" w:eastAsia="Arial" w:hAnsi="Arial"/>
                <w:sz w:val="18"/>
                <w:szCs w:val="18"/>
                <w:b w:val="1"/>
                <w:bCs w:val="1"/>
                <w:color w:val="auto"/>
                <w:w w:val="94"/>
              </w:rPr>
              <w:t>For the transition period from</w:t>
            </w:r>
          </w:p>
        </w:tc>
        <w:tc>
          <w:tcPr>
            <w:tcW w:w="4240" w:type="dxa"/>
            <w:vAlign w:val="bottom"/>
            <w:gridSpan w:val="2"/>
          </w:tcPr>
          <w:p>
            <w:pPr>
              <w:ind w:left="60"/>
              <w:spacing w:after="0"/>
              <w:rPr>
                <w:sz w:val="20"/>
                <w:szCs w:val="20"/>
                <w:color w:val="auto"/>
              </w:rPr>
            </w:pPr>
            <w:r>
              <w:rPr>
                <w:rFonts w:ascii="Arial" w:cs="Arial" w:eastAsia="Arial" w:hAnsi="Arial"/>
                <w:sz w:val="18"/>
                <w:szCs w:val="18"/>
                <w:b w:val="1"/>
                <w:bCs w:val="1"/>
                <w:color w:val="auto"/>
              </w:rPr>
              <w:t>to</w:t>
            </w:r>
          </w:p>
        </w:tc>
      </w:tr>
      <w:tr>
        <w:trPr>
          <w:trHeight w:val="270"/>
        </w:trPr>
        <w:tc>
          <w:tcPr>
            <w:tcW w:w="25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18"/>
                <w:szCs w:val="18"/>
                <w:b w:val="1"/>
                <w:bCs w:val="1"/>
                <w:color w:val="auto"/>
                <w:w w:val="91"/>
              </w:rPr>
              <w:t>Commission File Number: 1-35106</w:t>
            </w:r>
          </w:p>
        </w:tc>
      </w:tr>
      <w:tr>
        <w:trPr>
          <w:trHeight w:val="135"/>
        </w:trPr>
        <w:tc>
          <w:tcPr>
            <w:tcW w:w="25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0" w:type="dxa"/>
            <w:vAlign w:val="bottom"/>
            <w:tcBorders>
              <w:bottom w:val="single" w:sz="8" w:color="auto"/>
            </w:tcBorders>
            <w:gridSpan w:val="2"/>
          </w:tcPr>
          <w:p>
            <w:pPr>
              <w:spacing w:after="0"/>
              <w:rPr>
                <w:sz w:val="11"/>
                <w:szCs w:val="11"/>
                <w:color w:val="auto"/>
              </w:rPr>
            </w:pPr>
          </w:p>
        </w:tc>
        <w:tc>
          <w:tcPr>
            <w:tcW w:w="1920" w:type="dxa"/>
            <w:vAlign w:val="bottom"/>
          </w:tcPr>
          <w:p>
            <w:pPr>
              <w:spacing w:after="0"/>
              <w:rPr>
                <w:sz w:val="11"/>
                <w:szCs w:val="11"/>
                <w:color w:val="auto"/>
              </w:rPr>
            </w:pPr>
          </w:p>
        </w:tc>
      </w:tr>
      <w:tr>
        <w:trPr>
          <w:trHeight w:val="471"/>
        </w:trPr>
        <w:tc>
          <w:tcPr>
            <w:tcW w:w="2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29"/>
                <w:szCs w:val="29"/>
                <w:b w:val="1"/>
                <w:bCs w:val="1"/>
                <w:color w:val="auto"/>
                <w:w w:val="94"/>
              </w:rPr>
              <w:t>AMC Networks Inc.</w:t>
            </w:r>
          </w:p>
        </w:tc>
      </w:tr>
      <w:tr>
        <w:trPr>
          <w:trHeight w:val="246"/>
        </w:trPr>
        <w:tc>
          <w:tcPr>
            <w:tcW w:w="2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320" w:type="dxa"/>
            <w:vAlign w:val="bottom"/>
            <w:gridSpan w:val="3"/>
          </w:tcPr>
          <w:p>
            <w:pPr>
              <w:jc w:val="center"/>
              <w:ind w:right="270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73"/>
        </w:trPr>
        <w:tc>
          <w:tcPr>
            <w:tcW w:w="252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920" w:type="dxa"/>
            <w:vAlign w:val="bottom"/>
          </w:tcPr>
          <w:p>
            <w:pPr>
              <w:spacing w:after="0"/>
              <w:rPr>
                <w:sz w:val="6"/>
                <w:szCs w:val="6"/>
                <w:color w:val="auto"/>
              </w:rPr>
            </w:pPr>
          </w:p>
        </w:tc>
      </w:tr>
      <w:tr>
        <w:trPr>
          <w:trHeight w:val="430"/>
        </w:trPr>
        <w:tc>
          <w:tcPr>
            <w:tcW w:w="3300" w:type="dxa"/>
            <w:vAlign w:val="bottom"/>
            <w:gridSpan w:val="2"/>
          </w:tcPr>
          <w:p>
            <w:pPr>
              <w:jc w:val="center"/>
              <w:ind w:left="1219"/>
              <w:spacing w:after="0"/>
              <w:rPr>
                <w:sz w:val="20"/>
                <w:szCs w:val="20"/>
                <w:color w:val="auto"/>
              </w:rPr>
            </w:pPr>
            <w:r>
              <w:rPr>
                <w:rFonts w:ascii="Arial" w:cs="Arial" w:eastAsia="Arial" w:hAnsi="Arial"/>
                <w:sz w:val="18"/>
                <w:szCs w:val="18"/>
                <w:b w:val="1"/>
                <w:bCs w:val="1"/>
                <w:color w:val="auto"/>
                <w:w w:val="91"/>
              </w:rPr>
              <w:t>Delaware</w:t>
            </w:r>
          </w:p>
        </w:tc>
        <w:tc>
          <w:tcPr>
            <w:tcW w:w="2080" w:type="dxa"/>
            <w:vAlign w:val="bottom"/>
          </w:tcPr>
          <w:p>
            <w:pPr>
              <w:spacing w:after="0"/>
              <w:rPr>
                <w:sz w:val="24"/>
                <w:szCs w:val="24"/>
                <w:color w:val="auto"/>
              </w:rPr>
            </w:pPr>
          </w:p>
        </w:tc>
        <w:tc>
          <w:tcPr>
            <w:tcW w:w="4240" w:type="dxa"/>
            <w:vAlign w:val="bottom"/>
            <w:gridSpan w:val="2"/>
          </w:tcPr>
          <w:p>
            <w:pPr>
              <w:jc w:val="right"/>
              <w:ind w:right="1280"/>
              <w:spacing w:after="0"/>
              <w:rPr>
                <w:sz w:val="20"/>
                <w:szCs w:val="20"/>
                <w:color w:val="auto"/>
              </w:rPr>
            </w:pPr>
            <w:r>
              <w:rPr>
                <w:rFonts w:ascii="Arial" w:cs="Arial" w:eastAsia="Arial" w:hAnsi="Arial"/>
                <w:sz w:val="18"/>
                <w:szCs w:val="18"/>
                <w:b w:val="1"/>
                <w:bCs w:val="1"/>
                <w:color w:val="auto"/>
              </w:rPr>
              <w:t>27-5403694</w:t>
            </w:r>
          </w:p>
        </w:tc>
      </w:tr>
      <w:tr>
        <w:trPr>
          <w:trHeight w:val="144"/>
        </w:trPr>
        <w:tc>
          <w:tcPr>
            <w:tcW w:w="3300" w:type="dxa"/>
            <w:vAlign w:val="bottom"/>
            <w:gridSpan w:val="2"/>
          </w:tcPr>
          <w:p>
            <w:pPr>
              <w:jc w:val="center"/>
              <w:ind w:left="1219"/>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2080" w:type="dxa"/>
            <w:vAlign w:val="bottom"/>
          </w:tcPr>
          <w:p>
            <w:pPr>
              <w:spacing w:after="0"/>
              <w:rPr>
                <w:sz w:val="12"/>
                <w:szCs w:val="12"/>
                <w:color w:val="auto"/>
              </w:rPr>
            </w:pPr>
          </w:p>
        </w:tc>
        <w:tc>
          <w:tcPr>
            <w:tcW w:w="4240" w:type="dxa"/>
            <w:vAlign w:val="bottom"/>
            <w:gridSpan w:val="2"/>
          </w:tcPr>
          <w:p>
            <w:pPr>
              <w:jc w:val="center"/>
              <w:ind w:left="759"/>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300" w:type="dxa"/>
            <w:vAlign w:val="bottom"/>
            <w:gridSpan w:val="2"/>
          </w:tcPr>
          <w:p>
            <w:pPr>
              <w:jc w:val="center"/>
              <w:ind w:left="1219"/>
              <w:spacing w:after="0"/>
              <w:rPr>
                <w:sz w:val="20"/>
                <w:szCs w:val="20"/>
                <w:color w:val="auto"/>
              </w:rPr>
            </w:pPr>
            <w:r>
              <w:rPr>
                <w:rFonts w:ascii="Arial" w:cs="Arial" w:eastAsia="Arial" w:hAnsi="Arial"/>
                <w:sz w:val="14"/>
                <w:szCs w:val="14"/>
                <w:b w:val="1"/>
                <w:bCs w:val="1"/>
                <w:color w:val="auto"/>
                <w:w w:val="94"/>
              </w:rPr>
              <w:t>incorporation or organization)</w:t>
            </w:r>
          </w:p>
        </w:tc>
        <w:tc>
          <w:tcPr>
            <w:tcW w:w="2080" w:type="dxa"/>
            <w:vAlign w:val="bottom"/>
          </w:tcPr>
          <w:p>
            <w:pPr>
              <w:spacing w:after="0"/>
              <w:rPr>
                <w:sz w:val="16"/>
                <w:szCs w:val="16"/>
                <w:color w:val="auto"/>
              </w:rPr>
            </w:pPr>
          </w:p>
        </w:tc>
        <w:tc>
          <w:tcPr>
            <w:tcW w:w="4240" w:type="dxa"/>
            <w:vAlign w:val="bottom"/>
            <w:gridSpan w:val="2"/>
          </w:tcPr>
          <w:p>
            <w:pPr>
              <w:jc w:val="center"/>
              <w:ind w:left="739"/>
              <w:spacing w:after="0"/>
              <w:rPr>
                <w:sz w:val="20"/>
                <w:szCs w:val="20"/>
                <w:color w:val="auto"/>
              </w:rPr>
            </w:pPr>
            <w:r>
              <w:rPr>
                <w:rFonts w:ascii="Arial" w:cs="Arial" w:eastAsia="Arial" w:hAnsi="Arial"/>
                <w:sz w:val="14"/>
                <w:szCs w:val="14"/>
                <w:b w:val="1"/>
                <w:bCs w:val="1"/>
                <w:color w:val="auto"/>
                <w:w w:val="96"/>
              </w:rPr>
              <w:t>Identification No.)</w:t>
            </w:r>
          </w:p>
        </w:tc>
      </w:tr>
      <w:tr>
        <w:trPr>
          <w:trHeight w:val="281"/>
        </w:trPr>
        <w:tc>
          <w:tcPr>
            <w:tcW w:w="3300" w:type="dxa"/>
            <w:vAlign w:val="bottom"/>
            <w:gridSpan w:val="2"/>
          </w:tcPr>
          <w:p>
            <w:pPr>
              <w:jc w:val="center"/>
              <w:ind w:left="1219"/>
              <w:spacing w:after="0"/>
              <w:rPr>
                <w:sz w:val="20"/>
                <w:szCs w:val="20"/>
                <w:color w:val="auto"/>
              </w:rPr>
            </w:pPr>
            <w:r>
              <w:rPr>
                <w:rFonts w:ascii="Arial" w:cs="Arial" w:eastAsia="Arial" w:hAnsi="Arial"/>
                <w:sz w:val="18"/>
                <w:szCs w:val="18"/>
                <w:b w:val="1"/>
                <w:bCs w:val="1"/>
                <w:color w:val="auto"/>
                <w:w w:val="89"/>
              </w:rPr>
              <w:t>11 Penn Plaza,</w:t>
            </w:r>
          </w:p>
        </w:tc>
        <w:tc>
          <w:tcPr>
            <w:tcW w:w="2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5"/>
        </w:trPr>
        <w:tc>
          <w:tcPr>
            <w:tcW w:w="3300" w:type="dxa"/>
            <w:vAlign w:val="bottom"/>
            <w:gridSpan w:val="2"/>
          </w:tcPr>
          <w:p>
            <w:pPr>
              <w:ind w:left="1460"/>
              <w:spacing w:after="0"/>
              <w:rPr>
                <w:sz w:val="20"/>
                <w:szCs w:val="20"/>
                <w:color w:val="auto"/>
              </w:rPr>
            </w:pPr>
            <w:r>
              <w:rPr>
                <w:rFonts w:ascii="Arial" w:cs="Arial" w:eastAsia="Arial" w:hAnsi="Arial"/>
                <w:sz w:val="18"/>
                <w:szCs w:val="18"/>
                <w:b w:val="1"/>
                <w:bCs w:val="1"/>
                <w:color w:val="auto"/>
              </w:rPr>
              <w:t>New York, NY</w:t>
            </w:r>
          </w:p>
        </w:tc>
        <w:tc>
          <w:tcPr>
            <w:tcW w:w="2080" w:type="dxa"/>
            <w:vAlign w:val="bottom"/>
          </w:tcPr>
          <w:p>
            <w:pPr>
              <w:spacing w:after="0"/>
              <w:rPr>
                <w:sz w:val="19"/>
                <w:szCs w:val="19"/>
                <w:color w:val="auto"/>
              </w:rPr>
            </w:pPr>
          </w:p>
        </w:tc>
        <w:tc>
          <w:tcPr>
            <w:tcW w:w="4240" w:type="dxa"/>
            <w:vAlign w:val="bottom"/>
            <w:gridSpan w:val="2"/>
          </w:tcPr>
          <w:p>
            <w:pPr>
              <w:jc w:val="right"/>
              <w:ind w:right="1480"/>
              <w:spacing w:after="0"/>
              <w:rPr>
                <w:sz w:val="20"/>
                <w:szCs w:val="20"/>
                <w:color w:val="auto"/>
              </w:rPr>
            </w:pPr>
            <w:r>
              <w:rPr>
                <w:rFonts w:ascii="Arial" w:cs="Arial" w:eastAsia="Arial" w:hAnsi="Arial"/>
                <w:sz w:val="18"/>
                <w:szCs w:val="18"/>
                <w:b w:val="1"/>
                <w:bCs w:val="1"/>
                <w:color w:val="auto"/>
              </w:rPr>
              <w:t>10001</w:t>
            </w:r>
          </w:p>
        </w:tc>
      </w:tr>
      <w:tr>
        <w:trPr>
          <w:trHeight w:val="186"/>
        </w:trPr>
        <w:tc>
          <w:tcPr>
            <w:tcW w:w="5380" w:type="dxa"/>
            <w:vAlign w:val="bottom"/>
            <w:gridSpan w:val="3"/>
          </w:tcPr>
          <w:p>
            <w:pPr>
              <w:jc w:val="center"/>
              <w:ind w:right="71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240" w:type="dxa"/>
            <w:vAlign w:val="bottom"/>
            <w:gridSpan w:val="2"/>
          </w:tcPr>
          <w:p>
            <w:pPr>
              <w:jc w:val="center"/>
              <w:ind w:left="739"/>
              <w:spacing w:after="0"/>
              <w:rPr>
                <w:sz w:val="20"/>
                <w:szCs w:val="20"/>
                <w:color w:val="auto"/>
              </w:rPr>
            </w:pPr>
            <w:r>
              <w:rPr>
                <w:rFonts w:ascii="Arial" w:cs="Arial" w:eastAsia="Arial" w:hAnsi="Arial"/>
                <w:sz w:val="14"/>
                <w:szCs w:val="14"/>
                <w:b w:val="1"/>
                <w:bCs w:val="1"/>
                <w:color w:val="auto"/>
                <w:w w:val="95"/>
              </w:rPr>
              <w:t>(Zip Code)</w:t>
            </w:r>
          </w:p>
        </w:tc>
      </w:tr>
      <w:tr>
        <w:trPr>
          <w:trHeight w:val="354"/>
        </w:trPr>
        <w:tc>
          <w:tcPr>
            <w:tcW w:w="2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0" w:type="dxa"/>
            <w:vAlign w:val="bottom"/>
            <w:gridSpan w:val="2"/>
          </w:tcPr>
          <w:p>
            <w:pPr>
              <w:jc w:val="center"/>
              <w:ind w:right="719"/>
              <w:spacing w:after="0"/>
              <w:rPr>
                <w:sz w:val="20"/>
                <w:szCs w:val="20"/>
                <w:color w:val="auto"/>
              </w:rPr>
            </w:pPr>
            <w:r>
              <w:rPr>
                <w:rFonts w:ascii="Arial" w:cs="Arial" w:eastAsia="Arial" w:hAnsi="Arial"/>
                <w:sz w:val="18"/>
                <w:szCs w:val="18"/>
                <w:b w:val="1"/>
                <w:bCs w:val="1"/>
                <w:color w:val="auto"/>
                <w:w w:val="90"/>
              </w:rPr>
              <w:t>(212) 324-8500</w:t>
            </w:r>
          </w:p>
        </w:tc>
        <w:tc>
          <w:tcPr>
            <w:tcW w:w="1920" w:type="dxa"/>
            <w:vAlign w:val="bottom"/>
          </w:tcPr>
          <w:p>
            <w:pPr>
              <w:spacing w:after="0"/>
              <w:rPr>
                <w:sz w:val="24"/>
                <w:szCs w:val="24"/>
                <w:color w:val="auto"/>
              </w:rPr>
            </w:pPr>
          </w:p>
        </w:tc>
      </w:tr>
      <w:tr>
        <w:trPr>
          <w:trHeight w:val="162"/>
        </w:trPr>
        <w:tc>
          <w:tcPr>
            <w:tcW w:w="2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86"/>
        </w:trPr>
        <w:tc>
          <w:tcPr>
            <w:tcW w:w="2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478"/>
        </w:trPr>
        <w:tc>
          <w:tcPr>
            <w:tcW w:w="3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080" w:type="dxa"/>
            <w:vAlign w:val="bottom"/>
          </w:tcPr>
          <w:p>
            <w:pPr>
              <w:jc w:val="center"/>
              <w:ind w:left="511"/>
              <w:spacing w:after="0"/>
              <w:rPr>
                <w:sz w:val="20"/>
                <w:szCs w:val="20"/>
                <w:color w:val="auto"/>
              </w:rPr>
            </w:pPr>
            <w:r>
              <w:rPr>
                <w:rFonts w:ascii="Arial" w:cs="Arial" w:eastAsia="Arial" w:hAnsi="Arial"/>
                <w:sz w:val="16"/>
                <w:szCs w:val="16"/>
                <w:b w:val="1"/>
                <w:bCs w:val="1"/>
                <w:color w:val="auto"/>
                <w:w w:val="91"/>
              </w:rPr>
              <w:t>Trading Symbol(s)</w:t>
            </w:r>
          </w:p>
        </w:tc>
        <w:tc>
          <w:tcPr>
            <w:tcW w:w="4240" w:type="dxa"/>
            <w:vAlign w:val="bottom"/>
            <w:gridSpan w:val="2"/>
          </w:tcPr>
          <w:p>
            <w:pPr>
              <w:ind w:left="1240"/>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16"/>
        </w:trPr>
        <w:tc>
          <w:tcPr>
            <w:tcW w:w="3300" w:type="dxa"/>
            <w:vAlign w:val="bottom"/>
            <w:gridSpan w:val="2"/>
          </w:tcPr>
          <w:p>
            <w:pPr>
              <w:jc w:val="center"/>
              <w:spacing w:after="0"/>
              <w:rPr>
                <w:sz w:val="20"/>
                <w:szCs w:val="20"/>
                <w:color w:val="auto"/>
              </w:rPr>
            </w:pPr>
            <w:r>
              <w:rPr>
                <w:rFonts w:ascii="Arial" w:cs="Arial" w:eastAsia="Arial" w:hAnsi="Arial"/>
                <w:sz w:val="16"/>
                <w:szCs w:val="16"/>
                <w:color w:val="auto"/>
                <w:w w:val="90"/>
              </w:rPr>
              <w:t>Class A Common Stock, par value $0.01 per share</w:t>
            </w:r>
          </w:p>
        </w:tc>
        <w:tc>
          <w:tcPr>
            <w:tcW w:w="2080" w:type="dxa"/>
            <w:vAlign w:val="bottom"/>
          </w:tcPr>
          <w:p>
            <w:pPr>
              <w:jc w:val="center"/>
              <w:ind w:left="511"/>
              <w:spacing w:after="0"/>
              <w:rPr>
                <w:sz w:val="20"/>
                <w:szCs w:val="20"/>
                <w:color w:val="auto"/>
              </w:rPr>
            </w:pPr>
            <w:r>
              <w:rPr>
                <w:rFonts w:ascii="Arial" w:cs="Arial" w:eastAsia="Arial" w:hAnsi="Arial"/>
                <w:sz w:val="16"/>
                <w:szCs w:val="16"/>
                <w:color w:val="auto"/>
              </w:rPr>
              <w:t>AMCX</w:t>
            </w:r>
          </w:p>
        </w:tc>
        <w:tc>
          <w:tcPr>
            <w:tcW w:w="4240" w:type="dxa"/>
            <w:vAlign w:val="bottom"/>
            <w:gridSpan w:val="2"/>
          </w:tcPr>
          <w:p>
            <w:pPr>
              <w:ind w:left="1460"/>
              <w:spacing w:after="0"/>
              <w:rPr>
                <w:sz w:val="20"/>
                <w:szCs w:val="20"/>
                <w:color w:val="auto"/>
              </w:rPr>
            </w:pPr>
            <w:r>
              <w:rPr>
                <w:rFonts w:ascii="Arial" w:cs="Arial" w:eastAsia="Arial" w:hAnsi="Arial"/>
                <w:sz w:val="16"/>
                <w:szCs w:val="16"/>
                <w:color w:val="auto"/>
              </w:rPr>
              <w:t>The  NASDAQ  Stock Market LLC</w:t>
            </w:r>
          </w:p>
        </w:tc>
      </w:tr>
      <w:tr>
        <w:trPr>
          <w:trHeight w:val="114"/>
        </w:trPr>
        <w:tc>
          <w:tcPr>
            <w:tcW w:w="25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r>
    </w:tbl>
    <w:p>
      <w:pPr>
        <w:spacing w:after="0" w:line="28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3"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ind w:right="280"/>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(as defined in Exchange Act Rule 12b-2).</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9"/>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8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10"/>
        </w:trPr>
        <w:tc>
          <w:tcPr>
            <w:tcW w:w="19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860" w:type="dxa"/>
            <w:vAlign w:val="bottom"/>
          </w:tcPr>
          <w:p>
            <w:pPr>
              <w:ind w:left="274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380"/>
              <w:spacing w:after="0" w:line="191" w:lineRule="exact"/>
              <w:rPr>
                <w:sz w:val="20"/>
                <w:szCs w:val="20"/>
                <w:color w:val="auto"/>
              </w:rPr>
            </w:pPr>
            <w:r>
              <w:rPr>
                <w:rFonts w:ascii="MS PGothic" w:cs="MS PGothic" w:eastAsia="MS PGothic" w:hAnsi="MS PGothic"/>
                <w:sz w:val="19"/>
                <w:szCs w:val="19"/>
                <w:color w:val="auto"/>
                <w:w w:val="73"/>
              </w:rPr>
              <w:t>☐</w:t>
            </w:r>
          </w:p>
        </w:tc>
      </w:tr>
    </w:tbl>
    <w:p>
      <w:pPr>
        <w:spacing w:after="0" w:line="221"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310"/>
        </w:trPr>
        <w:tc>
          <w:tcPr>
            <w:tcW w:w="7440" w:type="dxa"/>
            <w:vAlign w:val="bottom"/>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800" w:type="dxa"/>
            <w:vAlign w:val="bottom"/>
          </w:tcPr>
          <w:p>
            <w:pPr>
              <w:jc w:val="right"/>
              <w:ind w:right="2559"/>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332"/>
        </w:trPr>
        <w:tc>
          <w:tcPr>
            <w:tcW w:w="7440" w:type="dxa"/>
            <w:vAlign w:val="bottom"/>
          </w:tcPr>
          <w:p>
            <w:pPr>
              <w:spacing w:after="0"/>
              <w:rPr>
                <w:sz w:val="20"/>
                <w:szCs w:val="20"/>
                <w:color w:val="auto"/>
              </w:rPr>
            </w:pPr>
            <w:r>
              <w:rPr>
                <w:rFonts w:ascii="Arial" w:cs="Arial" w:eastAsia="Arial" w:hAnsi="Arial"/>
                <w:sz w:val="16"/>
                <w:szCs w:val="16"/>
                <w:color w:val="auto"/>
              </w:rPr>
              <w:t>The number of shares of common stock outstanding as of July 29, 2022:</w:t>
            </w:r>
          </w:p>
        </w:tc>
        <w:tc>
          <w:tcPr>
            <w:tcW w:w="3800" w:type="dxa"/>
            <w:vAlign w:val="bottom"/>
          </w:tcPr>
          <w:p>
            <w:pPr>
              <w:spacing w:after="0"/>
              <w:rPr>
                <w:sz w:val="24"/>
                <w:szCs w:val="24"/>
                <w:color w:val="auto"/>
              </w:rPr>
            </w:pPr>
          </w:p>
        </w:tc>
      </w:tr>
      <w:tr>
        <w:trPr>
          <w:trHeight w:val="230"/>
        </w:trPr>
        <w:tc>
          <w:tcPr>
            <w:tcW w:w="7440" w:type="dxa"/>
            <w:vAlign w:val="bottom"/>
          </w:tcPr>
          <w:p>
            <w:pPr>
              <w:ind w:left="1400"/>
              <w:spacing w:after="0"/>
              <w:rPr>
                <w:sz w:val="20"/>
                <w:szCs w:val="20"/>
                <w:color w:val="auto"/>
              </w:rPr>
            </w:pPr>
            <w:r>
              <w:rPr>
                <w:rFonts w:ascii="Arial" w:cs="Arial" w:eastAsia="Arial" w:hAnsi="Arial"/>
                <w:sz w:val="16"/>
                <w:szCs w:val="16"/>
                <w:color w:val="auto"/>
              </w:rPr>
              <w:t>Class A Common Stock par value $0.01 per share</w:t>
            </w:r>
          </w:p>
        </w:tc>
        <w:tc>
          <w:tcPr>
            <w:tcW w:w="3800" w:type="dxa"/>
            <w:vAlign w:val="bottom"/>
          </w:tcPr>
          <w:p>
            <w:pPr>
              <w:jc w:val="right"/>
              <w:ind w:right="2159"/>
              <w:spacing w:after="0"/>
              <w:rPr>
                <w:sz w:val="20"/>
                <w:szCs w:val="20"/>
                <w:color w:val="auto"/>
              </w:rPr>
            </w:pPr>
            <w:r>
              <w:rPr>
                <w:rFonts w:ascii="Arial" w:cs="Arial" w:eastAsia="Arial" w:hAnsi="Arial"/>
                <w:sz w:val="16"/>
                <w:szCs w:val="16"/>
                <w:color w:val="auto"/>
              </w:rPr>
              <w:t>31,434,451</w:t>
            </w:r>
          </w:p>
        </w:tc>
      </w:tr>
      <w:tr>
        <w:trPr>
          <w:trHeight w:val="216"/>
        </w:trPr>
        <w:tc>
          <w:tcPr>
            <w:tcW w:w="7440" w:type="dxa"/>
            <w:vAlign w:val="bottom"/>
          </w:tcPr>
          <w:p>
            <w:pPr>
              <w:ind w:left="1420"/>
              <w:spacing w:after="0"/>
              <w:rPr>
                <w:sz w:val="20"/>
                <w:szCs w:val="20"/>
                <w:color w:val="auto"/>
              </w:rPr>
            </w:pPr>
            <w:r>
              <w:rPr>
                <w:rFonts w:ascii="Arial" w:cs="Arial" w:eastAsia="Arial" w:hAnsi="Arial"/>
                <w:sz w:val="16"/>
                <w:szCs w:val="16"/>
                <w:color w:val="auto"/>
              </w:rPr>
              <w:t>Class B Common Stock par value $0.01 per share</w:t>
            </w:r>
          </w:p>
        </w:tc>
        <w:tc>
          <w:tcPr>
            <w:tcW w:w="3800" w:type="dxa"/>
            <w:vAlign w:val="bottom"/>
          </w:tcPr>
          <w:p>
            <w:pPr>
              <w:jc w:val="right"/>
              <w:ind w:right="2159"/>
              <w:spacing w:after="0"/>
              <w:rPr>
                <w:sz w:val="20"/>
                <w:szCs w:val="20"/>
                <w:color w:val="auto"/>
              </w:rPr>
            </w:pPr>
            <w:r>
              <w:rPr>
                <w:rFonts w:ascii="Arial" w:cs="Arial" w:eastAsia="Arial" w:hAnsi="Arial"/>
                <w:sz w:val="16"/>
                <w:szCs w:val="16"/>
                <w:color w:val="auto"/>
              </w:rPr>
              <w:t>11,484,408</w:t>
            </w:r>
          </w:p>
        </w:tc>
      </w:tr>
      <w:tr>
        <w:trPr>
          <w:trHeight w:val="823"/>
        </w:trPr>
        <w:tc>
          <w:tcPr>
            <w:tcW w:w="74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AMC NETWORKS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80" w:type="dxa"/>
            <w:vAlign w:val="bottom"/>
            <w:gridSpan w:val="10"/>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7360" w:type="dxa"/>
            <w:vAlign w:val="bottom"/>
            <w:gridSpan w:val="9"/>
            <w:vMerge w:val="restart"/>
          </w:tcPr>
          <w:p>
            <w:pPr>
              <w:spacing w:after="0"/>
              <w:rPr>
                <w:sz w:val="20"/>
                <w:szCs w:val="20"/>
                <w:color w:val="auto"/>
              </w:rPr>
            </w:pPr>
          </w:p>
        </w:tc>
        <w:tc>
          <w:tcPr>
            <w:tcW w:w="7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3080" w:type="dxa"/>
            <w:vAlign w:val="bottom"/>
            <w:tcBorders>
              <w:bottom w:val="single" w:sz="8" w:color="0000FF"/>
            </w:tcBorders>
            <w:gridSpan w:val="10"/>
            <w:vMerge w:val="continue"/>
          </w:tcPr>
          <w:p>
            <w:pPr>
              <w:spacing w:after="0"/>
              <w:rPr>
                <w:sz w:val="14"/>
                <w:szCs w:val="14"/>
                <w:color w:val="auto"/>
              </w:rPr>
            </w:pPr>
          </w:p>
        </w:tc>
        <w:tc>
          <w:tcPr>
            <w:tcW w:w="7360" w:type="dxa"/>
            <w:vAlign w:val="bottom"/>
            <w:gridSpan w:val="9"/>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gridSpan w:val="15"/>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Comprehensive Income</w:t>
              </w:r>
            </w:hyperlink>
          </w:p>
        </w:tc>
        <w:tc>
          <w:tcPr>
            <w:tcW w:w="5320" w:type="dxa"/>
            <w:vAlign w:val="bottom"/>
            <w:gridSpan w:val="2"/>
          </w:tcPr>
          <w:p>
            <w:pPr>
              <w:spacing w:after="0"/>
              <w:rPr>
                <w:sz w:val="18"/>
                <w:szCs w:val="18"/>
                <w:color w:val="auto"/>
              </w:rPr>
            </w:pPr>
          </w:p>
        </w:tc>
        <w:tc>
          <w:tcPr>
            <w:tcW w:w="7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4"/>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Stockholders' Equity</w:t>
              </w:r>
            </w:hyperlink>
          </w:p>
        </w:tc>
        <w:tc>
          <w:tcPr>
            <w:tcW w:w="220" w:type="dxa"/>
            <w:vAlign w:val="bottom"/>
          </w:tcPr>
          <w:p>
            <w:pPr>
              <w:spacing w:after="0"/>
              <w:rPr>
                <w:sz w:val="18"/>
                <w:szCs w:val="18"/>
                <w:color w:val="auto"/>
              </w:rPr>
            </w:pPr>
          </w:p>
        </w:tc>
        <w:tc>
          <w:tcPr>
            <w:tcW w:w="5320" w:type="dxa"/>
            <w:vAlign w:val="bottom"/>
            <w:gridSpan w:val="2"/>
          </w:tcPr>
          <w:p>
            <w:pPr>
              <w:spacing w:after="0"/>
              <w:rPr>
                <w:sz w:val="18"/>
                <w:szCs w:val="18"/>
                <w:color w:val="auto"/>
              </w:rPr>
            </w:pPr>
          </w:p>
        </w:tc>
        <w:tc>
          <w:tcPr>
            <w:tcW w:w="7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4"/>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w:t>
              </w:r>
            </w:hyperlink>
          </w:p>
        </w:tc>
        <w:tc>
          <w:tcPr>
            <w:tcW w:w="5540" w:type="dxa"/>
            <w:vAlign w:val="bottom"/>
            <w:gridSpan w:val="3"/>
          </w:tcPr>
          <w:p>
            <w:pPr>
              <w:spacing w:after="0"/>
              <w:rPr>
                <w:sz w:val="18"/>
                <w:szCs w:val="18"/>
                <w:color w:val="auto"/>
              </w:rPr>
            </w:pPr>
          </w:p>
        </w:tc>
        <w:tc>
          <w:tcPr>
            <w:tcW w:w="7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Borders>
              <w:bottom w:val="single" w:sz="8" w:color="0000FF"/>
            </w:tcBorders>
            <w:gridSpan w:val="17"/>
          </w:tcPr>
          <w:p>
            <w:pPr>
              <w:spacing w:after="0"/>
              <w:rPr>
                <w:rFonts w:ascii="Arial" w:cs="Arial" w:eastAsia="Arial" w:hAnsi="Arial"/>
                <w:sz w:val="18"/>
                <w:szCs w:val="18"/>
                <w:color w:val="0000FF"/>
                <w:w w:val="91"/>
              </w:rPr>
            </w:pPr>
            <w:hyperlink w:anchor="page24">
              <w:r>
                <w:rPr>
                  <w:rFonts w:ascii="Arial" w:cs="Arial" w:eastAsia="Arial" w:hAnsi="Arial"/>
                  <w:sz w:val="18"/>
                  <w:szCs w:val="18"/>
                  <w:color w:val="0000FF"/>
                  <w:w w:val="91"/>
                </w:rPr>
                <w:t>Item 2. Management’s Discussion and Analysis of Financial Condition and Results of Operations</w:t>
              </w:r>
            </w:hyperlink>
          </w:p>
        </w:tc>
        <w:tc>
          <w:tcPr>
            <w:tcW w:w="3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18"/>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3. Quantitative and Qualitative Disclosures About Market Risk</w:t>
              </w:r>
            </w:hyperlink>
          </w:p>
        </w:tc>
        <w:tc>
          <w:tcPr>
            <w:tcW w:w="76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39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Item 4. Controls and Procedures</w:t>
              </w:r>
            </w:hyperlink>
          </w:p>
        </w:tc>
        <w:tc>
          <w:tcPr>
            <w:tcW w:w="2580" w:type="dxa"/>
            <w:vAlign w:val="bottom"/>
            <w:tcBorders>
              <w:top w:val="single" w:sz="8" w:color="0000FF"/>
            </w:tcBorders>
            <w:gridSpan w:val="9"/>
          </w:tcPr>
          <w:p>
            <w:pPr>
              <w:spacing w:after="0"/>
              <w:rPr>
                <w:sz w:val="18"/>
                <w:szCs w:val="18"/>
                <w:color w:val="auto"/>
              </w:rPr>
            </w:pPr>
          </w:p>
        </w:tc>
        <w:tc>
          <w:tcPr>
            <w:tcW w:w="53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0000FF"/>
            </w:tcBorders>
            <w:gridSpan w:val="9"/>
          </w:tcPr>
          <w:p>
            <w:pPr>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PART II. OTHER INFORMATION</w:t>
              </w:r>
            </w:hyperlink>
          </w:p>
        </w:tc>
        <w:tc>
          <w:tcPr>
            <w:tcW w:w="7660" w:type="dxa"/>
            <w:vAlign w:val="bottom"/>
            <w:gridSpan w:val="10"/>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43">
              <w:r>
                <w:rPr>
                  <w:rFonts w:ascii="Arial" w:cs="Arial" w:eastAsia="Arial" w:hAnsi="Arial"/>
                  <w:sz w:val="18"/>
                  <w:szCs w:val="18"/>
                  <w:color w:val="0000FF"/>
                  <w:w w:val="94"/>
                </w:rPr>
                <w:t>Item 1.</w:t>
              </w:r>
            </w:hyperlink>
          </w:p>
        </w:tc>
        <w:tc>
          <w:tcPr>
            <w:tcW w:w="1360" w:type="dxa"/>
            <w:vAlign w:val="bottom"/>
            <w:tcBorders>
              <w:bottom w:val="single" w:sz="8" w:color="0000FF"/>
            </w:tcBorders>
            <w:gridSpan w:val="4"/>
          </w:tcPr>
          <w:p>
            <w:pPr>
              <w:ind w:left="20"/>
              <w:spacing w:after="0"/>
              <w:rPr>
                <w:rFonts w:ascii="Arial" w:cs="Arial" w:eastAsia="Arial" w:hAnsi="Arial"/>
                <w:sz w:val="18"/>
                <w:szCs w:val="18"/>
                <w:color w:val="0000FF"/>
                <w:w w:val="88"/>
              </w:rPr>
            </w:pPr>
            <w:hyperlink w:anchor="page43">
              <w:r>
                <w:rPr>
                  <w:rFonts w:ascii="Arial" w:cs="Arial" w:eastAsia="Arial" w:hAnsi="Arial"/>
                  <w:sz w:val="18"/>
                  <w:szCs w:val="18"/>
                  <w:color w:val="0000FF"/>
                  <w:w w:val="88"/>
                </w:rPr>
                <w:t>Legal Proceedings</w:t>
              </w:r>
            </w:hyperlink>
          </w:p>
        </w:tc>
        <w:tc>
          <w:tcPr>
            <w:tcW w:w="8340" w:type="dxa"/>
            <w:vAlign w:val="bottom"/>
            <w:gridSpan w:val="1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43">
              <w:r>
                <w:rPr>
                  <w:rFonts w:ascii="Arial" w:cs="Arial" w:eastAsia="Arial" w:hAnsi="Arial"/>
                  <w:sz w:val="18"/>
                  <w:szCs w:val="18"/>
                  <w:color w:val="0000FF"/>
                  <w:w w:val="94"/>
                </w:rPr>
                <w:t>Item 2.</w:t>
              </w:r>
            </w:hyperlink>
          </w:p>
        </w:tc>
        <w:tc>
          <w:tcPr>
            <w:tcW w:w="4380" w:type="dxa"/>
            <w:vAlign w:val="bottom"/>
            <w:tcBorders>
              <w:bottom w:val="single" w:sz="8" w:color="0000FF"/>
            </w:tcBorders>
            <w:gridSpan w:val="14"/>
          </w:tcPr>
          <w:p>
            <w:pPr>
              <w:ind w:left="20"/>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Unregistered Sales of Equity Securities and Use of Proceeds</w:t>
              </w:r>
            </w:hyperlink>
          </w:p>
        </w:tc>
        <w:tc>
          <w:tcPr>
            <w:tcW w:w="53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43">
              <w:r>
                <w:rPr>
                  <w:rFonts w:ascii="Arial" w:cs="Arial" w:eastAsia="Arial" w:hAnsi="Arial"/>
                  <w:sz w:val="18"/>
                  <w:szCs w:val="18"/>
                  <w:color w:val="0000FF"/>
                  <w:w w:val="94"/>
                </w:rPr>
                <w:t>Item 5.</w:t>
              </w:r>
            </w:hyperlink>
          </w:p>
        </w:tc>
        <w:tc>
          <w:tcPr>
            <w:tcW w:w="1340" w:type="dxa"/>
            <w:vAlign w:val="bottom"/>
            <w:tcBorders>
              <w:bottom w:val="single" w:sz="8" w:color="0000FF"/>
            </w:tcBorders>
            <w:gridSpan w:val="3"/>
          </w:tcPr>
          <w:p>
            <w:pPr>
              <w:ind w:left="20"/>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Other Information</w:t>
              </w:r>
            </w:hyperlink>
          </w:p>
        </w:tc>
        <w:tc>
          <w:tcPr>
            <w:tcW w:w="8360" w:type="dxa"/>
            <w:vAlign w:val="bottom"/>
            <w:gridSpan w:val="13"/>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43">
              <w:r>
                <w:rPr>
                  <w:rFonts w:ascii="Arial" w:cs="Arial" w:eastAsia="Arial" w:hAnsi="Arial"/>
                  <w:sz w:val="18"/>
                  <w:szCs w:val="18"/>
                  <w:color w:val="0000FF"/>
                  <w:w w:val="94"/>
                </w:rPr>
                <w:t>Item 6.</w:t>
              </w:r>
            </w:hyperlink>
          </w:p>
        </w:tc>
        <w:tc>
          <w:tcPr>
            <w:tcW w:w="9700" w:type="dxa"/>
            <w:vAlign w:val="bottom"/>
            <w:gridSpan w:val="16"/>
          </w:tcPr>
          <w:p>
            <w:pPr>
              <w:ind w:left="20"/>
              <w:spacing w:after="0"/>
              <w:rPr>
                <w:rFonts w:ascii="Arial" w:cs="Arial" w:eastAsia="Arial" w:hAnsi="Arial"/>
                <w:sz w:val="18"/>
                <w:szCs w:val="18"/>
                <w:color w:val="0000FF"/>
              </w:rPr>
            </w:pPr>
            <w:hyperlink w:anchor="page43">
              <w:r>
                <w:rPr>
                  <w:rFonts w:ascii="Arial" w:cs="Arial" w:eastAsia="Arial" w:hAnsi="Arial"/>
                  <w:sz w:val="18"/>
                  <w:szCs w:val="18"/>
                  <w:color w:val="0000FF"/>
                </w:rPr>
                <w:t>Exhibits</w:t>
              </w:r>
            </w:hyperlink>
          </w:p>
        </w:tc>
        <w:tc>
          <w:tcPr>
            <w:tcW w:w="76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80" w:type="dxa"/>
            <w:vAlign w:val="bottom"/>
            <w:gridSpan w:val="1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40" w:type="dxa"/>
            <w:vAlign w:val="bottom"/>
            <w:gridSpan w:val="19"/>
          </w:tcPr>
          <w:p>
            <w:pPr>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SIGNATURES</w:t>
              </w:r>
            </w:hyperlink>
          </w:p>
        </w:tc>
        <w:tc>
          <w:tcPr>
            <w:tcW w:w="76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ind w:left="3960"/>
        <w:spacing w:after="0"/>
        <w:rPr>
          <w:sz w:val="20"/>
          <w:szCs w:val="20"/>
          <w:color w:val="auto"/>
        </w:rPr>
      </w:pPr>
      <w:r>
        <w:rPr>
          <w:rFonts w:ascii="Arial" w:cs="Arial" w:eastAsia="Arial" w:hAnsi="Arial"/>
          <w:sz w:val="16"/>
          <w:szCs w:val="16"/>
          <w:b w:val="1"/>
          <w:bCs w:val="1"/>
          <w:color w:val="auto"/>
        </w:rPr>
        <w:t>AMC NETWORKS INC. AND SUBSIDIARIES</w:t>
      </w:r>
    </w:p>
    <w:p>
      <w:pPr>
        <w:ind w:left="3700"/>
        <w:spacing w:after="0" w:line="235" w:lineRule="auto"/>
        <w:rPr>
          <w:sz w:val="20"/>
          <w:szCs w:val="20"/>
          <w:color w:val="auto"/>
        </w:rPr>
      </w:pPr>
      <w:r>
        <w:rPr>
          <w:rFonts w:ascii="Arial" w:cs="Arial" w:eastAsia="Arial" w:hAnsi="Arial"/>
          <w:sz w:val="16"/>
          <w:szCs w:val="16"/>
          <w:b w:val="1"/>
          <w:bCs w:val="1"/>
          <w:color w:val="auto"/>
        </w:rPr>
        <w:t>CONDENSED CONSOLIDATED BALANCE SHEETS</w:t>
      </w:r>
    </w:p>
    <w:p>
      <w:pPr>
        <w:jc w:val="center"/>
        <w:spacing w:after="0" w:line="211" w:lineRule="auto"/>
        <w:rPr>
          <w:sz w:val="20"/>
          <w:szCs w:val="20"/>
          <w:color w:val="auto"/>
        </w:rPr>
      </w:pPr>
      <w:r>
        <w:rPr>
          <w:rFonts w:ascii="Arial" w:cs="Arial" w:eastAsia="Arial" w:hAnsi="Arial"/>
          <w:sz w:val="16"/>
          <w:szCs w:val="16"/>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2022</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199"/>
        </w:trPr>
        <w:tc>
          <w:tcPr>
            <w:tcW w:w="7600" w:type="dxa"/>
            <w:vAlign w:val="bottom"/>
          </w:tcPr>
          <w:p>
            <w:pPr>
              <w:ind w:left="350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817,344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892,221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trade (less allowance for doubtful accounts of $8,028 and $8,030)</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744,432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815,444</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Current portion of program rights, net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13,794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10,068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429,899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282,453</w:t>
            </w:r>
          </w:p>
        </w:tc>
        <w:tc>
          <w:tcPr>
            <w:tcW w:w="0" w:type="dxa"/>
            <w:vAlign w:val="bottom"/>
          </w:tcPr>
          <w:p>
            <w:pPr>
              <w:spacing w:after="0"/>
              <w:rPr>
                <w:sz w:val="1"/>
                <w:szCs w:val="1"/>
                <w:color w:val="auto"/>
              </w:rPr>
            </w:pPr>
          </w:p>
        </w:tc>
      </w:tr>
      <w:tr>
        <w:trPr>
          <w:trHeight w:val="207"/>
        </w:trPr>
        <w:tc>
          <w:tcPr>
            <w:tcW w:w="76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2,005,469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2,000,186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$313,611 and $286,133</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225,791</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Program rights, net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1,941,899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1,731,838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399,434</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684,236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709,344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 net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11,334</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111,673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125,866</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449,794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545,153</w:t>
            </w:r>
          </w:p>
        </w:tc>
        <w:tc>
          <w:tcPr>
            <w:tcW w:w="0" w:type="dxa"/>
            <w:vAlign w:val="bottom"/>
          </w:tcPr>
          <w:p>
            <w:pPr>
              <w:spacing w:after="0"/>
              <w:rPr>
                <w:sz w:val="1"/>
                <w:szCs w:val="1"/>
                <w:color w:val="auto"/>
              </w:rPr>
            </w:pP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5,793,639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5,748,946</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173,207</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Accrued liabilities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298,807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340,407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program rights obligations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307,054</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243,734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167,071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33,750</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Current portion of lease obligations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37,076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36,596</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1,066,375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1,058,085</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Program rights obligations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187,197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218,321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2,791,673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2,804,720</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Lease obligations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132,548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151,839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 net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163,600</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133,697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165,860</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4,509,467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4,562,425</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283,849</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Class A Common Stock, $0.01 par value, 360,000 shares authorized, 66,027 and 65,485 shares issued and 31,434</w:t>
            </w: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and 30,892 shares outstanding, respectively</w:t>
            </w:r>
          </w:p>
        </w:tc>
        <w:tc>
          <w:tcPr>
            <w:tcW w:w="26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w w:val="99"/>
              </w:rPr>
              <w:t>Class B Common Stock, $0.01 par value, 90,000 shares authorized, 11,484 shares issued and outstanding</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$0.01 par value, 45,000 shares authorized; none issued</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Paid-in capital</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341,403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347,971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earnings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2,285,664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2,098,047</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Treasury stock, at cost (34,593 and 34,593 shares Class A Common Stock, respectively)</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(1,419,882)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(1,419,882)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(243,292)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(175,818)</w:t>
            </w:r>
          </w:p>
        </w:tc>
        <w:tc>
          <w:tcPr>
            <w:tcW w:w="0" w:type="dxa"/>
            <w:vAlign w:val="bottom"/>
          </w:tcPr>
          <w:p>
            <w:pPr>
              <w:spacing w:after="0"/>
              <w:rPr>
                <w:sz w:val="1"/>
                <w:szCs w:val="1"/>
                <w:color w:val="auto"/>
              </w:rPr>
            </w:pPr>
          </w:p>
        </w:tc>
      </w:tr>
      <w:tr>
        <w:trPr>
          <w:trHeight w:val="207"/>
        </w:trPr>
        <w:tc>
          <w:tcPr>
            <w:tcW w:w="7600" w:type="dxa"/>
            <w:vAlign w:val="bottom"/>
          </w:tcPr>
          <w:p>
            <w:pPr>
              <w:ind w:left="680"/>
              <w:spacing w:after="0"/>
              <w:rPr>
                <w:sz w:val="20"/>
                <w:szCs w:val="20"/>
                <w:color w:val="auto"/>
              </w:rPr>
            </w:pPr>
            <w:r>
              <w:rPr>
                <w:rFonts w:ascii="Arial" w:cs="Arial" w:eastAsia="Arial" w:hAnsi="Arial"/>
                <w:sz w:val="16"/>
                <w:szCs w:val="16"/>
                <w:color w:val="auto"/>
              </w:rPr>
              <w:t>Total AMC Networks stockholders' equity</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964,668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851,088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Non-redeemable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51,584</w:t>
            </w:r>
          </w:p>
        </w:tc>
        <w:tc>
          <w:tcPr>
            <w:tcW w:w="0" w:type="dxa"/>
            <w:vAlign w:val="bottom"/>
          </w:tcPr>
          <w:p>
            <w:pPr>
              <w:spacing w:after="0"/>
              <w:rPr>
                <w:sz w:val="1"/>
                <w:szCs w:val="1"/>
                <w:color w:val="auto"/>
              </w:rPr>
            </w:pPr>
          </w:p>
        </w:tc>
      </w:tr>
      <w:tr>
        <w:trPr>
          <w:trHeight w:val="206"/>
        </w:trPr>
        <w:tc>
          <w:tcPr>
            <w:tcW w:w="76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1,013,446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902,672</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5,793,639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5,748,946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396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CONDENSED CONSOLIDATED STATEMENTS OF INCOME</w:t>
      </w:r>
    </w:p>
    <w:p>
      <w:pPr>
        <w:ind w:left="4200"/>
        <w:spacing w:after="0" w:line="235" w:lineRule="auto"/>
        <w:rPr>
          <w:sz w:val="20"/>
          <w:szCs w:val="20"/>
          <w:color w:val="auto"/>
        </w:rPr>
      </w:pPr>
      <w:r>
        <w:rPr>
          <w:rFonts w:ascii="Arial" w:cs="Arial" w:eastAsia="Arial" w:hAnsi="Arial"/>
          <w:sz w:val="16"/>
          <w:szCs w:val="16"/>
          <w:b w:val="1"/>
          <w:bCs w:val="1"/>
          <w:color w:val="auto"/>
        </w:rPr>
        <w:t>(in thousands, except per share amounts)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8"/>
                <w:szCs w:val="18"/>
                <w:color w:val="auto"/>
              </w:rPr>
            </w:pPr>
          </w:p>
        </w:tc>
        <w:tc>
          <w:tcPr>
            <w:tcW w:w="2640" w:type="dxa"/>
            <w:vAlign w:val="bottom"/>
            <w:gridSpan w:val="4"/>
          </w:tcPr>
          <w:p>
            <w:pPr>
              <w:jc w:val="right"/>
              <w:ind w:right="450"/>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4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2021</w:t>
            </w:r>
          </w:p>
        </w:tc>
      </w:tr>
      <w:tr>
        <w:trPr>
          <w:trHeight w:val="22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738,025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1,450,182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1,463,133</w:t>
            </w:r>
          </w:p>
        </w:tc>
      </w:tr>
      <w:tr>
        <w:trPr>
          <w:trHeight w:val="209"/>
        </w:trPr>
        <w:tc>
          <w:tcPr>
            <w:tcW w:w="5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Technical and operating (excluding depreciation and amortization)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619,413</w:t>
            </w:r>
          </w:p>
        </w:tc>
      </w:tr>
      <w:tr>
        <w:trPr>
          <w:trHeight w:val="230"/>
        </w:trPr>
        <w:tc>
          <w:tcPr>
            <w:tcW w:w="544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231,819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198,618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462,472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390,153</w:t>
            </w:r>
          </w:p>
        </w:tc>
      </w:tr>
      <w:tr>
        <w:trPr>
          <w:trHeight w:val="229"/>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47,850</w:t>
            </w:r>
          </w:p>
        </w:tc>
      </w:tr>
      <w:tr>
        <w:trPr>
          <w:trHeight w:val="229"/>
        </w:trPr>
        <w:tc>
          <w:tcPr>
            <w:tcW w:w="5440" w:type="dxa"/>
            <w:vAlign w:val="bottom"/>
          </w:tcPr>
          <w:p>
            <w:pPr>
              <w:ind w:left="360"/>
              <w:spacing w:after="0"/>
              <w:rPr>
                <w:sz w:val="20"/>
                <w:szCs w:val="20"/>
                <w:color w:val="auto"/>
              </w:rPr>
            </w:pPr>
            <w:r>
              <w:rPr>
                <w:rFonts w:ascii="Arial" w:cs="Arial" w:eastAsia="Arial" w:hAnsi="Arial"/>
                <w:sz w:val="18"/>
                <w:szCs w:val="18"/>
                <w:color w:val="auto"/>
              </w:rPr>
              <w:t>Impairment and other charges</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142,918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158,973</w:t>
            </w:r>
          </w:p>
        </w:tc>
      </w:tr>
      <w:tr>
        <w:trPr>
          <w:trHeight w:val="230"/>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w:t>
            </w:r>
          </w:p>
        </w:tc>
      </w:tr>
      <w:tr>
        <w:trPr>
          <w:trHeight w:val="223"/>
        </w:trPr>
        <w:tc>
          <w:tcPr>
            <w:tcW w:w="54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584,822</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703,136</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1,122,302</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1,225,169</w:t>
            </w:r>
          </w:p>
        </w:tc>
      </w:tr>
      <w:tr>
        <w:trPr>
          <w:trHeight w:val="223"/>
        </w:trPr>
        <w:tc>
          <w:tcPr>
            <w:tcW w:w="5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153,203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327,880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237,964</w:t>
            </w:r>
          </w:p>
        </w:tc>
      </w:tr>
      <w:tr>
        <w:trPr>
          <w:trHeight w:val="209"/>
        </w:trPr>
        <w:tc>
          <w:tcPr>
            <w:tcW w:w="54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(66,261)</w:t>
            </w:r>
          </w:p>
        </w:tc>
      </w:tr>
      <w:tr>
        <w:trPr>
          <w:trHeight w:val="229"/>
        </w:trPr>
        <w:tc>
          <w:tcPr>
            <w:tcW w:w="54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5,350</w:t>
            </w:r>
          </w:p>
        </w:tc>
      </w:tr>
      <w:tr>
        <w:trPr>
          <w:trHeight w:val="230"/>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(22,074)</w:t>
            </w:r>
          </w:p>
        </w:tc>
      </w:tr>
      <w:tr>
        <w:trPr>
          <w:trHeight w:val="229"/>
        </w:trPr>
        <w:tc>
          <w:tcPr>
            <w:tcW w:w="5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Miscellaneous, net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19,580</w:t>
            </w:r>
          </w:p>
        </w:tc>
      </w:tr>
      <w:tr>
        <w:trPr>
          <w:trHeight w:val="223"/>
        </w:trPr>
        <w:tc>
          <w:tcPr>
            <w:tcW w:w="5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expense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(63,405)</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Income from operations before income taxes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122,948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53,919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275,116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174,559</w:t>
            </w:r>
          </w:p>
        </w:tc>
      </w:tr>
      <w:tr>
        <w:trPr>
          <w:trHeight w:val="229"/>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(74,662)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(37,236)</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89,920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200,454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137,323</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(14,417)</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Net income attributable to AMC Networks' stockholders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83,429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187,617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122,906</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9"/>
        </w:trPr>
        <w:tc>
          <w:tcPr>
            <w:tcW w:w="5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Net income per share attributable to AMC Networks' stockholders: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162"/>
        </w:trPr>
        <w:tc>
          <w:tcPr>
            <w:tcW w:w="5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Weighted average common shares: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42,207</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43,697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43,277</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8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w w:val="99"/>
              </w:rPr>
              <w:t>Six Months Ended June 30,</w:t>
            </w:r>
          </w:p>
        </w:tc>
      </w:tr>
      <w:tr>
        <w:trPr>
          <w:trHeight w:val="210"/>
        </w:trPr>
        <w:tc>
          <w:tcPr>
            <w:tcW w:w="55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r>
      <w:tr>
        <w:trPr>
          <w:trHeight w:val="22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137,323</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(14,349)</w:t>
            </w:r>
          </w:p>
        </w:tc>
      </w:tr>
      <w:tr>
        <w:trPr>
          <w:trHeight w:val="229"/>
        </w:trPr>
        <w:tc>
          <w:tcPr>
            <w:tcW w:w="5520" w:type="dxa"/>
            <w:vAlign w:val="bottom"/>
          </w:tcPr>
          <w:p>
            <w:pPr>
              <w:ind w:left="680"/>
              <w:spacing w:after="0"/>
              <w:rPr>
                <w:sz w:val="20"/>
                <w:szCs w:val="20"/>
                <w:color w:val="auto"/>
              </w:rPr>
            </w:pPr>
            <w:r>
              <w:rPr>
                <w:rFonts w:ascii="Arial" w:cs="Arial" w:eastAsia="Arial" w:hAnsi="Arial"/>
                <w:sz w:val="18"/>
                <w:szCs w:val="18"/>
                <w:color w:val="auto"/>
              </w:rPr>
              <w:t>Unrealized gain on interest rate swaps</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1,208</w:t>
            </w:r>
          </w:p>
        </w:tc>
      </w:tr>
      <w:tr>
        <w:trPr>
          <w:trHeight w:val="223"/>
        </w:trPr>
        <w:tc>
          <w:tcPr>
            <w:tcW w:w="55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 before income taxes</w:t>
            </w: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(70,333)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(13,141)</w:t>
            </w:r>
          </w:p>
        </w:tc>
      </w:tr>
      <w:tr>
        <w:trPr>
          <w:trHeight w:val="229"/>
        </w:trPr>
        <w:tc>
          <w:tcPr>
            <w:tcW w:w="5520" w:type="dxa"/>
            <w:vAlign w:val="bottom"/>
          </w:tcPr>
          <w:p>
            <w:pPr>
              <w:ind w:left="68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23"/>
        </w:trPr>
        <w:tc>
          <w:tcPr>
            <w:tcW w:w="55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 net of income taxes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(70,333)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(13,425)</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50,730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130,121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123,898</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(14,209)</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Comprehensive income attributable to AMC Networks' stockholders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120,143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109,689</w:t>
            </w:r>
          </w:p>
        </w:tc>
      </w:tr>
      <w:tr>
        <w:trPr>
          <w:trHeight w:val="21"/>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7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Class A</w:t>
            </w:r>
          </w:p>
        </w:tc>
        <w:tc>
          <w:tcPr>
            <w:tcW w:w="7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Class B</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AMC</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Treasury</w:t>
            </w:r>
          </w:p>
        </w:tc>
        <w:tc>
          <w:tcPr>
            <w:tcW w:w="8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Networks</w:t>
            </w:r>
          </w:p>
        </w:tc>
        <w:tc>
          <w:tcPr>
            <w:tcW w:w="10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4"/>
              </w:rPr>
              <w:t>Noncontrolling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0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Common</w:t>
            </w:r>
          </w:p>
        </w:tc>
        <w:tc>
          <w:tcPr>
            <w:tcW w:w="2380" w:type="dxa"/>
            <w:vAlign w:val="bottom"/>
            <w:gridSpan w:val="8"/>
          </w:tcPr>
          <w:p>
            <w:pPr>
              <w:ind w:left="40"/>
              <w:spacing w:after="0" w:line="135" w:lineRule="exact"/>
              <w:rPr>
                <w:sz w:val="20"/>
                <w:szCs w:val="20"/>
                <w:color w:val="auto"/>
              </w:rPr>
            </w:pPr>
            <w:r>
              <w:rPr>
                <w:rFonts w:ascii="Arial" w:cs="Arial" w:eastAsia="Arial" w:hAnsi="Arial"/>
                <w:sz w:val="14"/>
                <w:szCs w:val="14"/>
                <w:b w:val="1"/>
                <w:bCs w:val="1"/>
                <w:color w:val="auto"/>
              </w:rPr>
              <w:t>Common   Paid-in   Accumulated</w:t>
            </w:r>
          </w:p>
        </w:tc>
        <w:tc>
          <w:tcPr>
            <w:tcW w:w="900" w:type="dxa"/>
            <w:vAlign w:val="bottom"/>
            <w:gridSpan w:val="2"/>
            <w:vMerge w:val="continue"/>
          </w:tcPr>
          <w:p>
            <w:pPr>
              <w:spacing w:after="0"/>
              <w:rPr>
                <w:sz w:val="11"/>
                <w:szCs w:val="11"/>
                <w:color w:val="auto"/>
              </w:rPr>
            </w:pP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060" w:type="dxa"/>
            <w:vAlign w:val="bottom"/>
            <w:gridSpan w:val="3"/>
            <w:vMerge w:val="continue"/>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Stock</w:t>
            </w: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660</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$ 335,803</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2,202,235</w:t>
            </w:r>
          </w:p>
        </w:tc>
        <w:tc>
          <w:tcPr>
            <w:tcW w:w="8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 (1,419,882)</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(193,580)</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925,351</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51,627</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976,978</w:t>
            </w:r>
          </w:p>
        </w:tc>
        <w:tc>
          <w:tcPr>
            <w:tcW w:w="0" w:type="dxa"/>
            <w:vAlign w:val="bottom"/>
          </w:tcPr>
          <w:p>
            <w:pPr>
              <w:spacing w:after="0"/>
              <w:rPr>
                <w:sz w:val="1"/>
                <w:szCs w:val="1"/>
                <w:color w:val="auto"/>
              </w:rPr>
            </w:pPr>
          </w:p>
        </w:tc>
      </w:tr>
      <w:tr>
        <w:trPr>
          <w:trHeight w:val="118"/>
        </w:trPr>
        <w:tc>
          <w:tcPr>
            <w:tcW w:w="324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Net income attributable to AMC Networks’</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83,429</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83,429</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83,429</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1,870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1,870</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interests, net of tax</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(4,363)</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Distribution to noncontrolling member</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(1,394)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(1,394)</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(49,712)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(49,712)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(51,740)</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Share-based compensation expenses</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8,683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8,683</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share issuances under employee stock plans</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9"/>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$ 341,403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2,285,664</w:t>
            </w:r>
          </w:p>
        </w:tc>
        <w:tc>
          <w:tcPr>
            <w:tcW w:w="8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 (1,419,882)</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(243,292)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964,668</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48,778</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1,013,446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A</w:t>
            </w: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AMC</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1"/>
                <w:szCs w:val="11"/>
                <w:color w:val="auto"/>
              </w:rPr>
            </w:pPr>
          </w:p>
        </w:tc>
        <w:tc>
          <w:tcPr>
            <w:tcW w:w="9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Networks</w:t>
            </w: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Common</w:t>
            </w:r>
          </w:p>
        </w:tc>
        <w:tc>
          <w:tcPr>
            <w:tcW w:w="2380" w:type="dxa"/>
            <w:vAlign w:val="bottom"/>
            <w:gridSpan w:val="8"/>
          </w:tcPr>
          <w:p>
            <w:pPr>
              <w:ind w:left="20"/>
              <w:spacing w:after="0" w:line="135" w:lineRule="exact"/>
              <w:rPr>
                <w:sz w:val="20"/>
                <w:szCs w:val="20"/>
                <w:color w:val="auto"/>
              </w:rPr>
            </w:pPr>
            <w:r>
              <w:rPr>
                <w:rFonts w:ascii="Arial" w:cs="Arial" w:eastAsia="Arial" w:hAnsi="Arial"/>
                <w:sz w:val="14"/>
                <w:szCs w:val="14"/>
                <w:b w:val="1"/>
                <w:bCs w:val="1"/>
                <w:color w:val="auto"/>
              </w:rPr>
              <w:t>Common   Paid-in   Accumulated</w:t>
            </w:r>
          </w:p>
        </w:tc>
        <w:tc>
          <w:tcPr>
            <w:tcW w:w="880" w:type="dxa"/>
            <w:vAlign w:val="bottom"/>
            <w:gridSpan w:val="2"/>
            <w:vMerge w:val="continue"/>
          </w:tcPr>
          <w:p>
            <w:pPr>
              <w:spacing w:after="0"/>
              <w:rPr>
                <w:sz w:val="11"/>
                <w:szCs w:val="11"/>
                <w:color w:val="auto"/>
              </w:rPr>
            </w:pP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060" w:type="dxa"/>
            <w:vAlign w:val="bottom"/>
            <w:gridSpan w:val="3"/>
            <w:vMerge w:val="continue"/>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653</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$ 314,331</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1,934,472</w:t>
            </w:r>
          </w:p>
        </w:tc>
        <w:tc>
          <w:tcPr>
            <w:tcW w:w="8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 (1,419,882)</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(156,237)</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673,452</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48,109</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721,561</w:t>
            </w:r>
          </w:p>
        </w:tc>
        <w:tc>
          <w:tcPr>
            <w:tcW w:w="0" w:type="dxa"/>
            <w:vAlign w:val="bottom"/>
          </w:tcPr>
          <w:p>
            <w:pPr>
              <w:spacing w:after="0"/>
              <w:rPr>
                <w:sz w:val="1"/>
                <w:szCs w:val="1"/>
                <w:color w:val="auto"/>
              </w:rPr>
            </w:pPr>
          </w:p>
        </w:tc>
      </w:tr>
      <w:tr>
        <w:trPr>
          <w:trHeight w:val="118"/>
        </w:trPr>
        <w:tc>
          <w:tcPr>
            <w:tcW w:w="324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Net income attributable to AMC Networks’</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35,885</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35,885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35,885</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10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3,143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3,143</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member</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8,070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8,132</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expenses</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16,262</w:t>
            </w:r>
          </w:p>
        </w:tc>
        <w:tc>
          <w:tcPr>
            <w:tcW w:w="0" w:type="dxa"/>
            <w:vAlign w:val="bottom"/>
          </w:tcPr>
          <w:p>
            <w:pPr>
              <w:spacing w:after="0"/>
              <w:rPr>
                <w:sz w:val="1"/>
                <w:szCs w:val="1"/>
                <w:color w:val="auto"/>
              </w:rPr>
            </w:pPr>
          </w:p>
        </w:tc>
      </w:tr>
      <w:tr>
        <w:trPr>
          <w:trHeight w:val="179"/>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$ 330,593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1,970,357</w:t>
            </w:r>
          </w:p>
        </w:tc>
        <w:tc>
          <w:tcPr>
            <w:tcW w:w="8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 (1,419,882)</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(148,167)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733,669</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49,873</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783,542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AMC</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Networks</w:t>
            </w:r>
          </w:p>
        </w:tc>
        <w:tc>
          <w:tcPr>
            <w:tcW w:w="10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5"/>
              </w:rPr>
              <w:t>Common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1060" w:type="dxa"/>
            <w:vAlign w:val="bottom"/>
            <w:gridSpan w:val="5"/>
            <w:vMerge w:val="continue"/>
          </w:tcPr>
          <w:p>
            <w:pPr>
              <w:spacing w:after="0"/>
              <w:rPr>
                <w:sz w:val="11"/>
                <w:szCs w:val="11"/>
                <w:color w:val="auto"/>
              </w:rPr>
            </w:pPr>
          </w:p>
        </w:tc>
        <w:tc>
          <w:tcPr>
            <w:tcW w:w="90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w w:val="95"/>
              </w:rPr>
              <w:t>Stockholders'</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655</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$ 347,971</w:t>
            </w:r>
          </w:p>
        </w:tc>
        <w:tc>
          <w:tcPr>
            <w:tcW w:w="40" w:type="dxa"/>
            <w:vAlign w:val="bottom"/>
            <w:tcBorders>
              <w:top w:val="single" w:sz="8" w:color="auto"/>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2,098,047</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 (1,419,882)</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(175,818)</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851,088</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51,584</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902,672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320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Net income attributable to AMC Networks’</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187,617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187,617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187,617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0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4,309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4,309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interests, net of tax</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(3,066)</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Distributions to noncontrolling member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(2,959)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(67,474)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(67,474)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Share-based compensation expenses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16,812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16,812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16,812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share issuances under employee stock plans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(20,314)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(20,309)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660</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$ 341,403</w:t>
            </w:r>
          </w:p>
        </w:tc>
        <w:tc>
          <w:tcPr>
            <w:tcW w:w="4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2,285,664</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 (1,419,882)</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(243,292)</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964,668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48,778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9"/>
              </w:rPr>
              <w:t>1,013,446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9"/>
        </w:trPr>
        <w:tc>
          <w:tcPr>
            <w:tcW w:w="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9"/>
              </w:rPr>
              <w:t>Class 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AMC</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1"/>
                <w:szCs w:val="11"/>
                <w:color w:val="auto"/>
              </w:rPr>
            </w:pPr>
          </w:p>
        </w:tc>
        <w:tc>
          <w:tcPr>
            <w:tcW w:w="9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Networks</w:t>
            </w:r>
          </w:p>
        </w:tc>
        <w:tc>
          <w:tcPr>
            <w:tcW w:w="20" w:type="dxa"/>
            <w:vAlign w:val="bottom"/>
          </w:tcPr>
          <w:p>
            <w:pPr>
              <w:spacing w:after="0"/>
              <w:rPr>
                <w:sz w:val="11"/>
                <w:szCs w:val="11"/>
                <w:color w:val="auto"/>
              </w:rPr>
            </w:pPr>
          </w:p>
        </w:tc>
        <w:tc>
          <w:tcPr>
            <w:tcW w:w="10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8"/>
              </w:rPr>
              <w:t>Noncontrolling</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64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w w:val="98"/>
              </w:rPr>
              <w:t>Common</w:t>
            </w:r>
          </w:p>
        </w:tc>
        <w:tc>
          <w:tcPr>
            <w:tcW w:w="60" w:type="dxa"/>
            <w:vAlign w:val="bottom"/>
          </w:tcPr>
          <w:p>
            <w:pPr>
              <w:spacing w:after="0"/>
              <w:rPr>
                <w:sz w:val="11"/>
                <w:szCs w:val="11"/>
                <w:color w:val="auto"/>
              </w:rPr>
            </w:pPr>
          </w:p>
        </w:tc>
        <w:tc>
          <w:tcPr>
            <w:tcW w:w="64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w w:val="98"/>
              </w:rPr>
              <w:t>Common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w w:val="93"/>
              </w:rPr>
              <w:t>Comprehensive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2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646</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$ 323,425</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1,847,451</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91"/>
              </w:rPr>
              <w:t>$ (1,419,882)</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(134,950)</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616,805</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26,296</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643,101</w:t>
            </w: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324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3"/>
                <w:szCs w:val="13"/>
                <w:color w:val="auto"/>
              </w:rPr>
              <w:t>Net income attributable to AMC Networks’</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122,906</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122,906</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122,906</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4,278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4,278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noncontrolling interests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Contributions from noncontrolling member</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Transfer from redeemable noncontrolling interest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18,367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18,367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(13,217)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(13,217)</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(208)</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(13,425)</w:t>
            </w:r>
          </w:p>
        </w:tc>
        <w:tc>
          <w:tcPr>
            <w:tcW w:w="0" w:type="dxa"/>
            <w:vAlign w:val="bottom"/>
          </w:tcPr>
          <w:p>
            <w:pPr>
              <w:spacing w:after="0"/>
              <w:rPr>
                <w:sz w:val="1"/>
                <w:szCs w:val="1"/>
                <w:color w:val="auto"/>
              </w:rPr>
            </w:pPr>
          </w:p>
        </w:tc>
      </w:tr>
      <w:tr>
        <w:trPr>
          <w:trHeight w:val="186"/>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Share-based compensation expenses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29,708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29,708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29,708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Proceeds from the exercise of stock options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9,795</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9,795</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Net share issuances under employee stock plans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3"/>
          </w:tcPr>
          <w:p>
            <w:pPr>
              <w:ind w:left="180"/>
              <w:spacing w:after="0"/>
              <w:rPr>
                <w:sz w:val="20"/>
                <w:szCs w:val="20"/>
                <w:color w:val="auto"/>
              </w:rPr>
            </w:pPr>
            <w:r>
              <w:rPr>
                <w:rFonts w:ascii="Arial" w:cs="Arial" w:eastAsia="Arial" w:hAnsi="Arial"/>
                <w:sz w:val="14"/>
                <w:szCs w:val="14"/>
                <w:color w:val="auto"/>
                <w:w w:val="95"/>
              </w:rPr>
              <w:t>(32,335)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(32,328)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(32,328)</w:t>
            </w:r>
          </w:p>
        </w:tc>
        <w:tc>
          <w:tcPr>
            <w:tcW w:w="0" w:type="dxa"/>
            <w:vAlign w:val="bottom"/>
          </w:tcPr>
          <w:p>
            <w:pPr>
              <w:spacing w:after="0"/>
              <w:rPr>
                <w:sz w:val="1"/>
                <w:szCs w:val="1"/>
                <w:color w:val="auto"/>
              </w:rPr>
            </w:pPr>
          </w:p>
        </w:tc>
      </w:tr>
      <w:tr>
        <w:trPr>
          <w:trHeight w:val="183"/>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89"/>
              </w:rPr>
              <w:t>$ 330,593</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1,970,357</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1"/>
              </w:rPr>
              <w:t>$ (1,419,882)</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(148,167)</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733,669</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49,873</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783,542</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9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19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Net income including noncontrolling interests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200,454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137,323</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49,821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47,850</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Impairment and other charges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158,973</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Share-based compensation expenses related to equity classified awards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16,812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29,709</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Non-cash restructuring and other related charges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4,329</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Amortization of program rights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396,890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333,348</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deferred carriage fees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7,633</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Unrealized foreign currency transaction gain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(10,609)</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deferred financing costs and discounts on indebtedness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3,923</w:t>
            </w:r>
          </w:p>
        </w:tc>
      </w:tr>
      <w:tr>
        <w:trPr>
          <w:trHeight w:val="229"/>
        </w:trPr>
        <w:tc>
          <w:tcPr>
            <w:tcW w:w="7920" w:type="dxa"/>
            <w:vAlign w:val="bottom"/>
          </w:tcPr>
          <w:p>
            <w:pPr>
              <w:ind w:left="660"/>
              <w:spacing w:after="0"/>
              <w:rPr>
                <w:sz w:val="20"/>
                <w:szCs w:val="20"/>
                <w:color w:val="auto"/>
              </w:rPr>
            </w:pPr>
            <w:r>
              <w:rPr>
                <w:rFonts w:ascii="Arial" w:cs="Arial" w:eastAsia="Arial" w:hAnsi="Arial"/>
                <w:sz w:val="16"/>
                <w:szCs w:val="16"/>
                <w:color w:val="auto"/>
              </w:rPr>
              <w:t>Loss on extinguishment of debt</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22,074</w:t>
            </w:r>
          </w:p>
        </w:tc>
      </w:tr>
      <w:tr>
        <w:trPr>
          <w:trHeight w:val="216"/>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Bad debt expense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3,530</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34,115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16,487</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Gain on investments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(4,554)</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Other, net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(7,776)</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assets and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58,410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7,913</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(18,233)</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Program rights and obligations, net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(667,492)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(583,480)</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Income taxes payable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(5,472)</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44,874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1,203</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Deferred carriage fees,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(27,861)</w:t>
            </w:r>
          </w:p>
        </w:tc>
      </w:tr>
      <w:tr>
        <w:trPr>
          <w:trHeight w:val="213"/>
        </w:trPr>
        <w:tc>
          <w:tcPr>
            <w:tcW w:w="79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Accounts payable, accrued liabilities and other liabilities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14,857</w:t>
            </w:r>
          </w:p>
        </w:tc>
      </w:tr>
      <w:tr>
        <w:trPr>
          <w:trHeight w:val="213"/>
        </w:trPr>
        <w:tc>
          <w:tcPr>
            <w:tcW w:w="79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131,167</w:t>
            </w:r>
          </w:p>
        </w:tc>
      </w:tr>
      <w:tr>
        <w:trPr>
          <w:trHeight w:val="193"/>
        </w:trPr>
        <w:tc>
          <w:tcPr>
            <w:tcW w:w="79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expenditures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(18,849)</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Return of capital from investees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for acquisition of a business, net of cash acquired</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(19,072)</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Acquisition of investments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(28,397)</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on distribution of business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(7,052)</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Principal payment received on loan to investee</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investments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95,370</w:t>
            </w:r>
          </w:p>
        </w:tc>
      </w:tr>
      <w:tr>
        <w:trPr>
          <w:trHeight w:val="206"/>
        </w:trPr>
        <w:tc>
          <w:tcPr>
            <w:tcW w:w="792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Net cash provided by (used in) investing activities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42,000</w:t>
            </w:r>
          </w:p>
        </w:tc>
      </w:tr>
      <w:tr>
        <w:trPr>
          <w:trHeight w:val="19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Proceeds from the issuance of long-term debt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984,500</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payments on long-term debt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(1,015,000)</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Deemed repurchases of restricted stock units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(20,309)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(32,327)</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stock option exercises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9,795</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Principal payments on finance lease obligations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(1,984)</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Contributions from noncontrolling interests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2,702</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Distributions to noncontrolling interests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(25,139)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(11,912)</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 of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92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(66,486)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(64,226)</w:t>
            </w:r>
          </w:p>
        </w:tc>
      </w:tr>
      <w:tr>
        <w:trPr>
          <w:trHeight w:val="213"/>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 from operations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(59,241)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108,941</w:t>
            </w:r>
          </w:p>
        </w:tc>
      </w:tr>
      <w:tr>
        <w:trPr>
          <w:trHeight w:val="206"/>
        </w:trPr>
        <w:tc>
          <w:tcPr>
            <w:tcW w:w="7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(16,741)</w:t>
            </w:r>
          </w:p>
        </w:tc>
      </w:tr>
      <w:tr>
        <w:trPr>
          <w:trHeight w:val="213"/>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892,221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888,526</w:t>
            </w: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817,344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980,726</w:t>
            </w:r>
          </w:p>
        </w:tc>
      </w:tr>
      <w:tr>
        <w:trPr>
          <w:trHeight w:val="20"/>
        </w:trPr>
        <w:tc>
          <w:tcPr>
            <w:tcW w:w="7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80"/>
          </w:cols>
          <w:pgMar w:left="360" w:top="895" w:right="3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5" w:right="3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"we," "us," or "our") own and operate entertainment businesses and assets. The Company is comprised of two operating segments:</w:t>
      </w:r>
    </w:p>
    <w:p>
      <w:pPr>
        <w:spacing w:after="0" w:line="62" w:lineRule="exact"/>
        <w:rPr>
          <w:sz w:val="20"/>
          <w:szCs w:val="20"/>
          <w:color w:val="auto"/>
        </w:rPr>
      </w:pPr>
    </w:p>
    <w:p>
      <w:pPr>
        <w:jc w:val="both"/>
        <w:ind w:left="660" w:hanging="328"/>
        <w:spacing w:after="0" w:line="254"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Domestic Operations: </w:t>
      </w:r>
      <w:r>
        <w:rPr>
          <w:rFonts w:ascii="Arial" w:cs="Arial" w:eastAsia="Arial" w:hAnsi="Arial"/>
          <w:sz w:val="18"/>
          <w:szCs w:val="18"/>
          <w:color w:val="auto"/>
        </w:rPr>
        <w:t>Includes our programming services and AMC Broadcasting &amp; Technology. Our programming services consist of our five</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programming networks, our streaming services, our AMC Studios operation and IFC Films. Our national programming networks are AMC, WE tv, BBC AMERICA, IFC, and SundanceTV. Our streaming services consist of our global targeted subscription streaming services (Acorn TV, Shudder, Sundance Now, ALLBLK, and HIDIVE), AMC+ and other streaming initiatives. Our AMC Studios operation produces original programming for our programming networks and also licenses such programming worldwide and IFC Films is our film distribution business. AMC Networks Broadcasting &amp; Technology, our technical services business, primarily services most of the national programming networks.</w:t>
      </w:r>
    </w:p>
    <w:p>
      <w:pPr>
        <w:spacing w:after="0" w:line="86"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Includes AMC Networks International ("AMCNI"), our international programming businesses consisting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channels around the world, and 25/7 Media, our production services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consolidated financial statements include the accounts of AMC Networks and its subsidiaries in which a controlling voting interest is maintained or variable interest entities ("VIEs") in which the Company has determined it is the primary beneficiary. All intercompany transactions and balances have been eliminated in consolidation.</w:t>
      </w:r>
    </w:p>
    <w:p>
      <w:pPr>
        <w:spacing w:after="0" w:line="7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Statements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2021 contained in the Company's Annual Report on Form 10-K ("2021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7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results of operations for interim periods are not necessarily indicative of the results that might be expected for future interim periods or for the full year ending December 31,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continues to monitor the ongoing impact of the COVID-19 pandemic on all aspects of its business. The Company cannot reasonably predict the continuing impact of the COVID-19 pandemic, including the extent of any adverse impact on our business, results of operations and financial condition, which will depend on, among other things, the impact of governmental regulations that have been, and may continue to be, imposed in response to the pandemic, the effectiveness of actions taken to contain or mitigate the outbreak, the acceptance, safety and efficacy of vaccines, and global economic conditions. The Company does not expect the COVID-19 pandemic and its related economic impact to affect its liquidity position or its ongoing ability to meet the covenants in its debt instruments.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were made to the prior period amounts to conform to the current period presentation.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2022, other than contracts for which the Company has applied the practical expedients, the aggregate amount of transaction price allocated to future performance obligations was not material to our consolidated revenues.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receivables, contract assets, and contract liabilities from contracts with customers.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gridSpan w:val="2"/>
          </w:tcPr>
          <w:p>
            <w:pPr>
              <w:ind w:left="44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2022</w:t>
            </w:r>
          </w:p>
        </w:tc>
        <w:tc>
          <w:tcPr>
            <w:tcW w:w="560" w:type="dxa"/>
            <w:vAlign w:val="bottom"/>
          </w:tcPr>
          <w:p>
            <w:pPr>
              <w:spacing w:after="0"/>
              <w:rPr>
                <w:sz w:val="18"/>
                <w:szCs w:val="18"/>
                <w:color w:val="auto"/>
              </w:rPr>
            </w:pPr>
          </w:p>
        </w:tc>
        <w:tc>
          <w:tcPr>
            <w:tcW w:w="1520" w:type="dxa"/>
            <w:vAlign w:val="bottom"/>
          </w:tcPr>
          <w:p>
            <w:pPr>
              <w:jc w:val="right"/>
              <w:ind w:right="92"/>
              <w:spacing w:after="0"/>
              <w:rPr>
                <w:sz w:val="20"/>
                <w:szCs w:val="20"/>
                <w:color w:val="auto"/>
              </w:rPr>
            </w:pPr>
            <w:r>
              <w:rPr>
                <w:rFonts w:ascii="Arial" w:cs="Arial" w:eastAsia="Arial" w:hAnsi="Arial"/>
                <w:sz w:val="16"/>
                <w:szCs w:val="16"/>
                <w:b w:val="1"/>
                <w:bCs w:val="1"/>
                <w:color w:val="auto"/>
                <w:w w:val="91"/>
              </w:rPr>
              <w:t>December 31, 2021</w:t>
            </w:r>
          </w:p>
        </w:tc>
      </w:tr>
      <w:tr>
        <w:trPr>
          <w:trHeight w:val="226"/>
        </w:trPr>
        <w:tc>
          <w:tcPr>
            <w:tcW w:w="69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Balances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r>
      <w:tr>
        <w:trPr>
          <w:trHeight w:val="230"/>
        </w:trPr>
        <w:tc>
          <w:tcPr>
            <w:tcW w:w="7100" w:type="dxa"/>
            <w:vAlign w:val="bottom"/>
            <w:gridSpan w:val="2"/>
          </w:tcPr>
          <w:p>
            <w:pPr>
              <w:ind w:left="640"/>
              <w:spacing w:after="0"/>
              <w:rPr>
                <w:sz w:val="20"/>
                <w:szCs w:val="20"/>
                <w:color w:val="auto"/>
              </w:rPr>
            </w:pPr>
            <w:r>
              <w:rPr>
                <w:rFonts w:ascii="Arial" w:cs="Arial" w:eastAsia="Arial" w:hAnsi="Arial"/>
                <w:sz w:val="18"/>
                <w:szCs w:val="18"/>
                <w:color w:val="auto"/>
              </w:rPr>
              <w:t>Accounts receivable (including long-term receivables within Other assets)</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986,278</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1,106,225</w:t>
            </w:r>
          </w:p>
        </w:tc>
      </w:tr>
      <w:tr>
        <w:trPr>
          <w:trHeight w:val="229"/>
        </w:trPr>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Contract assets, short-term (included in Prepaid expenses and other current assets)</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69,351</w:t>
            </w:r>
          </w:p>
        </w:tc>
      </w:tr>
      <w:tr>
        <w:trPr>
          <w:trHeight w:val="230"/>
        </w:trPr>
        <w:tc>
          <w:tcPr>
            <w:tcW w:w="7100" w:type="dxa"/>
            <w:vAlign w:val="bottom"/>
            <w:gridSpan w:val="2"/>
          </w:tcPr>
          <w:p>
            <w:pPr>
              <w:ind w:left="660"/>
              <w:spacing w:after="0"/>
              <w:rPr>
                <w:sz w:val="20"/>
                <w:szCs w:val="20"/>
                <w:color w:val="auto"/>
              </w:rPr>
            </w:pPr>
            <w:r>
              <w:rPr>
                <w:rFonts w:ascii="Arial" w:cs="Arial" w:eastAsia="Arial" w:hAnsi="Arial"/>
                <w:sz w:val="18"/>
                <w:szCs w:val="18"/>
                <w:color w:val="auto"/>
              </w:rPr>
              <w:t>Contract assets, long-term (included in Other assets)</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29,323</w:t>
            </w:r>
          </w:p>
        </w:tc>
      </w:tr>
      <w:tr>
        <w:trPr>
          <w:trHeight w:val="229"/>
        </w:trPr>
        <w:tc>
          <w:tcPr>
            <w:tcW w:w="7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Contract liabilities, short-term (Deferred revenue)</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243,734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167,071</w:t>
            </w:r>
          </w:p>
        </w:tc>
      </w:tr>
      <w:tr>
        <w:trPr>
          <w:trHeight w:val="230"/>
        </w:trPr>
        <w:tc>
          <w:tcPr>
            <w:tcW w:w="7100" w:type="dxa"/>
            <w:vAlign w:val="bottom"/>
            <w:gridSpan w:val="2"/>
          </w:tcPr>
          <w:p>
            <w:pPr>
              <w:ind w:left="660"/>
              <w:spacing w:after="0"/>
              <w:rPr>
                <w:sz w:val="20"/>
                <w:szCs w:val="20"/>
                <w:color w:val="auto"/>
              </w:rPr>
            </w:pPr>
            <w:r>
              <w:rPr>
                <w:rFonts w:ascii="Arial" w:cs="Arial" w:eastAsia="Arial" w:hAnsi="Arial"/>
                <w:sz w:val="18"/>
                <w:szCs w:val="18"/>
                <w:color w:val="auto"/>
              </w:rPr>
              <w:t>Contract liabilities, long-term (Deferred revenue included in Other liabilities)</w:t>
            </w:r>
          </w:p>
        </w:tc>
        <w:tc>
          <w:tcPr>
            <w:tcW w:w="6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31,832</w:t>
            </w:r>
          </w:p>
        </w:tc>
      </w:tr>
    </w:tbl>
    <w:p>
      <w:pPr>
        <w:spacing w:after="0" w:line="18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Revenue recognized for the six months ended June 30, 2022 and 2021 relating to the contract liability at December 31, 2021 and 2020 was $45.7 million and $17.7 million,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per Share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between basic and diluted weighted average common shares outstanding: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2860" w:type="dxa"/>
            <w:vAlign w:val="bottom"/>
            <w:gridSpan w:val="5"/>
          </w:tcPr>
          <w:p>
            <w:pPr>
              <w:ind w:left="780"/>
              <w:spacing w:after="0"/>
              <w:rPr>
                <w:sz w:val="20"/>
                <w:szCs w:val="20"/>
                <w:color w:val="auto"/>
              </w:rPr>
            </w:pPr>
            <w:r>
              <w:rPr>
                <w:rFonts w:ascii="Arial" w:cs="Arial" w:eastAsia="Arial" w:hAnsi="Arial"/>
                <w:sz w:val="16"/>
                <w:szCs w:val="16"/>
                <w:b w:val="1"/>
                <w:bCs w:val="1"/>
                <w:color w:val="auto"/>
              </w:rPr>
              <w:t>Three Months Ended June</w:t>
            </w:r>
          </w:p>
        </w:tc>
        <w:tc>
          <w:tcPr>
            <w:tcW w:w="2920" w:type="dxa"/>
            <w:vAlign w:val="bottom"/>
            <w:gridSpan w:val="3"/>
            <w:vMerge w:val="restart"/>
          </w:tcPr>
          <w:p>
            <w:pPr>
              <w:jc w:val="right"/>
              <w:ind w:right="9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3"/>
        </w:trPr>
        <w:tc>
          <w:tcPr>
            <w:tcW w:w="54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190"/>
              <w:spacing w:after="0"/>
              <w:rPr>
                <w:sz w:val="20"/>
                <w:szCs w:val="20"/>
                <w:color w:val="auto"/>
              </w:rPr>
            </w:pPr>
            <w:r>
              <w:rPr>
                <w:rFonts w:ascii="Arial" w:cs="Arial" w:eastAsia="Arial" w:hAnsi="Arial"/>
                <w:sz w:val="16"/>
                <w:szCs w:val="16"/>
                <w:b w:val="1"/>
                <w:bCs w:val="1"/>
                <w:color w:val="auto"/>
                <w:w w:val="89"/>
              </w:rPr>
              <w:t>30,</w:t>
            </w:r>
          </w:p>
        </w:tc>
        <w:tc>
          <w:tcPr>
            <w:tcW w:w="100" w:type="dxa"/>
            <w:vAlign w:val="bottom"/>
          </w:tcPr>
          <w:p>
            <w:pPr>
              <w:spacing w:after="0"/>
              <w:rPr>
                <w:sz w:val="18"/>
                <w:szCs w:val="18"/>
                <w:color w:val="auto"/>
              </w:rPr>
            </w:pPr>
          </w:p>
        </w:tc>
        <w:tc>
          <w:tcPr>
            <w:tcW w:w="29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60" w:type="dxa"/>
            <w:vAlign w:val="bottom"/>
          </w:tcPr>
          <w:p>
            <w:pPr>
              <w:ind w:left="68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jc w:val="right"/>
              <w:ind w:right="33"/>
              <w:spacing w:after="0"/>
              <w:rPr>
                <w:sz w:val="20"/>
                <w:szCs w:val="20"/>
                <w:color w:val="auto"/>
              </w:rPr>
            </w:pPr>
            <w:r>
              <w:rPr>
                <w:rFonts w:ascii="Arial" w:cs="Arial" w:eastAsia="Arial" w:hAnsi="Arial"/>
                <w:sz w:val="16"/>
                <w:szCs w:val="16"/>
                <w:b w:val="1"/>
                <w:bCs w:val="1"/>
                <w:color w:val="auto"/>
              </w:rPr>
              <w:t>2022</w:t>
            </w:r>
          </w:p>
        </w:tc>
        <w:tc>
          <w:tcPr>
            <w:tcW w:w="150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400" w:type="dxa"/>
            <w:vAlign w:val="bottom"/>
          </w:tcPr>
          <w:p>
            <w:pPr>
              <w:jc w:val="right"/>
              <w:ind w:right="11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1400" w:type="dxa"/>
            <w:vAlign w:val="bottom"/>
          </w:tcPr>
          <w:p>
            <w:pPr>
              <w:jc w:val="right"/>
              <w:ind w:right="13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54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Basic weighted average common shares outstanding</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43,192</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42,481</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42,987</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42,207</w:t>
            </w:r>
          </w:p>
        </w:tc>
        <w:tc>
          <w:tcPr>
            <w:tcW w:w="0" w:type="dxa"/>
            <w:vAlign w:val="bottom"/>
          </w:tcPr>
          <w:p>
            <w:pPr>
              <w:spacing w:after="0"/>
              <w:rPr>
                <w:sz w:val="1"/>
                <w:szCs w:val="1"/>
                <w:color w:val="auto"/>
              </w:rPr>
            </w:pPr>
          </w:p>
        </w:tc>
      </w:tr>
      <w:tr>
        <w:trPr>
          <w:trHeight w:val="230"/>
        </w:trPr>
        <w:tc>
          <w:tcPr>
            <w:tcW w:w="5460" w:type="dxa"/>
            <w:vAlign w:val="bottom"/>
          </w:tcPr>
          <w:p>
            <w:pPr>
              <w:ind w:left="680"/>
              <w:spacing w:after="0"/>
              <w:rPr>
                <w:sz w:val="20"/>
                <w:szCs w:val="20"/>
                <w:color w:val="auto"/>
              </w:rPr>
            </w:pPr>
            <w:r>
              <w:rPr>
                <w:rFonts w:ascii="Arial" w:cs="Arial" w:eastAsia="Arial" w:hAnsi="Arial"/>
                <w:sz w:val="18"/>
                <w:szCs w:val="18"/>
                <w:color w:val="auto"/>
              </w:rPr>
              <w:t>Effect of dilution:</w:t>
            </w: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Stock options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460" w:type="dxa"/>
            <w:vAlign w:val="bottom"/>
          </w:tcPr>
          <w:p>
            <w:pPr>
              <w:ind w:left="1000"/>
              <w:spacing w:after="0"/>
              <w:rPr>
                <w:sz w:val="20"/>
                <w:szCs w:val="20"/>
                <w:color w:val="auto"/>
              </w:rPr>
            </w:pPr>
            <w:r>
              <w:rPr>
                <w:rFonts w:ascii="Arial" w:cs="Arial" w:eastAsia="Arial" w:hAnsi="Arial"/>
                <w:sz w:val="18"/>
                <w:szCs w:val="18"/>
                <w:color w:val="auto"/>
              </w:rPr>
              <w:t>Restricted stock units</w:t>
            </w:r>
          </w:p>
        </w:tc>
        <w:tc>
          <w:tcPr>
            <w:tcW w:w="1260" w:type="dxa"/>
            <w:vAlign w:val="bottom"/>
          </w:tcPr>
          <w:p>
            <w:pPr>
              <w:jc w:val="right"/>
              <w:spacing w:after="0"/>
              <w:rPr>
                <w:sz w:val="20"/>
                <w:szCs w:val="20"/>
                <w:color w:val="auto"/>
              </w:rPr>
            </w:pPr>
            <w:r>
              <w:rPr>
                <w:rFonts w:ascii="Arial" w:cs="Arial" w:eastAsia="Arial" w:hAnsi="Arial"/>
                <w:sz w:val="18"/>
                <w:szCs w:val="18"/>
                <w:color w:val="auto"/>
              </w:rPr>
              <w:t>487</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Diluted weighted average common shares outstanding</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43,277</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June 30, 2022 and June 30, 2021, 0.8 million and 0.3 million, respectively, of restricted stock units have been excluded from diluted weighted average common shares outstanding, as their impact would have been anti-dilutive.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Company's Board of Directors previously authorized a program to repurchase up to $1.5 billion of its outstanding shares of common stock (the "Stock Repurchase Program"). The Stock Repurchase Program has no pre-established closing date and may be suspended or discontinued at any time. For the three and six months ended June 30, 2022 and 2021, the Company did not repurchase any shares of its Class A Common Stock. As of June 30, 2022, the Company had $135.3 million of authorization remaining for repurchase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and Other Charges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impairment and other charges for the three and six months ended June 30, 2022.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Impairment and other charges for the three and six months ended June 30, 2021 were $142.9 million and $159.0 million, respectively.</w:t>
      </w:r>
    </w:p>
    <w:p>
      <w:pPr>
        <w:spacing w:after="0" w:line="90" w:lineRule="exact"/>
        <w:rPr>
          <w:sz w:val="20"/>
          <w:szCs w:val="20"/>
          <w:color w:val="auto"/>
        </w:rPr>
      </w:pPr>
    </w:p>
    <w:p>
      <w:pPr>
        <w:jc w:val="both"/>
        <w:ind w:firstLine="445"/>
        <w:spacing w:after="0" w:line="225" w:lineRule="auto"/>
        <w:rPr>
          <w:sz w:val="20"/>
          <w:szCs w:val="20"/>
          <w:color w:val="auto"/>
        </w:rPr>
      </w:pPr>
      <w:r>
        <w:rPr>
          <w:rFonts w:ascii="Arial" w:cs="Arial" w:eastAsia="Arial" w:hAnsi="Arial"/>
          <w:sz w:val="18"/>
          <w:szCs w:val="18"/>
          <w:color w:val="auto"/>
        </w:rPr>
        <w:t xml:space="preserve">On July 16, 2021, the Company entered into a settlement agreement (the “Settlement Agreement”) with Frank Darabont, Ferenc, Inc., Darkwoods Productions, Inc., and Creative Artists Agency, LLC (together, the "Plaintiffs") in actions brought in connection with Frank Darabont’s rendering services as a writer, director and producer of the television series entitled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The Settlement Agreement provided for a cash payment of $200 million (the “Settlement Payment”) to the Plaintiffs and future revenue sharing related to certain future streaming exhibition of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and </w:t>
      </w:r>
      <w:r>
        <w:rPr>
          <w:rFonts w:ascii="Arial" w:cs="Arial" w:eastAsia="Arial" w:hAnsi="Arial"/>
          <w:sz w:val="18"/>
          <w:szCs w:val="18"/>
          <w:i w:val="1"/>
          <w:iCs w:val="1"/>
          <w:color w:val="auto"/>
        </w:rPr>
        <w:t>Fear The Walking Dead</w:t>
      </w:r>
      <w:r>
        <w:rPr>
          <w:rFonts w:ascii="Arial" w:cs="Arial" w:eastAsia="Arial" w:hAnsi="Arial"/>
          <w:sz w:val="18"/>
          <w:szCs w:val="18"/>
          <w:color w:val="auto"/>
        </w:rPr>
        <w:t>. With regard to the Settlement Payment, the Company recorded a charge of $143.0 million during the second quarter of 2021,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included in Impairment and other charges in consideration for the extinguishment of Plaintiffs’ rights to any compensation in connection with </w:t>
      </w:r>
      <w:r>
        <w:rPr>
          <w:rFonts w:ascii="Arial" w:cs="Arial" w:eastAsia="Arial" w:hAnsi="Arial"/>
          <w:sz w:val="18"/>
          <w:szCs w:val="18"/>
          <w:i w:val="1"/>
          <w:iCs w:val="1"/>
          <w:color w:val="auto"/>
        </w:rPr>
        <w:t>The Walking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Dead </w:t>
      </w:r>
      <w:r>
        <w:rPr>
          <w:rFonts w:ascii="Arial" w:cs="Arial" w:eastAsia="Arial" w:hAnsi="Arial"/>
          <w:sz w:val="18"/>
          <w:szCs w:val="18"/>
          <w:color w:val="auto"/>
        </w:rPr>
        <w:t>and any related programs and the dismissal of the actions with prejudice, which amount was net of $57.0 million of ordinary course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participations.</w:t>
      </w:r>
    </w:p>
    <w:p>
      <w:pPr>
        <w:spacing w:after="0" w:line="68" w:lineRule="exact"/>
        <w:rPr>
          <w:sz w:val="20"/>
          <w:szCs w:val="20"/>
          <w:color w:val="auto"/>
        </w:rPr>
      </w:pPr>
    </w:p>
    <w:p>
      <w:pPr>
        <w:jc w:val="both"/>
        <w:ind w:firstLine="445"/>
        <w:spacing w:after="0"/>
        <w:rPr>
          <w:sz w:val="20"/>
          <w:szCs w:val="20"/>
          <w:color w:val="auto"/>
        </w:rPr>
      </w:pPr>
      <w:r>
        <w:rPr>
          <w:rFonts w:ascii="Arial" w:cs="Arial" w:eastAsia="Arial" w:hAnsi="Arial"/>
          <w:sz w:val="17"/>
          <w:szCs w:val="17"/>
          <w:color w:val="auto"/>
        </w:rPr>
        <w:t>In March 2021, the Company completed a spin-off of the live comedy venue and talent management businesses ("LiveCo") of Levity Entertainment Group, LLC. In connection with the transaction, the Company effectively exchanged all of its rights and interests in LiveCo for the release of the Company's obligations, principally related to leases. As a result of this divestiture, the Company recognized a loss on the disposal of $16.1 million reflecting the net assets transferred (consisting of property and equipment, lease right-of-use assets and intangibles, partially offset by lease and other obligations), which is included in Impairment and other charges. The Company retained its interest in the production services business of Levity Entertainment Group, LLC, which was renamed 25/7 Media Holdings, LLC ("25/7 Media") following the spin-off.</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Other Related Charges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restructuring and other related charges for the three and six months ended June 30, 2022.</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Restructuring and other related charges of $0.2 million and $8.8 million for the three and six months ended June 30, 2021, respectively, consisted of $0.2 million and $4.3 million of severance costs associated with the restructuring plan announced in November 2020 for the three and six months ended June 30, 2021, respectively, and $4.5 million at AMCNI related to the termination of distribution in certain international territories for the six months ended June 30, 2021.</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restructuring and other related charges recognized by operating segment: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Three Months Ended</w:t>
            </w:r>
          </w:p>
        </w:tc>
        <w:tc>
          <w:tcPr>
            <w:tcW w:w="120" w:type="dxa"/>
            <w:vAlign w:val="bottom"/>
          </w:tcPr>
          <w:p>
            <w:pPr>
              <w:spacing w:after="0"/>
              <w:rPr>
                <w:sz w:val="16"/>
                <w:szCs w:val="16"/>
                <w:color w:val="auto"/>
              </w:rPr>
            </w:pPr>
          </w:p>
        </w:tc>
        <w:tc>
          <w:tcPr>
            <w:tcW w:w="1440" w:type="dxa"/>
            <w:vAlign w:val="bottom"/>
          </w:tcPr>
          <w:p>
            <w:pPr>
              <w:jc w:val="center"/>
              <w:ind w:right="34"/>
              <w:spacing w:after="0"/>
              <w:rPr>
                <w:sz w:val="20"/>
                <w:szCs w:val="20"/>
                <w:color w:val="auto"/>
              </w:rPr>
            </w:pPr>
            <w:r>
              <w:rPr>
                <w:rFonts w:ascii="Arial" w:cs="Arial" w:eastAsia="Arial" w:hAnsi="Arial"/>
                <w:sz w:val="16"/>
                <w:szCs w:val="16"/>
                <w:b w:val="1"/>
                <w:bCs w:val="1"/>
                <w:color w:val="auto"/>
                <w:w w:val="92"/>
              </w:rPr>
              <w:t>Six Months Ended</w:t>
            </w:r>
          </w:p>
        </w:tc>
      </w:tr>
      <w:tr>
        <w:trPr>
          <w:trHeight w:val="213"/>
        </w:trPr>
        <w:tc>
          <w:tcPr>
            <w:tcW w:w="8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8"/>
                <w:szCs w:val="18"/>
                <w:color w:val="auto"/>
              </w:rPr>
            </w:pPr>
          </w:p>
        </w:tc>
        <w:tc>
          <w:tcPr>
            <w:tcW w:w="144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June 30,</w:t>
            </w:r>
          </w:p>
        </w:tc>
      </w:tr>
      <w:tr>
        <w:trPr>
          <w:trHeight w:val="236"/>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9"/>
              </w:rPr>
              <w:t>2021</w:t>
            </w: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80" w:type="dxa"/>
            <w:vAlign w:val="bottom"/>
          </w:tcPr>
          <w:p>
            <w:pPr>
              <w:spacing w:after="0"/>
              <w:rPr>
                <w:sz w:val="19"/>
                <w:szCs w:val="19"/>
                <w:color w:val="auto"/>
              </w:rPr>
            </w:pPr>
          </w:p>
        </w:tc>
        <w:tc>
          <w:tcPr>
            <w:tcW w:w="1240" w:type="dxa"/>
            <w:vAlign w:val="bottom"/>
          </w:tcPr>
          <w:p>
            <w:pPr>
              <w:ind w:left="920"/>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4,473</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3"/>
              </w:rPr>
              <w:t>(44)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restructuring and other related charges</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8,780</w:t>
            </w:r>
          </w:p>
        </w:tc>
      </w:tr>
      <w:tr>
        <w:trPr>
          <w:trHeight w:val="20"/>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ind w:left="460" w:right="218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Program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capitalized produced and licensed content by predominant monetization strategy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 2022</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Arial" w:cs="Arial" w:eastAsia="Arial" w:hAnsi="Arial"/>
                <w:sz w:val="18"/>
                <w:szCs w:val="18"/>
                <w:color w:val="auto"/>
              </w:rPr>
              <w:t>Predominantly</w:t>
            </w:r>
          </w:p>
        </w:tc>
        <w:tc>
          <w:tcPr>
            <w:tcW w:w="140" w:type="dxa"/>
            <w:vAlign w:val="bottom"/>
          </w:tcPr>
          <w:p>
            <w:pPr>
              <w:spacing w:after="0"/>
              <w:rPr>
                <w:sz w:val="14"/>
                <w:szCs w:val="14"/>
                <w:color w:val="auto"/>
              </w:rPr>
            </w:pPr>
          </w:p>
        </w:tc>
        <w:tc>
          <w:tcPr>
            <w:tcW w:w="1760" w:type="dxa"/>
            <w:vAlign w:val="bottom"/>
            <w:gridSpan w:val="2"/>
          </w:tcPr>
          <w:p>
            <w:pPr>
              <w:ind w:left="260"/>
              <w:spacing w:after="0" w:line="169" w:lineRule="exact"/>
              <w:rPr>
                <w:sz w:val="20"/>
                <w:szCs w:val="20"/>
                <w:color w:val="auto"/>
              </w:rPr>
            </w:pPr>
            <w:r>
              <w:rPr>
                <w:rFonts w:ascii="Arial" w:cs="Arial" w:eastAsia="Arial" w:hAnsi="Arial"/>
                <w:sz w:val="18"/>
                <w:szCs w:val="18"/>
                <w:color w:val="auto"/>
              </w:rPr>
              <w:t>Predominantly</w:t>
            </w:r>
          </w:p>
        </w:tc>
        <w:tc>
          <w:tcPr>
            <w:tcW w:w="420" w:type="dxa"/>
            <w:vAlign w:val="bottom"/>
          </w:tcPr>
          <w:p>
            <w:pPr>
              <w:spacing w:after="0"/>
              <w:rPr>
                <w:sz w:val="14"/>
                <w:szCs w:val="14"/>
                <w:color w:val="auto"/>
              </w:rPr>
            </w:pPr>
          </w:p>
        </w:tc>
        <w:tc>
          <w:tcPr>
            <w:tcW w:w="1380" w:type="dxa"/>
            <w:vAlign w:val="bottom"/>
            <w:vMerge w:val="restart"/>
          </w:tcPr>
          <w:p>
            <w:pPr>
              <w:jc w:val="right"/>
              <w:ind w:right="6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Arial" w:cs="Arial" w:eastAsia="Arial" w:hAnsi="Arial"/>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Monetized as a Group</w:t>
            </w:r>
          </w:p>
        </w:tc>
        <w:tc>
          <w:tcPr>
            <w:tcW w:w="4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Completed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219,611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301,862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521,473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In-production and in-development</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311,768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416,778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owned original program rights,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613,630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938,251</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Arial" w:cs="Arial" w:eastAsia="Arial" w:hAnsi="Arial"/>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Licensed originals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83,794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208,111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291,905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Advances and content versioning costs</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licensed program rights, net</w:t>
            </w: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88,726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928,716</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1,017,442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413,347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1,542,346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1,955,693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1,941,899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1,955,693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8"/>
              </w:rPr>
              <w:t>December 31, 2021</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vMerge w:val="continue"/>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Arial" w:cs="Arial" w:eastAsia="Arial" w:hAnsi="Arial"/>
                <w:sz w:val="18"/>
                <w:szCs w:val="18"/>
                <w:color w:val="auto"/>
              </w:rPr>
              <w:t>Predominantly</w:t>
            </w:r>
          </w:p>
        </w:tc>
        <w:tc>
          <w:tcPr>
            <w:tcW w:w="140" w:type="dxa"/>
            <w:vAlign w:val="bottom"/>
          </w:tcPr>
          <w:p>
            <w:pPr>
              <w:spacing w:after="0"/>
              <w:rPr>
                <w:sz w:val="14"/>
                <w:szCs w:val="14"/>
                <w:color w:val="auto"/>
              </w:rPr>
            </w:pPr>
          </w:p>
        </w:tc>
        <w:tc>
          <w:tcPr>
            <w:tcW w:w="1760" w:type="dxa"/>
            <w:vAlign w:val="bottom"/>
            <w:gridSpan w:val="2"/>
          </w:tcPr>
          <w:p>
            <w:pPr>
              <w:ind w:left="260"/>
              <w:spacing w:after="0" w:line="169" w:lineRule="exact"/>
              <w:rPr>
                <w:sz w:val="20"/>
                <w:szCs w:val="20"/>
                <w:color w:val="auto"/>
              </w:rPr>
            </w:pPr>
            <w:r>
              <w:rPr>
                <w:rFonts w:ascii="Arial" w:cs="Arial" w:eastAsia="Arial" w:hAnsi="Arial"/>
                <w:sz w:val="18"/>
                <w:szCs w:val="18"/>
                <w:color w:val="auto"/>
              </w:rPr>
              <w:t>Predominantly</w:t>
            </w:r>
          </w:p>
        </w:tc>
        <w:tc>
          <w:tcPr>
            <w:tcW w:w="420" w:type="dxa"/>
            <w:vAlign w:val="bottom"/>
          </w:tcPr>
          <w:p>
            <w:pPr>
              <w:spacing w:after="0"/>
              <w:rPr>
                <w:sz w:val="14"/>
                <w:szCs w:val="14"/>
                <w:color w:val="auto"/>
              </w:rPr>
            </w:pPr>
          </w:p>
        </w:tc>
        <w:tc>
          <w:tcPr>
            <w:tcW w:w="1380" w:type="dxa"/>
            <w:vAlign w:val="bottom"/>
            <w:vMerge w:val="restart"/>
          </w:tcPr>
          <w:p>
            <w:pPr>
              <w:jc w:val="right"/>
              <w:ind w:right="6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Arial" w:cs="Arial" w:eastAsia="Arial" w:hAnsi="Arial"/>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Monetized as a Group</w:t>
            </w:r>
          </w:p>
        </w:tc>
        <w:tc>
          <w:tcPr>
            <w:tcW w:w="4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Completed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185,228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127,470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312,698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In-production and in-development</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426,808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owned original program rights,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392,397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739,506</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Arial" w:cs="Arial" w:eastAsia="Arial" w:hAnsi="Arial"/>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Licensed originals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61,923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148,063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209,986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Advances and content versioning costs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107,196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164,474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licensed program rights, net</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876,194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1,002,400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473,315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1,268,591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1,741,906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gridSpan w:val="3"/>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1,731,838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1,741,906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2" w:name="page13"/>
    <w:bookmarkEnd w:id="12"/>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Amortization of owned and licensed program rights, included in Technical and operating expenses in the condensed consolidated statements of income,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w w:val="92"/>
              </w:rPr>
              <w:t>Three Months Ended June 30, 2022</w:t>
            </w: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center"/>
              <w:ind w:left="699"/>
              <w:spacing w:after="0"/>
              <w:rPr>
                <w:sz w:val="20"/>
                <w:szCs w:val="20"/>
                <w:color w:val="auto"/>
              </w:rPr>
            </w:pPr>
            <w:r>
              <w:rPr>
                <w:rFonts w:ascii="Arial" w:cs="Arial" w:eastAsia="Arial" w:hAnsi="Arial"/>
                <w:sz w:val="16"/>
                <w:szCs w:val="16"/>
                <w:b w:val="1"/>
                <w:bCs w:val="1"/>
                <w:color w:val="auto"/>
                <w:w w:val="91"/>
              </w:rPr>
              <w:t>Six Months Ended June 30, 2022</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1"/>
              </w:rPr>
              <w:t>Predominantly</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14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4"/>
              </w:rPr>
              <w:t>Monetized</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Monetized as a</w:t>
            </w:r>
          </w:p>
        </w:tc>
        <w:tc>
          <w:tcPr>
            <w:tcW w:w="44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4"/>
              </w:rPr>
              <w:t>Monetized</w:t>
            </w:r>
          </w:p>
        </w:tc>
        <w:tc>
          <w:tcPr>
            <w:tcW w:w="14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Monetized as a</w:t>
            </w:r>
          </w:p>
        </w:tc>
        <w:tc>
          <w:tcPr>
            <w:tcW w:w="380" w:type="dxa"/>
            <w:vAlign w:val="bottom"/>
          </w:tcPr>
          <w:p>
            <w:pPr>
              <w:spacing w:after="0"/>
              <w:rPr>
                <w:sz w:val="14"/>
                <w:szCs w:val="14"/>
                <w:color w:val="auto"/>
              </w:rPr>
            </w:pPr>
          </w:p>
        </w:tc>
        <w:tc>
          <w:tcPr>
            <w:tcW w:w="920" w:type="dxa"/>
            <w:vAlign w:val="bottom"/>
            <w:vMerge w:val="restart"/>
          </w:tcPr>
          <w:p>
            <w:pPr>
              <w:jc w:val="right"/>
              <w:ind w:right="3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Individually</w:t>
            </w:r>
          </w:p>
        </w:tc>
        <w:tc>
          <w:tcPr>
            <w:tcW w:w="1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Group</w:t>
            </w:r>
          </w:p>
        </w:tc>
        <w:tc>
          <w:tcPr>
            <w:tcW w:w="4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color w:val="auto"/>
                <w:w w:val="98"/>
              </w:rPr>
              <w:t>Individually</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Group</w:t>
            </w:r>
          </w:p>
        </w:tc>
        <w:tc>
          <w:tcPr>
            <w:tcW w:w="3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Owned original program rights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44,504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30,381</w:t>
            </w:r>
          </w:p>
        </w:tc>
        <w:tc>
          <w:tcPr>
            <w:tcW w:w="1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74,885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94,344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47,316</w:t>
            </w:r>
          </w:p>
        </w:tc>
        <w:tc>
          <w:tcPr>
            <w:tcW w:w="18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141,660</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Licensed program rights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9,633</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119,520</w:t>
            </w:r>
          </w:p>
        </w:tc>
        <w:tc>
          <w:tcPr>
            <w:tcW w:w="1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129,153</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17,241</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237,989</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255,230</w:t>
            </w:r>
          </w:p>
        </w:tc>
        <w:tc>
          <w:tcPr>
            <w:tcW w:w="0" w:type="dxa"/>
            <w:vAlign w:val="bottom"/>
          </w:tcPr>
          <w:p>
            <w:pPr>
              <w:spacing w:after="0"/>
              <w:rPr>
                <w:sz w:val="1"/>
                <w:szCs w:val="1"/>
                <w:color w:val="auto"/>
              </w:rPr>
            </w:pP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Program rights amortization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54,137</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149,901</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204,038</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111,585</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285,305</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396,890</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w w:val="92"/>
              </w:rPr>
              <w:t>Three Months Ended June 30, 2021</w:t>
            </w: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center"/>
              <w:ind w:left="699"/>
              <w:spacing w:after="0"/>
              <w:rPr>
                <w:sz w:val="20"/>
                <w:szCs w:val="20"/>
                <w:color w:val="auto"/>
              </w:rPr>
            </w:pPr>
            <w:r>
              <w:rPr>
                <w:rFonts w:ascii="Arial" w:cs="Arial" w:eastAsia="Arial" w:hAnsi="Arial"/>
                <w:sz w:val="16"/>
                <w:szCs w:val="16"/>
                <w:b w:val="1"/>
                <w:bCs w:val="1"/>
                <w:color w:val="auto"/>
                <w:w w:val="91"/>
              </w:rPr>
              <w:t>Six Months Ended June 30, 2021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1"/>
              </w:rPr>
              <w:t>Predominantly</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14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4"/>
              </w:rPr>
              <w:t>Monetized</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Monetized as a</w:t>
            </w:r>
          </w:p>
        </w:tc>
        <w:tc>
          <w:tcPr>
            <w:tcW w:w="44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4"/>
              </w:rPr>
              <w:t>Monetized</w:t>
            </w:r>
          </w:p>
        </w:tc>
        <w:tc>
          <w:tcPr>
            <w:tcW w:w="14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Monetized as a</w:t>
            </w:r>
          </w:p>
        </w:tc>
        <w:tc>
          <w:tcPr>
            <w:tcW w:w="380" w:type="dxa"/>
            <w:vAlign w:val="bottom"/>
          </w:tcPr>
          <w:p>
            <w:pPr>
              <w:spacing w:after="0"/>
              <w:rPr>
                <w:sz w:val="14"/>
                <w:szCs w:val="14"/>
                <w:color w:val="auto"/>
              </w:rPr>
            </w:pPr>
          </w:p>
        </w:tc>
        <w:tc>
          <w:tcPr>
            <w:tcW w:w="920" w:type="dxa"/>
            <w:vAlign w:val="bottom"/>
            <w:vMerge w:val="restart"/>
          </w:tcPr>
          <w:p>
            <w:pPr>
              <w:jc w:val="right"/>
              <w:ind w:right="3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Individually</w:t>
            </w:r>
          </w:p>
        </w:tc>
        <w:tc>
          <w:tcPr>
            <w:tcW w:w="1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Group</w:t>
            </w:r>
          </w:p>
        </w:tc>
        <w:tc>
          <w:tcPr>
            <w:tcW w:w="4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color w:val="auto"/>
                <w:w w:val="98"/>
              </w:rPr>
              <w:t>Individually</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Group</w:t>
            </w:r>
          </w:p>
        </w:tc>
        <w:tc>
          <w:tcPr>
            <w:tcW w:w="3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Owned original program rights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50,921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7,571</w:t>
            </w:r>
          </w:p>
        </w:tc>
        <w:tc>
          <w:tcPr>
            <w:tcW w:w="1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58,492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84,827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12,137</w:t>
            </w:r>
          </w:p>
        </w:tc>
        <w:tc>
          <w:tcPr>
            <w:tcW w:w="18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96,964</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Licensed program rights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20,865</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103,004</w:t>
            </w:r>
          </w:p>
        </w:tc>
        <w:tc>
          <w:tcPr>
            <w:tcW w:w="1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123,869</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45,885</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190,499</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236,384</w:t>
            </w:r>
          </w:p>
        </w:tc>
        <w:tc>
          <w:tcPr>
            <w:tcW w:w="0" w:type="dxa"/>
            <w:vAlign w:val="bottom"/>
          </w:tcPr>
          <w:p>
            <w:pPr>
              <w:spacing w:after="0"/>
              <w:rPr>
                <w:sz w:val="1"/>
                <w:szCs w:val="1"/>
                <w:color w:val="auto"/>
              </w:rPr>
            </w:pP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Program rights amortization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71,786</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110,575</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182,361</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130,712</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202,636</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333,348</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The Company periodically reviews the programming usefulness of its licensed and owned original program rights based on several factors, including expected future revenue generation from airings on the Company's networks and streaming services and other exploitation opportunities, ratings, type and quality of program material, standards and practices, and fitness for exhibition through various forms of distribution. If it is determined that film or other program rights have limited, or no, future programming usefulness, the useful life is updated, which generally results in a write-off of the unamortized cost to technical and operating expenses in the consolidated statements of income. There were no significant program rights write-offs included in technical and operating expense for the three and six months ended June 30, 2022 or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12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 holds several investments in and loans to non-consolidated entities which are included in Other assets in the condensed consolidated balance sheet. Equity method investments were $83.0 million and $93.7 million at June 30, 2022 and December 31, 2021, respectively.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classifies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miscellaneous, net in the condensed consolidated statement of income.</w:t>
      </w:r>
    </w:p>
    <w:p>
      <w:pPr>
        <w:spacing w:after="0" w:line="5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April 2022, the Company sold its interest in a marketable equity security for $9.9 million. The Company recognized a loss of $0.2 million and a gain of $4.1 million on marketable equity securities for the three and six months ended June 30, 2022, respectively. There were losses of $2.4 million and $7.8 million on marketable equity securities for the three and six months ended June 30, 2021, respectively. There were no investments in marketable equity securities at June 30, 2022 and $5.8 million of investments in marketable equity securities at December 31, 2021.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classifies investments without readily determinable fair values that are not accounted for under the equity method as non-marketable equity securities. Investments in non-marketable equity securities were $37.7 million at June 30, 2022 and December 31, 2021. The changes in value, if any, are recorded in miscellaneous, net in the condensed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Other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2220" w:type="dxa"/>
            <w:vAlign w:val="bottom"/>
            <w:gridSpan w:val="3"/>
            <w:vMerge w:val="restart"/>
          </w:tcPr>
          <w:p>
            <w:pPr>
              <w:ind w:left="560"/>
              <w:spacing w:after="0"/>
              <w:rPr>
                <w:sz w:val="20"/>
                <w:szCs w:val="20"/>
                <w:color w:val="auto"/>
              </w:rPr>
            </w:pPr>
            <w:r>
              <w:rPr>
                <w:rFonts w:ascii="Arial" w:cs="Arial" w:eastAsia="Arial" w:hAnsi="Arial"/>
                <w:sz w:val="16"/>
                <w:szCs w:val="16"/>
                <w:b w:val="1"/>
                <w:bCs w:val="1"/>
                <w:color w:val="auto"/>
              </w:rPr>
              <w:t>Domestic Operations</w:t>
            </w:r>
          </w:p>
        </w:tc>
        <w:tc>
          <w:tcPr>
            <w:tcW w:w="62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Arial" w:cs="Arial" w:eastAsia="Arial" w:hAnsi="Arial"/>
                <w:sz w:val="16"/>
                <w:szCs w:val="16"/>
                <w:b w:val="1"/>
                <w:bCs w:val="1"/>
                <w:color w:val="auto"/>
              </w:rPr>
              <w:t>International</w:t>
            </w:r>
          </w:p>
        </w:tc>
        <w:tc>
          <w:tcPr>
            <w:tcW w:w="820" w:type="dxa"/>
            <w:vAlign w:val="bottom"/>
          </w:tcPr>
          <w:p>
            <w:pPr>
              <w:spacing w:after="0"/>
              <w:rPr>
                <w:sz w:val="16"/>
                <w:szCs w:val="16"/>
                <w:color w:val="auto"/>
              </w:rPr>
            </w:pPr>
          </w:p>
        </w:tc>
        <w:tc>
          <w:tcPr>
            <w:tcW w:w="1280" w:type="dxa"/>
            <w:vAlign w:val="bottom"/>
            <w:vMerge w:val="restart"/>
          </w:tcPr>
          <w:p>
            <w:pPr>
              <w:jc w:val="right"/>
              <w:ind w:right="5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580" w:type="dxa"/>
            <w:vAlign w:val="bottom"/>
          </w:tcPr>
          <w:p>
            <w:pPr>
              <w:ind w:left="480"/>
              <w:spacing w:after="0"/>
              <w:rPr>
                <w:sz w:val="20"/>
                <w:szCs w:val="20"/>
                <w:color w:val="auto"/>
              </w:rPr>
            </w:pPr>
            <w:r>
              <w:rPr>
                <w:rFonts w:ascii="Arial" w:cs="Arial" w:eastAsia="Arial" w:hAnsi="Arial"/>
                <w:sz w:val="14"/>
                <w:szCs w:val="14"/>
                <w:b w:val="1"/>
                <w:bCs w:val="1"/>
                <w:color w:val="auto"/>
              </w:rPr>
              <w:t>(In thousands)</w:t>
            </w:r>
          </w:p>
        </w:tc>
        <w:tc>
          <w:tcPr>
            <w:tcW w:w="222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and Other</w:t>
            </w:r>
          </w:p>
        </w:tc>
        <w:tc>
          <w:tcPr>
            <w:tcW w:w="8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December 31, 2021</w:t>
            </w:r>
          </w:p>
        </w:tc>
        <w:tc>
          <w:tcPr>
            <w:tcW w:w="1000" w:type="dxa"/>
            <w:vAlign w:val="bottom"/>
            <w:tcBorders>
              <w:top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353,470</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355,874</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709,344</w:t>
            </w:r>
          </w:p>
        </w:tc>
        <w:tc>
          <w:tcPr>
            <w:tcW w:w="0" w:type="dxa"/>
            <w:vAlign w:val="bottom"/>
          </w:tcPr>
          <w:p>
            <w:pPr>
              <w:spacing w:after="0"/>
              <w:rPr>
                <w:sz w:val="1"/>
                <w:szCs w:val="1"/>
                <w:color w:val="auto"/>
              </w:rPr>
            </w:pPr>
          </w:p>
        </w:tc>
      </w:tr>
      <w:tr>
        <w:trPr>
          <w:trHeight w:val="229"/>
        </w:trPr>
        <w:tc>
          <w:tcPr>
            <w:tcW w:w="4580" w:type="dxa"/>
            <w:vAlign w:val="bottom"/>
          </w:tcPr>
          <w:p>
            <w:pPr>
              <w:ind w:left="480"/>
              <w:spacing w:after="0"/>
              <w:rPr>
                <w:sz w:val="20"/>
                <w:szCs w:val="20"/>
                <w:color w:val="auto"/>
              </w:rPr>
            </w:pPr>
            <w:r>
              <w:rPr>
                <w:rFonts w:ascii="Arial" w:cs="Arial" w:eastAsia="Arial" w:hAnsi="Arial"/>
                <w:sz w:val="18"/>
                <w:szCs w:val="18"/>
                <w:color w:val="auto"/>
              </w:rPr>
              <w:t>Purchase accounting adjustments</w:t>
            </w:r>
          </w:p>
        </w:tc>
        <w:tc>
          <w:tcPr>
            <w:tcW w:w="10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"second component" goodwill</w:t>
            </w: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29"/>
        </w:trPr>
        <w:tc>
          <w:tcPr>
            <w:tcW w:w="4580" w:type="dxa"/>
            <w:vAlign w:val="bottom"/>
          </w:tcPr>
          <w:p>
            <w:pPr>
              <w:ind w:left="480"/>
              <w:spacing w:after="0"/>
              <w:rPr>
                <w:sz w:val="20"/>
                <w:szCs w:val="20"/>
                <w:color w:val="auto"/>
              </w:rPr>
            </w:pPr>
            <w:r>
              <w:rPr>
                <w:rFonts w:ascii="Arial" w:cs="Arial" w:eastAsia="Arial" w:hAnsi="Arial"/>
                <w:sz w:val="18"/>
                <w:szCs w:val="18"/>
                <w:color w:val="auto"/>
              </w:rPr>
              <w:t>Foreign currency translation</w:t>
            </w:r>
          </w:p>
        </w:tc>
        <w:tc>
          <w:tcPr>
            <w:tcW w:w="10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(23,350)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(23,350)</w:t>
            </w: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June 30, 2022</w:t>
            </w:r>
          </w:p>
        </w:tc>
        <w:tc>
          <w:tcPr>
            <w:tcW w:w="100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684,236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2022 and December 31, 2021, accumulated impairment charges in the International and Other segment totaled $123.1 million.</w:t>
      </w:r>
    </w:p>
    <w:p>
      <w:pPr>
        <w:spacing w:after="0" w:line="12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purchase accounting adjustments of $1.1 million to the carrying amount of goodwill in Domestic Operations relate to the acquisition of Sentai Holdings, a global supplier of anime content, including its anime-focused HIDIVE subscription streaming service, for which the allocation of goodwill is preliminary and is based on current estimates and currently available information, and is subject to revision based on final allocation of the purchase price to identifiable assets and liabilities acquired.</w:t>
      </w:r>
    </w:p>
    <w:p>
      <w:pPr>
        <w:spacing w:after="0" w:line="7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reduction of $0.7 million in the carrying amount of goodwill for Domestic Operations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information relating to the Company's identifiable intangible assets: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 2022</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380" w:type="dxa"/>
            <w:vAlign w:val="bottom"/>
          </w:tcPr>
          <w:p>
            <w:pPr>
              <w:spacing w:after="0"/>
              <w:rPr>
                <w:sz w:val="16"/>
                <w:szCs w:val="16"/>
                <w:color w:val="auto"/>
              </w:rPr>
            </w:pPr>
          </w:p>
        </w:tc>
        <w:tc>
          <w:tcPr>
            <w:tcW w:w="1140" w:type="dxa"/>
            <w:vAlign w:val="bottom"/>
            <w:vMerge w:val="restart"/>
          </w:tcPr>
          <w:p>
            <w:pPr>
              <w:jc w:val="right"/>
              <w:ind w:right="55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w w:val="95"/>
              </w:rPr>
              <w:t>Estimated Useful</w:t>
            </w: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3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394"/>
              <w:spacing w:after="0"/>
              <w:rPr>
                <w:sz w:val="20"/>
                <w:szCs w:val="20"/>
                <w:color w:val="auto"/>
              </w:rPr>
            </w:pPr>
            <w:r>
              <w:rPr>
                <w:rFonts w:ascii="Arial" w:cs="Arial" w:eastAsia="Arial" w:hAnsi="Arial"/>
                <w:sz w:val="16"/>
                <w:szCs w:val="16"/>
                <w:b w:val="1"/>
                <w:bCs w:val="1"/>
                <w:color w:val="auto"/>
              </w:rPr>
              <w:t>Lives</w:t>
            </w:r>
          </w:p>
        </w:tc>
        <w:tc>
          <w:tcPr>
            <w:tcW w:w="0" w:type="dxa"/>
            <w:vAlign w:val="bottom"/>
          </w:tcPr>
          <w:p>
            <w:pPr>
              <w:spacing w:after="0"/>
              <w:rPr>
                <w:sz w:val="1"/>
                <w:szCs w:val="1"/>
                <w:color w:val="auto"/>
              </w:rPr>
            </w:pPr>
          </w:p>
        </w:tc>
      </w:tr>
      <w:tr>
        <w:trPr>
          <w:trHeight w:val="226"/>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634,476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(358,987)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275,489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 to 25 years</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years</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Trade names and other amortizable intangible assets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108,246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65,016</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 to 20 years</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789,004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(434,556)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354,448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808,904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(434,556)</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374,348</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1"/>
        </w:trPr>
        <w:tc>
          <w:tcPr>
            <w:tcW w:w="5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December 31, 2021</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380" w:type="dxa"/>
            <w:vAlign w:val="bottom"/>
          </w:tcPr>
          <w:p>
            <w:pPr>
              <w:spacing w:after="0"/>
              <w:rPr>
                <w:sz w:val="16"/>
                <w:szCs w:val="16"/>
                <w:color w:val="auto"/>
              </w:rPr>
            </w:pPr>
          </w:p>
        </w:tc>
        <w:tc>
          <w:tcPr>
            <w:tcW w:w="1140" w:type="dxa"/>
            <w:vAlign w:val="bottom"/>
            <w:vMerge w:val="restart"/>
          </w:tcPr>
          <w:p>
            <w:pPr>
              <w:jc w:val="right"/>
              <w:ind w:right="55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3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649,543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(354,673)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294,870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Trade names and other amortizable intangible assets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111,151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68,617</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806,976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379,534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826,876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(427,442)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399,434</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Aggregate amortization expense for amortizable intangible assets for the three months ended June 30, 2022 and 2021 was $10.4 million and $9.4 million, respectively, and for the six months ended June 30, 2022 and 2021 was $21.0 million and $18.9 million, respectively. Estimated aggregate amortization expense for intangible assets subject to amortization for each of the following five years is: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5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5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39,654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70"/>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Note 9. Accrued Liabilities</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300" w:type="dxa"/>
            <w:vAlign w:val="bottom"/>
            <w:gridSpan w:val="2"/>
          </w:tcPr>
          <w:p>
            <w:pPr>
              <w:ind w:left="440"/>
              <w:spacing w:after="0"/>
              <w:rPr>
                <w:sz w:val="20"/>
                <w:szCs w:val="20"/>
                <w:color w:val="auto"/>
              </w:rPr>
            </w:pPr>
            <w:r>
              <w:rPr>
                <w:rFonts w:ascii="Arial" w:cs="Arial" w:eastAsia="Arial" w:hAnsi="Arial"/>
                <w:sz w:val="18"/>
                <w:szCs w:val="18"/>
                <w:color w:val="auto"/>
              </w:rPr>
              <w:t>Accrued liabilities consist of the following:</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4"/>
                <w:szCs w:val="24"/>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2022</w:t>
            </w:r>
          </w:p>
        </w:tc>
        <w:tc>
          <w:tcPr>
            <w:tcW w:w="200" w:type="dxa"/>
            <w:vAlign w:val="bottom"/>
          </w:tcPr>
          <w:p>
            <w:pPr>
              <w:spacing w:after="0"/>
              <w:rPr>
                <w:sz w:val="24"/>
                <w:szCs w:val="24"/>
                <w:color w:val="auto"/>
              </w:rPr>
            </w:pPr>
          </w:p>
        </w:tc>
        <w:tc>
          <w:tcPr>
            <w:tcW w:w="172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7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Employee related costs</w:t>
            </w:r>
          </w:p>
        </w:tc>
        <w:tc>
          <w:tcPr>
            <w:tcW w:w="30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Participations and residuals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128,496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133,988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accrued expenses</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Note 10. Long-term Debt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73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300" w:type="dxa"/>
            <w:vAlign w:val="bottom"/>
            <w:gridSpan w:val="2"/>
          </w:tcPr>
          <w:p>
            <w:pPr>
              <w:ind w:left="440"/>
              <w:spacing w:after="0"/>
              <w:rPr>
                <w:sz w:val="20"/>
                <w:szCs w:val="20"/>
                <w:color w:val="auto"/>
              </w:rPr>
            </w:pPr>
            <w:r>
              <w:rPr>
                <w:rFonts w:ascii="Arial" w:cs="Arial" w:eastAsia="Arial" w:hAnsi="Arial"/>
                <w:sz w:val="18"/>
                <w:szCs w:val="18"/>
                <w:color w:val="auto"/>
              </w:rPr>
              <w:t>The Company's long-term debt consists of the following:</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4"/>
                <w:szCs w:val="24"/>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2022</w:t>
            </w:r>
          </w:p>
        </w:tc>
        <w:tc>
          <w:tcPr>
            <w:tcW w:w="200" w:type="dxa"/>
            <w:vAlign w:val="bottom"/>
          </w:tcPr>
          <w:p>
            <w:pPr>
              <w:spacing w:after="0"/>
              <w:rPr>
                <w:sz w:val="24"/>
                <w:szCs w:val="24"/>
                <w:color w:val="auto"/>
              </w:rPr>
            </w:pPr>
          </w:p>
        </w:tc>
        <w:tc>
          <w:tcPr>
            <w:tcW w:w="172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7300" w:type="dxa"/>
            <w:vAlign w:val="bottom"/>
            <w:tcBorders>
              <w:top w:val="single" w:sz="8" w:color="auto"/>
            </w:tcBorders>
            <w:gridSpan w:val="2"/>
            <w:shd w:val="clear" w:color="auto" w:fill="CCEEFF"/>
          </w:tcPr>
          <w:p>
            <w:pPr>
              <w:spacing w:after="0" w:line="226" w:lineRule="exact"/>
              <w:rPr>
                <w:sz w:val="20"/>
                <w:szCs w:val="20"/>
                <w:color w:val="auto"/>
              </w:rPr>
            </w:pPr>
            <w:r>
              <w:rPr>
                <w:rFonts w:ascii="Arial" w:cs="Arial" w:eastAsia="Arial" w:hAnsi="Arial"/>
                <w:sz w:val="18"/>
                <w:szCs w:val="18"/>
                <w:color w:val="auto"/>
              </w:rPr>
              <w:t xml:space="preserve">Senior Secured Credit Facility: </w:t>
            </w:r>
            <w:r>
              <w:rPr>
                <w:rFonts w:ascii="Arial" w:cs="Arial" w:eastAsia="Arial" w:hAnsi="Arial"/>
                <w:sz w:val="25"/>
                <w:szCs w:val="25"/>
                <w:color w:val="auto"/>
                <w:vertAlign w:val="superscript"/>
              </w:rPr>
              <w:t>(a)</w:t>
            </w:r>
          </w:p>
        </w:tc>
        <w:tc>
          <w:tcPr>
            <w:tcW w:w="30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ind w:left="340"/>
              <w:spacing w:after="0"/>
              <w:rPr>
                <w:sz w:val="20"/>
                <w:szCs w:val="20"/>
                <w:color w:val="auto"/>
              </w:rPr>
            </w:pPr>
            <w:r>
              <w:rPr>
                <w:rFonts w:ascii="Arial" w:cs="Arial" w:eastAsia="Arial" w:hAnsi="Arial"/>
                <w:sz w:val="18"/>
                <w:szCs w:val="18"/>
                <w:color w:val="auto"/>
              </w:rPr>
              <w:t>Term Loan A Facility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658,125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ind w:left="340"/>
              <w:spacing w:after="0"/>
              <w:rPr>
                <w:sz w:val="20"/>
                <w:szCs w:val="20"/>
                <w:color w:val="auto"/>
              </w:rPr>
            </w:pPr>
            <w:r>
              <w:rPr>
                <w:rFonts w:ascii="Arial" w:cs="Arial" w:eastAsia="Arial" w:hAnsi="Arial"/>
                <w:sz w:val="18"/>
                <w:szCs w:val="18"/>
                <w:color w:val="auto"/>
              </w:rPr>
              <w:t>5.00% Notes due April 2024</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4.75% Notes due August 2025</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3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4.25% Notes due February 2029</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Unamortized discount</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(20,979)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deferred financing costs</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2,825,423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2,838,470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Noncurrent portion of long-term debt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2,791,673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140" w:right="680" w:hanging="484"/>
        <w:spacing w:after="0" w:line="277" w:lineRule="auto"/>
        <w:tabs>
          <w:tab w:leader="none" w:pos="113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$500 million revolving credit facility remains undrawn at June 30, 2022. Total undrawn revolver commitments are available to be drawn for general corporate purposes of the Company.</w:t>
      </w:r>
    </w:p>
    <w:p>
      <w:pPr>
        <w:spacing w:after="0" w:line="62"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During the six months ended June 30, 2022, the Company repaid a total of $16.9 million of the principal amount of the Term Loan A Facility in accordance with the terms of the agreement.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leases included in the condensed consolidated balance sheets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580" w:type="dxa"/>
            <w:vAlign w:val="bottom"/>
            <w:gridSpan w:val="2"/>
          </w:tcPr>
          <w:p>
            <w:pPr>
              <w:ind w:left="740"/>
              <w:spacing w:after="0"/>
              <w:rPr>
                <w:sz w:val="20"/>
                <w:szCs w:val="20"/>
                <w:color w:val="auto"/>
              </w:rPr>
            </w:pPr>
            <w:r>
              <w:rPr>
                <w:rFonts w:ascii="Arial" w:cs="Arial" w:eastAsia="Arial" w:hAnsi="Arial"/>
                <w:sz w:val="16"/>
                <w:szCs w:val="16"/>
                <w:b w:val="1"/>
                <w:bCs w:val="1"/>
                <w:color w:val="auto"/>
              </w:rPr>
              <w:t>Balance Sheet Location</w:t>
            </w:r>
          </w:p>
        </w:tc>
        <w:tc>
          <w:tcPr>
            <w:tcW w:w="340" w:type="dxa"/>
            <w:vAlign w:val="bottom"/>
          </w:tcPr>
          <w:p>
            <w:pPr>
              <w:spacing w:after="0"/>
              <w:rPr>
                <w:sz w:val="18"/>
                <w:szCs w:val="18"/>
                <w:color w:val="auto"/>
              </w:rPr>
            </w:pPr>
          </w:p>
        </w:tc>
        <w:tc>
          <w:tcPr>
            <w:tcW w:w="186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 2022</w:t>
            </w:r>
          </w:p>
        </w:tc>
        <w:tc>
          <w:tcPr>
            <w:tcW w:w="240" w:type="dxa"/>
            <w:vAlign w:val="bottom"/>
          </w:tcPr>
          <w:p>
            <w:pPr>
              <w:spacing w:after="0"/>
              <w:rPr>
                <w:sz w:val="18"/>
                <w:szCs w:val="18"/>
                <w:color w:val="auto"/>
              </w:rPr>
            </w:pPr>
          </w:p>
        </w:tc>
        <w:tc>
          <w:tcPr>
            <w:tcW w:w="18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 2021</w:t>
            </w:r>
          </w:p>
        </w:tc>
      </w:tr>
      <w:tr>
        <w:trPr>
          <w:trHeight w:val="186"/>
        </w:trPr>
        <w:tc>
          <w:tcPr>
            <w:tcW w:w="20" w:type="dxa"/>
            <w:vAlign w:val="bottom"/>
            <w:tcBorders>
              <w:top w:val="single" w:sz="8" w:color="auto"/>
            </w:tcBorders>
            <w:shd w:val="clear" w:color="auto" w:fill="CCEEFF"/>
          </w:tcPr>
          <w:p>
            <w:pPr>
              <w:spacing w:after="0"/>
              <w:rPr>
                <w:sz w:val="16"/>
                <w:szCs w:val="16"/>
                <w:color w:val="auto"/>
              </w:rPr>
            </w:pPr>
          </w:p>
        </w:tc>
        <w:tc>
          <w:tcPr>
            <w:tcW w:w="2340" w:type="dxa"/>
            <w:vAlign w:val="bottom"/>
            <w:tcBorders>
              <w:top w:val="single" w:sz="8" w:color="auto"/>
            </w:tcBorders>
            <w:gridSpan w:val="3"/>
            <w:shd w:val="clear" w:color="auto" w:fill="CCEEFF"/>
          </w:tcPr>
          <w:p>
            <w:pPr>
              <w:spacing w:after="0" w:line="186" w:lineRule="exact"/>
              <w:rPr>
                <w:sz w:val="20"/>
                <w:szCs w:val="20"/>
                <w:color w:val="auto"/>
              </w:rPr>
            </w:pPr>
            <w:r>
              <w:rPr>
                <w:rFonts w:ascii="Arial" w:cs="Arial" w:eastAsia="Arial" w:hAnsi="Arial"/>
                <w:sz w:val="18"/>
                <w:szCs w:val="18"/>
                <w:b w:val="1"/>
                <w:bCs w:val="1"/>
                <w:color w:val="auto"/>
              </w:rPr>
              <w:t>Assets</w:t>
            </w:r>
          </w:p>
        </w:tc>
        <w:tc>
          <w:tcPr>
            <w:tcW w:w="4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Operating</w:t>
            </w:r>
          </w:p>
        </w:tc>
        <w:tc>
          <w:tcPr>
            <w:tcW w:w="4580" w:type="dxa"/>
            <w:vAlign w:val="bottom"/>
            <w:gridSpan w:val="2"/>
          </w:tcPr>
          <w:p>
            <w:pPr>
              <w:ind w:left="74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111,673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125,866</w:t>
            </w: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Finance</w:t>
            </w:r>
          </w:p>
        </w:tc>
        <w:tc>
          <w:tcPr>
            <w:tcW w:w="4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12,080</w:t>
            </w:r>
          </w:p>
        </w:tc>
      </w:tr>
      <w:tr>
        <w:trPr>
          <w:trHeight w:val="223"/>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Total lease assets</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123,204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137,946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1"/>
              </w:rPr>
              <w:t>Liabilities</w:t>
            </w:r>
          </w:p>
        </w:tc>
        <w:tc>
          <w:tcPr>
            <w:tcW w:w="1560" w:type="dxa"/>
            <w:vAlign w:val="bottom"/>
            <w:tcBorders>
              <w:bottom w:val="single" w:sz="8" w:color="CCEEFF"/>
            </w:tcBorders>
            <w:shd w:val="clear" w:color="auto" w:fill="CCEEFF"/>
          </w:tcPr>
          <w:p>
            <w:pPr>
              <w:spacing w:after="0"/>
              <w:rPr>
                <w:sz w:val="15"/>
                <w:szCs w:val="15"/>
                <w:color w:val="auto"/>
              </w:rPr>
            </w:pPr>
          </w:p>
        </w:tc>
        <w:tc>
          <w:tcPr>
            <w:tcW w:w="4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Current:</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Current portion of lease obligations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32,929</w:t>
            </w:r>
          </w:p>
        </w:tc>
      </w:tr>
      <w:tr>
        <w:trPr>
          <w:trHeight w:val="229"/>
        </w:trPr>
        <w:tc>
          <w:tcPr>
            <w:tcW w:w="2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Finance</w:t>
            </w:r>
          </w:p>
        </w:tc>
        <w:tc>
          <w:tcPr>
            <w:tcW w:w="458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Current portion of lease obligations</w:t>
            </w: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36,596</w:t>
            </w:r>
          </w:p>
        </w:tc>
      </w:tr>
      <w:tr>
        <w:trPr>
          <w:trHeight w:val="209"/>
        </w:trPr>
        <w:tc>
          <w:tcPr>
            <w:tcW w:w="20" w:type="dxa"/>
            <w:vAlign w:val="bottom"/>
          </w:tcPr>
          <w:p>
            <w:pPr>
              <w:spacing w:after="0"/>
              <w:rPr>
                <w:sz w:val="18"/>
                <w:szCs w:val="18"/>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Noncurrent:</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Lease obligations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128,319</w:t>
            </w:r>
          </w:p>
        </w:tc>
      </w:tr>
      <w:tr>
        <w:trPr>
          <w:trHeight w:val="230"/>
        </w:trPr>
        <w:tc>
          <w:tcPr>
            <w:tcW w:w="2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Finance</w:t>
            </w:r>
          </w:p>
        </w:tc>
        <w:tc>
          <w:tcPr>
            <w:tcW w:w="458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Lease obligations</w:t>
            </w: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23,520</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151,839</w:t>
            </w:r>
          </w:p>
        </w:tc>
      </w:tr>
      <w:tr>
        <w:trPr>
          <w:trHeight w:val="250"/>
        </w:trPr>
        <w:tc>
          <w:tcPr>
            <w:tcW w:w="2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4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 lease liabilities</w:t>
            </w:r>
          </w:p>
        </w:tc>
        <w:tc>
          <w:tcPr>
            <w:tcW w:w="4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 - Quoted prices for identical instruments in active markets.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III - Instruments whose significant value drivers are unobservable.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June 30, 2022 and December 31, 2021: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III</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10"/>
        </w:trPr>
        <w:tc>
          <w:tcPr>
            <w:tcW w:w="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4320" w:type="dxa"/>
            <w:vAlign w:val="bottom"/>
            <w:tcBorders>
              <w:top w:val="single" w:sz="8" w:color="auto"/>
              <w:bottom w:val="single" w:sz="8" w:color="auto"/>
            </w:tcBorders>
          </w:tcPr>
          <w:p>
            <w:pPr>
              <w:jc w:val="center"/>
              <w:ind w:right="719"/>
              <w:spacing w:after="0"/>
              <w:rPr>
                <w:sz w:val="20"/>
                <w:szCs w:val="20"/>
                <w:color w:val="auto"/>
              </w:rPr>
            </w:pPr>
            <w:r>
              <w:rPr>
                <w:rFonts w:ascii="Arial" w:cs="Arial" w:eastAsia="Arial" w:hAnsi="Arial"/>
                <w:sz w:val="16"/>
                <w:szCs w:val="16"/>
                <w:b w:val="1"/>
                <w:bCs w:val="1"/>
                <w:color w:val="auto"/>
                <w:w w:val="91"/>
              </w:rPr>
              <w:t>At June 30, 2022:</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1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r>
      <w:tr>
        <w:trPr>
          <w:trHeight w:val="185"/>
        </w:trPr>
        <w:tc>
          <w:tcPr>
            <w:tcW w:w="20" w:type="dxa"/>
            <w:vAlign w:val="bottom"/>
            <w:shd w:val="clear" w:color="auto" w:fill="CCEEFF"/>
          </w:tcPr>
          <w:p>
            <w:pPr>
              <w:spacing w:after="0"/>
              <w:rPr>
                <w:sz w:val="16"/>
                <w:szCs w:val="16"/>
                <w:color w:val="auto"/>
              </w:rPr>
            </w:pPr>
          </w:p>
        </w:tc>
        <w:tc>
          <w:tcPr>
            <w:tcW w:w="5100" w:type="dxa"/>
            <w:vAlign w:val="bottom"/>
            <w:gridSpan w:val="3"/>
            <w:shd w:val="clear" w:color="auto" w:fill="CCEEFF"/>
          </w:tcPr>
          <w:p>
            <w:pPr>
              <w:spacing w:after="0" w:line="185"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Cash equivalents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80,013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80,013</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189"/>
        </w:trPr>
        <w:tc>
          <w:tcPr>
            <w:tcW w:w="20" w:type="dxa"/>
            <w:vAlign w:val="bottom"/>
          </w:tcPr>
          <w:p>
            <w:pPr>
              <w:spacing w:after="0"/>
              <w:rPr>
                <w:sz w:val="16"/>
                <w:szCs w:val="16"/>
                <w:color w:val="auto"/>
              </w:rPr>
            </w:pPr>
          </w:p>
        </w:tc>
        <w:tc>
          <w:tcPr>
            <w:tcW w:w="510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w:t>
            </w:r>
          </w:p>
        </w:tc>
      </w:tr>
      <w:tr>
        <w:trPr>
          <w:trHeight w:val="270"/>
        </w:trPr>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3"/>
        </w:trPr>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320" w:type="dxa"/>
            <w:vAlign w:val="bottom"/>
            <w:tcBorders>
              <w:bottom w:val="single" w:sz="8" w:color="auto"/>
            </w:tcBorders>
            <w:shd w:val="clear" w:color="auto" w:fill="CCEEFF"/>
          </w:tcPr>
          <w:p>
            <w:pPr>
              <w:jc w:val="center"/>
              <w:ind w:right="699"/>
              <w:spacing w:after="0"/>
              <w:rPr>
                <w:sz w:val="20"/>
                <w:szCs w:val="20"/>
                <w:color w:val="auto"/>
              </w:rPr>
            </w:pPr>
            <w:r>
              <w:rPr>
                <w:rFonts w:ascii="Arial" w:cs="Arial" w:eastAsia="Arial" w:hAnsi="Arial"/>
                <w:sz w:val="16"/>
                <w:szCs w:val="16"/>
                <w:b w:val="1"/>
                <w:bCs w:val="1"/>
                <w:color w:val="auto"/>
                <w:w w:val="92"/>
              </w:rPr>
              <w:t>At December 31, 2021: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5100" w:type="dxa"/>
            <w:vAlign w:val="bottom"/>
            <w:gridSpan w:val="3"/>
          </w:tcPr>
          <w:p>
            <w:pPr>
              <w:spacing w:after="0" w:line="185"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Marketable securities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r>
      <w:tr>
        <w:trPr>
          <w:trHeight w:val="230"/>
        </w:trPr>
        <w:tc>
          <w:tcPr>
            <w:tcW w:w="20" w:type="dxa"/>
            <w:vAlign w:val="bottom"/>
          </w:tcPr>
          <w:p>
            <w:pPr>
              <w:spacing w:after="0"/>
              <w:rPr>
                <w:sz w:val="19"/>
                <w:szCs w:val="19"/>
                <w:color w:val="auto"/>
              </w:rPr>
            </w:pPr>
          </w:p>
        </w:tc>
        <w:tc>
          <w:tcPr>
            <w:tcW w:w="5100" w:type="dxa"/>
            <w:vAlign w:val="bottom"/>
            <w:gridSpan w:val="3"/>
          </w:tcPr>
          <w:p>
            <w:pPr>
              <w:ind w:left="38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1"/>
              </w:rPr>
              <w:t>Liabilities</w:t>
            </w:r>
          </w:p>
        </w:tc>
        <w:tc>
          <w:tcPr>
            <w:tcW w:w="4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5,911</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5,911</w:t>
            </w:r>
          </w:p>
        </w:tc>
      </w:tr>
    </w:tbl>
    <w:p>
      <w:pPr>
        <w:spacing w:after="0" w:line="18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Company's cash equivalents (comprised of money market funds) and marketable securities are classified within Level I of the fair value hierarchy because they are valued using quoted market prices.</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Company's foreign currency derivatives are classified within Level II of the fair value hierarchy as their fair values are determined based on a market approach valuation technique that uses readily observable market parameters and the consideration of counterparty risk.</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At June 30, 2022 and December 31, 2021, the Company did not have any material assets or liabilities measured at fair value on a recurring basis that would be considered Level III.</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Fair value measurements are also used in nonrecurring valuations performed in connection with acquisition accounting and impairment testing. These nonrecurring valuations primarily include the valuation of program rights, goodwill, intangible assets and property and equipment. All of our nonrecurring valuations use significant unobservable inputs and therefore fall under Level III of the fair value hierarchy.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Debt and Senior Notes</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condensed consolidated balance sheets, are summarized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 2022</w:t>
            </w:r>
          </w:p>
        </w:tc>
        <w:tc>
          <w:tcPr>
            <w:tcW w:w="1400" w:type="dxa"/>
            <w:vAlign w:val="bottom"/>
            <w:tcBorders>
              <w:bottom w:val="single" w:sz="8" w:color="auto"/>
            </w:tcBorders>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Carrying</w:t>
            </w:r>
          </w:p>
        </w:tc>
        <w:tc>
          <w:tcPr>
            <w:tcW w:w="500" w:type="dxa"/>
            <w:vAlign w:val="bottom"/>
          </w:tcPr>
          <w:p>
            <w:pPr>
              <w:spacing w:after="0"/>
              <w:rPr>
                <w:sz w:val="16"/>
                <w:szCs w:val="16"/>
                <w:color w:val="auto"/>
              </w:rPr>
            </w:pPr>
          </w:p>
        </w:tc>
        <w:tc>
          <w:tcPr>
            <w:tcW w:w="1400" w:type="dxa"/>
            <w:vAlign w:val="bottom"/>
          </w:tcPr>
          <w:p>
            <w:pPr>
              <w:jc w:val="right"/>
              <w:ind w:right="513"/>
              <w:spacing w:after="0"/>
              <w:rPr>
                <w:sz w:val="20"/>
                <w:szCs w:val="20"/>
                <w:color w:val="auto"/>
              </w:rPr>
            </w:pPr>
            <w:r>
              <w:rPr>
                <w:rFonts w:ascii="Arial" w:cs="Arial" w:eastAsia="Arial" w:hAnsi="Arial"/>
                <w:sz w:val="16"/>
                <w:szCs w:val="16"/>
                <w:b w:val="1"/>
                <w:bCs w:val="1"/>
                <w:color w:val="auto"/>
              </w:rPr>
              <w:t>Estimated</w:t>
            </w:r>
          </w:p>
        </w:tc>
      </w:tr>
      <w:tr>
        <w:trPr>
          <w:trHeight w:val="213"/>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8"/>
                <w:szCs w:val="18"/>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5"/>
              </w:rPr>
              <w:t>Amount</w:t>
            </w:r>
          </w:p>
        </w:tc>
        <w:tc>
          <w:tcPr>
            <w:tcW w:w="500" w:type="dxa"/>
            <w:vAlign w:val="bottom"/>
          </w:tcPr>
          <w:p>
            <w:pPr>
              <w:spacing w:after="0"/>
              <w:rPr>
                <w:sz w:val="18"/>
                <w:szCs w:val="18"/>
                <w:color w:val="auto"/>
              </w:rPr>
            </w:pPr>
          </w:p>
        </w:tc>
        <w:tc>
          <w:tcPr>
            <w:tcW w:w="1400" w:type="dxa"/>
            <w:vAlign w:val="bottom"/>
          </w:tcPr>
          <w:p>
            <w:pPr>
              <w:jc w:val="right"/>
              <w:ind w:right="493"/>
              <w:spacing w:after="0"/>
              <w:rPr>
                <w:sz w:val="20"/>
                <w:szCs w:val="20"/>
                <w:color w:val="auto"/>
              </w:rPr>
            </w:pPr>
            <w:r>
              <w:rPr>
                <w:rFonts w:ascii="Arial" w:cs="Arial" w:eastAsia="Arial" w:hAnsi="Arial"/>
                <w:sz w:val="16"/>
                <w:szCs w:val="16"/>
                <w:b w:val="1"/>
                <w:bCs w:val="1"/>
                <w:color w:val="auto"/>
              </w:rPr>
              <w:t>Fair Value</w:t>
            </w:r>
          </w:p>
        </w:tc>
      </w:tr>
      <w:tr>
        <w:trPr>
          <w:trHeight w:val="206"/>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CCEEFF"/>
          </w:tcPr>
          <w:p>
            <w:pPr>
              <w:spacing w:after="0" w:line="185" w:lineRule="exact"/>
              <w:rPr>
                <w:sz w:val="20"/>
                <w:szCs w:val="20"/>
                <w:color w:val="auto"/>
              </w:rPr>
            </w:pPr>
            <w:r>
              <w:rPr>
                <w:rFonts w:ascii="Arial" w:cs="Arial" w:eastAsia="Arial" w:hAnsi="Arial"/>
                <w:sz w:val="18"/>
                <w:szCs w:val="18"/>
                <w:color w:val="auto"/>
                <w:w w:val="90"/>
              </w:rPr>
              <w:t>Debt instruments:</w:t>
            </w:r>
          </w:p>
        </w:tc>
        <w:tc>
          <w:tcPr>
            <w:tcW w:w="600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7300" w:type="dxa"/>
            <w:vAlign w:val="bottom"/>
            <w:gridSpan w:val="3"/>
          </w:tcPr>
          <w:p>
            <w:pPr>
              <w:ind w:left="340"/>
              <w:spacing w:after="0"/>
              <w:rPr>
                <w:sz w:val="20"/>
                <w:szCs w:val="20"/>
                <w:color w:val="auto"/>
              </w:rPr>
            </w:pPr>
            <w:r>
              <w:rPr>
                <w:rFonts w:ascii="Arial" w:cs="Arial" w:eastAsia="Arial" w:hAnsi="Arial"/>
                <w:sz w:val="18"/>
                <w:szCs w:val="18"/>
                <w:color w:val="auto"/>
              </w:rPr>
              <w:t>Term loan A facility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649,033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651,544</w:t>
            </w:r>
          </w:p>
        </w:tc>
      </w:tr>
      <w:tr>
        <w:trPr>
          <w:trHeight w:val="230"/>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5.00%</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387,500</w:t>
            </w:r>
          </w:p>
        </w:tc>
      </w:tr>
      <w:tr>
        <w:trPr>
          <w:trHeight w:val="229"/>
        </w:trPr>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4.75%</w:t>
            </w: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Notes due August 2025</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793,119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740,000</w:t>
            </w:r>
          </w:p>
        </w:tc>
      </w:tr>
      <w:tr>
        <w:trPr>
          <w:trHeight w:val="230"/>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4.25%</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February 2029</w:t>
            </w:r>
          </w:p>
        </w:tc>
        <w:tc>
          <w:tcPr>
            <w:tcW w:w="3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985,092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805,000</w:t>
            </w: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2,825,423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2,584,044</w:t>
            </w: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1193"/>
              <w:spacing w:after="0"/>
              <w:rPr>
                <w:sz w:val="20"/>
                <w:szCs w:val="20"/>
                <w:color w:val="auto"/>
              </w:rPr>
            </w:pPr>
            <w:r>
              <w:rPr>
                <w:rFonts w:ascii="Arial" w:cs="Arial" w:eastAsia="Arial" w:hAnsi="Arial"/>
                <w:sz w:val="16"/>
                <w:szCs w:val="16"/>
                <w:b w:val="1"/>
                <w:bCs w:val="1"/>
                <w:color w:val="auto"/>
              </w:rPr>
              <w:t>December 31, 2021</w:t>
            </w:r>
          </w:p>
        </w:tc>
      </w:t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6"/>
                <w:szCs w:val="16"/>
                <w:color w:val="auto"/>
              </w:rPr>
            </w:pPr>
          </w:p>
        </w:tc>
        <w:tc>
          <w:tcPr>
            <w:tcW w:w="1540" w:type="dxa"/>
            <w:vAlign w:val="bottom"/>
          </w:tcPr>
          <w:p>
            <w:pPr>
              <w:jc w:val="right"/>
              <w:ind w:right="513"/>
              <w:spacing w:after="0"/>
              <w:rPr>
                <w:sz w:val="20"/>
                <w:szCs w:val="20"/>
                <w:color w:val="auto"/>
              </w:rPr>
            </w:pPr>
            <w:r>
              <w:rPr>
                <w:rFonts w:ascii="Arial" w:cs="Arial" w:eastAsia="Arial" w:hAnsi="Arial"/>
                <w:sz w:val="16"/>
                <w:szCs w:val="16"/>
                <w:b w:val="1"/>
                <w:bCs w:val="1"/>
                <w:color w:val="auto"/>
              </w:rPr>
              <w:t>Estimated</w:t>
            </w:r>
          </w:p>
        </w:tc>
      </w:tr>
      <w:tr>
        <w:trPr>
          <w:trHeight w:val="213"/>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Amount</w:t>
            </w:r>
          </w:p>
        </w:tc>
        <w:tc>
          <w:tcPr>
            <w:tcW w:w="360" w:type="dxa"/>
            <w:vAlign w:val="bottom"/>
          </w:tcPr>
          <w:p>
            <w:pPr>
              <w:spacing w:after="0"/>
              <w:rPr>
                <w:sz w:val="18"/>
                <w:szCs w:val="18"/>
                <w:color w:val="auto"/>
              </w:rPr>
            </w:pPr>
          </w:p>
        </w:tc>
        <w:tc>
          <w:tcPr>
            <w:tcW w:w="1540" w:type="dxa"/>
            <w:vAlign w:val="bottom"/>
          </w:tcPr>
          <w:p>
            <w:pPr>
              <w:jc w:val="right"/>
              <w:ind w:right="493"/>
              <w:spacing w:after="0"/>
              <w:rPr>
                <w:sz w:val="20"/>
                <w:szCs w:val="20"/>
                <w:color w:val="auto"/>
              </w:rPr>
            </w:pPr>
            <w:r>
              <w:rPr>
                <w:rFonts w:ascii="Arial" w:cs="Arial" w:eastAsia="Arial" w:hAnsi="Arial"/>
                <w:sz w:val="16"/>
                <w:szCs w:val="16"/>
                <w:b w:val="1"/>
                <w:bCs w:val="1"/>
                <w:color w:val="auto"/>
              </w:rPr>
              <w:t>Fair Value</w:t>
            </w:r>
          </w:p>
        </w:tc>
      </w:tr>
      <w:tr>
        <w:trPr>
          <w:trHeight w:val="206"/>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CCEEFF"/>
          </w:tcPr>
          <w:p>
            <w:pPr>
              <w:spacing w:after="0" w:line="185" w:lineRule="exact"/>
              <w:rPr>
                <w:sz w:val="20"/>
                <w:szCs w:val="20"/>
                <w:color w:val="auto"/>
              </w:rPr>
            </w:pPr>
            <w:r>
              <w:rPr>
                <w:rFonts w:ascii="Arial" w:cs="Arial" w:eastAsia="Arial" w:hAnsi="Arial"/>
                <w:sz w:val="18"/>
                <w:szCs w:val="18"/>
                <w:color w:val="auto"/>
                <w:w w:val="90"/>
              </w:rPr>
              <w:t>Debt instruments:</w:t>
            </w:r>
          </w:p>
        </w:tc>
        <w:tc>
          <w:tcPr>
            <w:tcW w:w="6040" w:type="dxa"/>
            <w:vAlign w:val="bottom"/>
            <w:tcBorders>
              <w:top w:val="single" w:sz="8" w:color="auto"/>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15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7340" w:type="dxa"/>
            <w:vAlign w:val="bottom"/>
            <w:gridSpan w:val="3"/>
          </w:tcPr>
          <w:p>
            <w:pPr>
              <w:ind w:left="340"/>
              <w:spacing w:after="0"/>
              <w:rPr>
                <w:sz w:val="20"/>
                <w:szCs w:val="20"/>
                <w:color w:val="auto"/>
              </w:rPr>
            </w:pPr>
            <w:r>
              <w:rPr>
                <w:rFonts w:ascii="Arial" w:cs="Arial" w:eastAsia="Arial" w:hAnsi="Arial"/>
                <w:sz w:val="18"/>
                <w:szCs w:val="18"/>
                <w:color w:val="auto"/>
              </w:rPr>
              <w:t>Term loan A facility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664,581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670,781</w:t>
            </w:r>
          </w:p>
        </w:tc>
      </w:tr>
      <w:tr>
        <w:trPr>
          <w:trHeight w:val="229"/>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5.00%</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403,500</w:t>
            </w:r>
          </w:p>
        </w:tc>
      </w:tr>
      <w:tr>
        <w:trPr>
          <w:trHeight w:val="230"/>
        </w:trPr>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4.75%</w:t>
            </w: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Notes due August 2025</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792,098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818,000</w:t>
            </w:r>
          </w:p>
        </w:tc>
      </w:tr>
      <w:tr>
        <w:trPr>
          <w:trHeight w:val="229"/>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4.25%</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February 2029</w:t>
            </w: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984,098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997,500</w:t>
            </w: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2,838,470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2,889,781</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one of our subsidiaries' respective functional currencies (non-functional currency risk), such as affiliation agreements, programming contracts, certain accounts payable and trade receivables (including intercompany amounts) that are denominated in a currency other than the applicable functional currency.</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380" w:type="dxa"/>
            <w:vAlign w:val="bottom"/>
            <w:gridSpan w:val="2"/>
          </w:tcPr>
          <w:p>
            <w:pPr>
              <w:ind w:left="1560"/>
              <w:spacing w:after="0"/>
              <w:rPr>
                <w:sz w:val="20"/>
                <w:szCs w:val="20"/>
                <w:color w:val="auto"/>
              </w:rPr>
            </w:pPr>
            <w:r>
              <w:rPr>
                <w:rFonts w:ascii="Arial" w:cs="Arial" w:eastAsia="Arial" w:hAnsi="Arial"/>
                <w:sz w:val="16"/>
                <w:szCs w:val="16"/>
                <w:b w:val="1"/>
                <w:bCs w:val="1"/>
                <w:color w:val="auto"/>
              </w:rPr>
              <w:t>Balance Sheet Location</w:t>
            </w:r>
          </w:p>
        </w:tc>
        <w:tc>
          <w:tcPr>
            <w:tcW w:w="20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2022</w:t>
            </w:r>
          </w:p>
        </w:tc>
        <w:tc>
          <w:tcPr>
            <w:tcW w:w="16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Arial" w:cs="Arial" w:eastAsia="Arial" w:hAnsi="Arial"/>
                <w:sz w:val="16"/>
                <w:szCs w:val="16"/>
                <w:b w:val="1"/>
                <w:bCs w:val="1"/>
                <w:color w:val="auto"/>
                <w:w w:val="94"/>
              </w:rPr>
              <w:t>December 31, 2021</w:t>
            </w:r>
          </w:p>
        </w:tc>
      </w:tr>
      <w:tr>
        <w:trPr>
          <w:trHeight w:val="172"/>
        </w:trPr>
        <w:tc>
          <w:tcPr>
            <w:tcW w:w="342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b w:val="1"/>
                <w:bCs w:val="1"/>
                <w:color w:val="auto"/>
              </w:rPr>
              <w:t>Derivatives not designated as hedging</w:t>
            </w:r>
          </w:p>
        </w:tc>
        <w:tc>
          <w:tcPr>
            <w:tcW w:w="42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instruments:</w:t>
            </w:r>
          </w:p>
        </w:tc>
        <w:tc>
          <w:tcPr>
            <w:tcW w:w="4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4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4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4380" w:type="dxa"/>
            <w:vAlign w:val="bottom"/>
            <w:gridSpan w:val="2"/>
          </w:tcPr>
          <w:p>
            <w:pPr>
              <w:ind w:left="50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438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3,106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1,686</w:t>
            </w: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4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r>
    </w:tbl>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amounts of gains and losses related to the Company's derivative financial instruments not designated as hedging instruments are as follows: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3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Location of Gain or (Loss) Recognized in Earnings</w:t>
            </w:r>
          </w:p>
        </w:tc>
        <w:tc>
          <w:tcPr>
            <w:tcW w:w="220" w:type="dxa"/>
            <w:vAlign w:val="bottom"/>
          </w:tcPr>
          <w:p>
            <w:pPr>
              <w:spacing w:after="0"/>
              <w:rPr>
                <w:sz w:val="16"/>
                <w:szCs w:val="16"/>
                <w:color w:val="auto"/>
              </w:rPr>
            </w:pPr>
          </w:p>
        </w:tc>
        <w:tc>
          <w:tcPr>
            <w:tcW w:w="5640" w:type="dxa"/>
            <w:vAlign w:val="bottom"/>
            <w:gridSpan w:val="10"/>
            <w:vMerge w:val="restart"/>
          </w:tcPr>
          <w:p>
            <w:pPr>
              <w:jc w:val="right"/>
              <w:ind w:right="595"/>
              <w:spacing w:after="0"/>
              <w:rPr>
                <w:sz w:val="20"/>
                <w:szCs w:val="20"/>
                <w:color w:val="auto"/>
              </w:rPr>
            </w:pPr>
            <w:r>
              <w:rPr>
                <w:rFonts w:ascii="Arial" w:cs="Arial" w:eastAsia="Arial" w:hAnsi="Arial"/>
                <w:sz w:val="16"/>
                <w:szCs w:val="16"/>
                <w:b w:val="1"/>
                <w:bCs w:val="1"/>
                <w:color w:val="auto"/>
              </w:rPr>
              <w:t>Amount of Gain or (Loss) Recognized in Earnings on Derivatives</w:t>
            </w:r>
          </w:p>
        </w:tc>
        <w:tc>
          <w:tcPr>
            <w:tcW w:w="0" w:type="dxa"/>
            <w:vAlign w:val="bottom"/>
          </w:tcPr>
          <w:p>
            <w:pPr>
              <w:spacing w:after="0"/>
              <w:rPr>
                <w:sz w:val="1"/>
                <w:szCs w:val="1"/>
                <w:color w:val="auto"/>
              </w:rPr>
            </w:pPr>
          </w:p>
        </w:tc>
      </w:tr>
      <w:tr>
        <w:trPr>
          <w:trHeight w:val="213"/>
        </w:trPr>
        <w:tc>
          <w:tcPr>
            <w:tcW w:w="1640" w:type="dxa"/>
            <w:vAlign w:val="bottom"/>
          </w:tcPr>
          <w:p>
            <w:pPr>
              <w:spacing w:after="0"/>
              <w:rPr>
                <w:sz w:val="18"/>
                <w:szCs w:val="18"/>
                <w:color w:val="auto"/>
              </w:rPr>
            </w:pPr>
          </w:p>
        </w:tc>
        <w:tc>
          <w:tcPr>
            <w:tcW w:w="3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on Derivatives</w:t>
            </w:r>
          </w:p>
        </w:tc>
        <w:tc>
          <w:tcPr>
            <w:tcW w:w="220" w:type="dxa"/>
            <w:vAlign w:val="bottom"/>
          </w:tcPr>
          <w:p>
            <w:pPr>
              <w:spacing w:after="0"/>
              <w:rPr>
                <w:sz w:val="18"/>
                <w:szCs w:val="18"/>
                <w:color w:val="auto"/>
              </w:rPr>
            </w:pPr>
          </w:p>
        </w:tc>
        <w:tc>
          <w:tcPr>
            <w:tcW w:w="5640" w:type="dxa"/>
            <w:vAlign w:val="bottom"/>
            <w:gridSpan w:val="10"/>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640" w:type="dxa"/>
            <w:vAlign w:val="bottom"/>
          </w:tcPr>
          <w:p>
            <w:pPr>
              <w:spacing w:after="0"/>
              <w:rPr>
                <w:sz w:val="20"/>
                <w:szCs w:val="20"/>
                <w:color w:val="auto"/>
              </w:rPr>
            </w:pPr>
          </w:p>
        </w:tc>
        <w:tc>
          <w:tcPr>
            <w:tcW w:w="3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620" w:type="dxa"/>
            <w:vAlign w:val="bottom"/>
            <w:tcBorders>
              <w:top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Borders>
              <w:top w:val="single" w:sz="8" w:color="auto"/>
            </w:tcBorders>
          </w:tcPr>
          <w:p>
            <w:pPr>
              <w:spacing w:after="0"/>
              <w:rPr>
                <w:sz w:val="20"/>
                <w:szCs w:val="20"/>
                <w:color w:val="auto"/>
              </w:rPr>
            </w:pPr>
          </w:p>
        </w:tc>
        <w:tc>
          <w:tcPr>
            <w:tcW w:w="2680" w:type="dxa"/>
            <w:vAlign w:val="bottom"/>
            <w:tcBorders>
              <w:top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36"/>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72"/>
        </w:trPr>
        <w:tc>
          <w:tcPr>
            <w:tcW w:w="164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Foreign currency</w:t>
            </w:r>
          </w:p>
        </w:tc>
        <w:tc>
          <w:tcPr>
            <w:tcW w:w="37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1"/>
              </w:rPr>
              <w:t>Miscellaneous, net</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16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derivatives</w:t>
            </w:r>
          </w:p>
        </w:tc>
        <w:tc>
          <w:tcPr>
            <w:tcW w:w="3740" w:type="dxa"/>
            <w:vAlign w:val="bottom"/>
            <w:tcBorders>
              <w:bottom w:val="single" w:sz="8" w:color="CCEEFF"/>
            </w:tcBorders>
            <w:gridSpan w:val="2"/>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the three and six months ended June 30, 2022, income tax expense was $33.0 million and $74.7 million, respectively, representing an effective tax rate of 27% for both periods. The items resulting in variances from the federal statutory rate of 21% for the three and six months ended June 30, 2022 primarily consist of state and local income tax expense and tax expense for an increase in the valuation allowance for foreign taxes.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72" w:lineRule="exact"/>
        <w:rPr>
          <w:sz w:val="20"/>
          <w:szCs w:val="20"/>
          <w:color w:val="auto"/>
        </w:rPr>
      </w:pPr>
    </w:p>
    <w:p>
      <w:pPr>
        <w:jc w:val="both"/>
        <w:ind w:firstLine="405"/>
        <w:spacing w:after="0" w:line="242" w:lineRule="auto"/>
        <w:rPr>
          <w:sz w:val="20"/>
          <w:szCs w:val="20"/>
          <w:color w:val="auto"/>
        </w:rPr>
      </w:pPr>
      <w:r>
        <w:rPr>
          <w:rFonts w:ascii="Arial" w:cs="Arial" w:eastAsia="Arial" w:hAnsi="Arial"/>
          <w:sz w:val="17"/>
          <w:szCs w:val="17"/>
          <w:color w:val="auto"/>
        </w:rPr>
        <w:t>For the three and six months ended June 30, 2021, income tax expense was $11.3 million and $37.2 million, respectively, representing an effective tax rate of 21% for both periods, which was equal to the federal statutory rate. The effective tax rate for the three months ended June 30, 2021 was impacted by state and local income tax expense and tax expense for an increase in valuation allowances for foreign taxes and U.S. foreign tax, partially offset by a tax benefit from foreign operations. The effective tax rate for the six months ended June 30, 2021 was impacted by a discrete tax benefit for excess tax benefits related to stock compensation, partially offset by state and local income tax expense.</w:t>
      </w:r>
    </w:p>
    <w:p>
      <w:pPr>
        <w:spacing w:after="0" w:line="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June 30, 2022, the Company had foreign tax credit carry forwards of approximately $42.9 million, expiring on various dates from 2022 through 2032. These carryforwards have been reduced by a valuation allowance of $42.9 million as it is more likely than not that these carry forwards will not be realized. For the six months ended June 30, 2022, $0.5 million relating to amortization of tax deductible second component goodwill was realized as a reduction in tax liability (as determined on a 'with-and-without' approach).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As of June 30, 2022, the Company's contractual obligations not reflected on the Company's condensed consolidated balance sheet decreased $76.5 million, as compared to December 31, 2021, to $986.9 million. The decrease primarily relates to payments for program rights.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On August 14, 2017, Robert Kirkman, Robert Kirkman, LLC, Glen Mazzara, 44 Strong Productions, Inc., David Alpert, Circle of Confusion Productions, LLC, New Circle of Confusion Productions, Inc., Gale Anne Hurd, and Valhalla Entertainment, Inc. f/k/a Valhalla Motion Pictures, Inc. (together, the "Plaintiffs") filed a complaint in California Superior Court in connection with Plaintiffs’ rendering of services as writers and producers of the television series entitled The Walking Dead, as well as Fear the Walking Dead and/or Talking Dead, and the agreements between the parties related thereto (the "Walking Dead Litigation"). The Plaintiffs asserted that the Company had been improperly underpaying the Plaintiffs under their contracts with the Company and they asserted claims for breach of contract, breach of the implied covenant of good faith and fair dealing, inducing breach of contract, and liability for violation of Cal. Bus. &amp; Prof. Code § 17200. The Plaintiffs sought compensatory and punitive damages and restitution. On August 8, 2019, the judge in the Walking Dead Litigation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Plaintiffs filed a second amended complaint, eliminating eight named defendants and their claims under Cal. Bus. &amp; Prof. Code § 17200. On May 5, 2021, the Plaintiffs filed a third amended complaint, repleading in part their claims for alleged breach of the implied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On January 12, 2022, the Company filed a motion for summary adjudication of many of the remaining claims. On April 6, 2022, the court granted the Company’s summary adjudication motion in part, dismissing the Plaintiffs’ claims for breach of the implied covenant of good faith and fair dealing and inducing breach of contract. A trial of the two remaining claims is currently scheduled for January 2023. The Company believes the two remaining claims in the case for breach of contract are without merit and is continuing to defend against them. At this time, no determination can be made as to the ultimate outcome of this litigation or the potential liability, if any, on the part of the Company.</w:t>
      </w:r>
    </w:p>
    <w:p>
      <w:pPr>
        <w:spacing w:after="0" w:line="6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Equity Plans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June 2022, AMC Networks granted 51,044 restricted stock units ("RSUs") under the 2011 Stock Plan for Non-Employee Directors to non-employee directors that vested on the date of grant.</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March 2022, AMC Networks granted 628,508 RSUs to certain executive officers and employees under the AMC Networks Inc. Amended and Restated 2016 Employee Stock Plan. The RSUs vest ratably over a three-year period.</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During the three months ended June 30, 2022, 1,270 RSUs of AMC Networks Class A Common Stock previously issued to employees of the Company vested. On the vesting date, 441 RSUs were surrendered to the Company to cover the required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statutory tax withholding obligations and 829 RSU new shares of AMC Networks Class A Common Stock were issued. During the six months ended June 30, 2022, 616,091 RSUs and 344,157 performance restricted stock units ("PRSUs") of AMC Networks Class A Common Stock previously issued to employees of the Company vested. On the vesting date, 262,386 RSUs and 155,103 PRSUs were surrendered to the Company to cover the required statutory tax withholding obligations and 353,705 RSU and 189,054 PRSU new shares of AMC Networks Class A Common Stock were issued. Units are surrendered to satisfy the employees' statutory minimum tax withholding obligations for the applicable income and other employment tax. All units surrendered during the six months ended June 30, 2022 had an aggregate value of $20.3 million, which has been reflected as a financing activity in the condensed consolidated statement of cash flows for the six months ended June 30, 2022.</w:t>
      </w:r>
    </w:p>
    <w:p>
      <w:pPr>
        <w:spacing w:after="0" w:line="69"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Share-based compensation expenses included in selling, general and administrative expenses were $8.7 million and $16.8 million for the three and six months ended June 30, 2022, respectively and $16.3 million and $29.7 million for the three and six months ended June 30, 2021, respectively.</w:t>
      </w:r>
    </w:p>
    <w:p>
      <w:pPr>
        <w:spacing w:after="0" w:line="16" w:lineRule="exact"/>
        <w:rPr>
          <w:sz w:val="20"/>
          <w:szCs w:val="20"/>
          <w:color w:val="auto"/>
        </w:rPr>
      </w:pPr>
    </w:p>
    <w:p>
      <w:pPr>
        <w:jc w:val="both"/>
        <w:ind w:right="20" w:firstLine="445"/>
        <w:spacing w:after="0" w:line="342" w:lineRule="auto"/>
        <w:rPr>
          <w:sz w:val="20"/>
          <w:szCs w:val="20"/>
          <w:color w:val="auto"/>
        </w:rPr>
      </w:pPr>
      <w:r>
        <w:rPr>
          <w:rFonts w:ascii="Arial" w:cs="Arial" w:eastAsia="Arial" w:hAnsi="Arial"/>
          <w:sz w:val="16"/>
          <w:szCs w:val="16"/>
          <w:color w:val="auto"/>
        </w:rPr>
        <w:t>As of June 30, 2022, there was $35.3 million of total unrecognized share-based compensation cost related to outstanding unvested share-based awards. The unrecognized compensation cost is expected to be recognized over a weighted-average remaining period of approximately 2.2 years.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Noncontrolling Interests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Redeemable Noncontrolling Interests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activity related to redeemable noncontrolling interest for the six months ended June 30, 2022 and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20" w:type="dxa"/>
            <w:vAlign w:val="bottom"/>
          </w:tcPr>
          <w:p>
            <w:pPr>
              <w:spacing w:after="0"/>
              <w:rPr>
                <w:sz w:val="16"/>
                <w:szCs w:val="16"/>
                <w:color w:val="auto"/>
              </w:rPr>
            </w:pPr>
          </w:p>
        </w:tc>
        <w:tc>
          <w:tcPr>
            <w:tcW w:w="2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Six Months Ended June 30,</w:t>
            </w:r>
          </w:p>
        </w:tc>
      </w:tr>
      <w:tr>
        <w:trPr>
          <w:trHeight w:val="213"/>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411"/>
              <w:spacing w:after="0"/>
              <w:rPr>
                <w:sz w:val="20"/>
                <w:szCs w:val="20"/>
                <w:color w:val="auto"/>
              </w:rPr>
            </w:pPr>
            <w:r>
              <w:rPr>
                <w:rFonts w:ascii="Arial" w:cs="Arial" w:eastAsia="Arial" w:hAnsi="Arial"/>
                <w:sz w:val="16"/>
                <w:szCs w:val="16"/>
                <w:b w:val="1"/>
                <w:bCs w:val="1"/>
                <w:color w:val="auto"/>
                <w:w w:val="89"/>
              </w:rPr>
              <w:t>2022</w:t>
            </w:r>
          </w:p>
        </w:tc>
      </w:tr>
      <w:tr>
        <w:trPr>
          <w:trHeight w:val="226"/>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283,849</w:t>
            </w:r>
          </w:p>
        </w:tc>
      </w:tr>
      <w:tr>
        <w:trPr>
          <w:trHeight w:val="230"/>
        </w:trPr>
        <w:tc>
          <w:tcPr>
            <w:tcW w:w="922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8,528</w:t>
            </w:r>
          </w:p>
        </w:tc>
      </w:tr>
      <w:tr>
        <w:trPr>
          <w:trHeight w:val="229"/>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(22,180)</w:t>
            </w:r>
          </w:p>
        </w:tc>
      </w:tr>
      <w:tr>
        <w:trPr>
          <w:trHeight w:val="229"/>
        </w:trPr>
        <w:tc>
          <w:tcPr>
            <w:tcW w:w="9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2022</w:t>
            </w: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270,726</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717"/>
        </w:trPr>
        <w:tc>
          <w:tcPr>
            <w:tcW w:w="9220" w:type="dxa"/>
            <w:vAlign w:val="bottom"/>
          </w:tcPr>
          <w:p>
            <w:pPr>
              <w:spacing w:after="0"/>
              <w:rPr>
                <w:sz w:val="24"/>
                <w:szCs w:val="24"/>
                <w:color w:val="auto"/>
              </w:rPr>
            </w:pPr>
          </w:p>
        </w:tc>
        <w:tc>
          <w:tcPr>
            <w:tcW w:w="2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Six Months Ended June 30,</w:t>
            </w:r>
          </w:p>
        </w:tc>
      </w:tr>
      <w:tr>
        <w:trPr>
          <w:trHeight w:val="213"/>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411"/>
              <w:spacing w:after="0"/>
              <w:rPr>
                <w:sz w:val="20"/>
                <w:szCs w:val="20"/>
                <w:color w:val="auto"/>
              </w:rPr>
            </w:pPr>
            <w:r>
              <w:rPr>
                <w:rFonts w:ascii="Arial" w:cs="Arial" w:eastAsia="Arial" w:hAnsi="Arial"/>
                <w:sz w:val="16"/>
                <w:szCs w:val="16"/>
                <w:b w:val="1"/>
                <w:bCs w:val="1"/>
                <w:color w:val="auto"/>
                <w:w w:val="89"/>
              </w:rPr>
              <w:t>2021</w:t>
            </w:r>
          </w:p>
        </w:tc>
      </w:tr>
      <w:tr>
        <w:trPr>
          <w:trHeight w:val="226"/>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315,649</w:t>
            </w:r>
          </w:p>
        </w:tc>
      </w:tr>
      <w:tr>
        <w:trPr>
          <w:trHeight w:val="230"/>
        </w:trPr>
        <w:tc>
          <w:tcPr>
            <w:tcW w:w="922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10,139</w:t>
            </w:r>
          </w:p>
        </w:tc>
      </w:tr>
      <w:tr>
        <w:trPr>
          <w:trHeight w:val="230"/>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(10,351)</w:t>
            </w:r>
          </w:p>
        </w:tc>
      </w:tr>
      <w:tr>
        <w:trPr>
          <w:trHeight w:val="229"/>
        </w:trPr>
        <w:tc>
          <w:tcPr>
            <w:tcW w:w="9220" w:type="dxa"/>
            <w:vAlign w:val="bottom"/>
          </w:tcPr>
          <w:p>
            <w:pPr>
              <w:ind w:left="360"/>
              <w:spacing w:after="0"/>
              <w:rPr>
                <w:sz w:val="20"/>
                <w:szCs w:val="20"/>
                <w:color w:val="auto"/>
              </w:rPr>
            </w:pPr>
            <w:r>
              <w:rPr>
                <w:rFonts w:ascii="Arial" w:cs="Arial" w:eastAsia="Arial" w:hAnsi="Arial"/>
                <w:sz w:val="18"/>
                <w:szCs w:val="18"/>
                <w:color w:val="auto"/>
              </w:rPr>
              <w:t>Distribution related to spin-off transaction</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(8,040)</w:t>
            </w:r>
          </w:p>
        </w:tc>
      </w:tr>
      <w:tr>
        <w:trPr>
          <w:trHeight w:val="230"/>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Transfer to noncontrolling interest</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(18,367)</w:t>
            </w:r>
          </w:p>
        </w:tc>
      </w:tr>
      <w:tr>
        <w:trPr>
          <w:trHeight w:val="223"/>
        </w:trPr>
        <w:tc>
          <w:tcPr>
            <w:tcW w:w="9220" w:type="dxa"/>
            <w:vAlign w:val="bottom"/>
          </w:tcPr>
          <w:p>
            <w:pPr>
              <w:ind w:left="20"/>
              <w:spacing w:after="0"/>
              <w:rPr>
                <w:sz w:val="20"/>
                <w:szCs w:val="20"/>
                <w:color w:val="auto"/>
              </w:rPr>
            </w:pPr>
            <w:r>
              <w:rPr>
                <w:rFonts w:ascii="Arial" w:cs="Arial" w:eastAsia="Arial" w:hAnsi="Arial"/>
                <w:sz w:val="18"/>
                <w:szCs w:val="18"/>
                <w:color w:val="auto"/>
              </w:rPr>
              <w:t>June 30, 2021</w:t>
            </w: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289,030</w:t>
            </w:r>
          </w:p>
        </w:tc>
      </w:tr>
      <w:tr>
        <w:trPr>
          <w:trHeight w:val="20"/>
        </w:trPr>
        <w:tc>
          <w:tcPr>
            <w:tcW w:w="9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connection with the spin-off of the live comedy venue and talent management businesses of Levity Entertainment Group, LLC (see Note 4), $8.0 million of redeemable noncontrolling interests was distributed to the noncontrolling partners. In addition, as part of the transaction, the preexisting put rights of the noncontrolling interest holders were terminated. Accordingly, the remaining $18.4 million of noncontrolling interests was transferred from Redeemable noncontrolling interests to Noncontrolling interests in the condensed consolidated balance sheet.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Non-redeemable Noncontrolling Interests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April 2022, 25/7 Media entered into a purchase agreement to acquire the remaining 50% interest of a consolidated subsidiary. Under the terms of the agreement, 25/7 Media agreed to pay up to $7.1 million, of which $2.5 million was paid in cash upon closing and an additional $4.6 million represents an earn-out that is contingent on the subsidiary exceeding specified profitability targets. As of June 30, 2022, the estimated fair value of the purchase price, based on the weighted average probability of such profitability targets being met, was $4.4 million (net of tax of $0.9 million). The carrying amount of the noncontrolling interest was eliminated and the excess of consideration transferred was recorded as additional-paid-in capital in the condensed consolidated statement of stockholders' equity.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Related Party Transactions</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 and its related parties routinely enter into transactions with each other in the ordinary course of business. Revenues, net from related parties amounted to $1.2 million and $1.3 million for the three months ended June 30, 2022 and 2021, respectively, and $2.5 million for the six months ended June 30, 2022 and 2021. Amounts charged to the Company, included in selling, general and administrative expenses, pursuant to transactions with its related parties amounted to $0.7 million and $0.5 million for the three months ended June 30, 2022 and 2021, respectively, and $1.3 million and $1.0 million for the six months ended June 30, 2022 and 2021, respectively.</w:t>
      </w:r>
    </w:p>
    <w:p>
      <w:pPr>
        <w:spacing w:after="0" w:line="80"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As disclosed in Note 20 of the Company’s 2021 Annual Report on Form 10-K, from time to time the Company enters into arrangements with 605, LLC. James L. Dolan, the Non-Executive Chairman and a director of the Company, and his spouse, Kristin A. Dolan, a director of the Company, own 50% of 605, LLC. Kristin A. Dolan is also the founder and Chief Executive Officer of 605, LLC. 605, LLC provides audience measurement and data analytics services to the Company and its subsidiaries pursuant to a Master Services Agreement dated February 8, 2019 (the “Master Services Agreement").</w:t>
      </w:r>
    </w:p>
    <w:p>
      <w:pPr>
        <w:spacing w:after="0" w:line="4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On August 1, 2022, the Audit Committee authorized the Company to enter into a Statement of Work for Strategic Analytic Services (the “Statement of Work”) with 605, LLC under the Master Services Agreement. The fees payable to 605, LLC by the Company for these services are $10.5 million payable in five installments with the first payment due upon execution of the agreement. The initial term of the Statement of Work is August 1, 2022 to December 31, 2022, which term is automatically extended to June 30, 2023 unless terminated by either party on 30 days’ notice prior to December 31, 2022.</w:t>
      </w:r>
    </w:p>
    <w:p>
      <w:pPr>
        <w:spacing w:after="0" w:line="80"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Under the Statement of Work, 605, LLC will engage in a strategic, research, market, business and financial assessment of the Company and its business partnering with the Company’s management team with a goal of accelerating transition to direct consumer-facing distribution platforms (including subscription streaming, ad-supported streaming, AVOD/FAST, and global streaming expansion). 605, LLC will utilize their expertise, including assessment of extensive real-time business intelligence and consumer research, to enable potential further acceleration of the Company’s long-term growth and value creation. Among the analytic services to be provided by 605, LLC are situation analysis, customer experience, data utilization, addressing the market, content strategy and overview, sales strategy, pricing analysis, customer profiles, content (by offering), marketing strategy and financial analysis.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non-cash investing and financing activities and other supplemental data are as follows:</w:t>
      </w:r>
    </w:p>
    <w:p>
      <w:pPr>
        <w:spacing w:after="0" w:line="145"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20320</wp:posOffset>
            </wp:positionV>
            <wp:extent cx="21774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2021</w:t>
            </w:r>
          </w:p>
        </w:tc>
      </w:tr>
      <w:tr>
        <w:trPr>
          <w:trHeight w:val="22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420" w:type="dxa"/>
            <w:vAlign w:val="bottom"/>
          </w:tcPr>
          <w:p>
            <w:pPr>
              <w:ind w:left="360"/>
              <w:spacing w:after="0"/>
              <w:rPr>
                <w:sz w:val="20"/>
                <w:szCs w:val="20"/>
                <w:color w:val="auto"/>
              </w:rPr>
            </w:pPr>
            <w:r>
              <w:rPr>
                <w:rFonts w:ascii="Arial" w:cs="Arial" w:eastAsia="Arial" w:hAnsi="Arial"/>
                <w:sz w:val="18"/>
                <w:szCs w:val="18"/>
                <w:color w:val="auto"/>
              </w:rPr>
              <w:t>Capital expenditures incurred but not yet paid</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6,002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1,758</w:t>
            </w:r>
          </w:p>
        </w:tc>
      </w:tr>
      <w:tr>
        <w:trPr>
          <w:trHeight w:val="230"/>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 for purchase of noncontrolling interests</w:t>
            </w:r>
          </w:p>
        </w:tc>
        <w:tc>
          <w:tcPr>
            <w:tcW w:w="1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Supplemental Data:</w:t>
            </w:r>
          </w:p>
        </w:tc>
        <w:tc>
          <w:tcPr>
            <w:tcW w:w="1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interest paid</w:t>
            </w:r>
          </w:p>
        </w:tc>
        <w:tc>
          <w:tcPr>
            <w:tcW w:w="1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54,207</w:t>
            </w:r>
          </w:p>
        </w:tc>
      </w:tr>
      <w:tr>
        <w:trPr>
          <w:trHeight w:val="230"/>
        </w:trPr>
        <w:tc>
          <w:tcPr>
            <w:tcW w:w="6420" w:type="dxa"/>
            <w:vAlign w:val="bottom"/>
          </w:tcPr>
          <w:p>
            <w:pPr>
              <w:ind w:left="360"/>
              <w:spacing w:after="0"/>
              <w:rPr>
                <w:sz w:val="20"/>
                <w:szCs w:val="20"/>
                <w:color w:val="auto"/>
              </w:rPr>
            </w:pPr>
            <w:r>
              <w:rPr>
                <w:rFonts w:ascii="Arial" w:cs="Arial" w:eastAsia="Arial" w:hAnsi="Arial"/>
                <w:sz w:val="18"/>
                <w:szCs w:val="18"/>
                <w:color w:val="auto"/>
              </w:rPr>
              <w:t>Income taxes paid, net</w:t>
            </w:r>
          </w:p>
        </w:tc>
        <w:tc>
          <w:tcPr>
            <w:tcW w:w="17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33,793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45,058</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Segment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classifies its operations into two operating segments: Domestic Operations and International and Other. These operating segments represent strategic business units that are managed separately.</w:t>
      </w:r>
    </w:p>
    <w:p>
      <w:pPr>
        <w:spacing w:after="0" w:line="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evaluates segment performance based on several factors, of which the primary financial measure is operating segment adjusted operating income ("AOI"). The Company defines AOI as operating income (loss) before depreciation and amortization, cloud computing amortization, share-based compensation expenses or benefit, impairment and other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adjusted operating income to operating income, and other information as to the continuing operations of the Company's operating segments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Three Months Ended June 30, 2022</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3"/>
              </w:rPr>
              <w:t>International</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Domestic Operations</w:t>
            </w: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and Other</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347,024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56,702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403,726</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110,913</w:t>
            </w:r>
          </w:p>
        </w:tc>
        <w:tc>
          <w:tcPr>
            <w:tcW w:w="0" w:type="dxa"/>
            <w:vAlign w:val="bottom"/>
          </w:tcPr>
          <w:p>
            <w:pPr>
              <w:spacing w:after="0"/>
              <w:rPr>
                <w:sz w:val="1"/>
                <w:szCs w:val="1"/>
                <w:color w:val="auto"/>
              </w:rPr>
            </w:pPr>
          </w:p>
        </w:tc>
      </w:tr>
      <w:tr>
        <w:trPr>
          <w:trHeight w:val="223"/>
        </w:trPr>
        <w:tc>
          <w:tcPr>
            <w:tcW w:w="4660" w:type="dxa"/>
            <w:vAlign w:val="bottom"/>
          </w:tcPr>
          <w:p>
            <w:pPr>
              <w:ind w:left="520"/>
              <w:spacing w:after="0"/>
              <w:rPr>
                <w:sz w:val="20"/>
                <w:szCs w:val="20"/>
                <w:color w:val="auto"/>
              </w:rPr>
            </w:pPr>
            <w:r>
              <w:rPr>
                <w:rFonts w:ascii="Arial" w:cs="Arial" w:eastAsia="Arial" w:hAnsi="Arial"/>
                <w:sz w:val="18"/>
                <w:szCs w:val="18"/>
                <w:color w:val="auto"/>
              </w:rPr>
              <w:t>Distribution and other</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419,450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104,037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514,639</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Advertising</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223,386</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621,102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125,771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738,025</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153,203</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8,683</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27,231</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Adjusted operating income (loss)</w:t>
            </w: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209,489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(33,134)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195,542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Three Months Ended June 30, 2021</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3"/>
              </w:rPr>
              <w:t>International</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Domestic Operations</w:t>
            </w: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and Other</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343,056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62,924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405,980</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127,163</w:t>
            </w:r>
          </w:p>
        </w:tc>
        <w:tc>
          <w:tcPr>
            <w:tcW w:w="0" w:type="dxa"/>
            <w:vAlign w:val="bottom"/>
          </w:tcPr>
          <w:p>
            <w:pPr>
              <w:spacing w:after="0"/>
              <w:rPr>
                <w:sz w:val="1"/>
                <w:szCs w:val="1"/>
                <w:color w:val="auto"/>
              </w:rPr>
            </w:pPr>
          </w:p>
        </w:tc>
      </w:tr>
      <w:tr>
        <w:trPr>
          <w:trHeight w:val="223"/>
        </w:trPr>
        <w:tc>
          <w:tcPr>
            <w:tcW w:w="4660" w:type="dxa"/>
            <w:vAlign w:val="bottom"/>
          </w:tcPr>
          <w:p>
            <w:pPr>
              <w:ind w:left="520"/>
              <w:spacing w:after="0"/>
              <w:rPr>
                <w:sz w:val="20"/>
                <w:szCs w:val="20"/>
                <w:color w:val="auto"/>
              </w:rPr>
            </w:pPr>
            <w:r>
              <w:rPr>
                <w:rFonts w:ascii="Arial" w:cs="Arial" w:eastAsia="Arial" w:hAnsi="Arial"/>
                <w:sz w:val="18"/>
                <w:szCs w:val="18"/>
                <w:color w:val="auto"/>
              </w:rPr>
              <w:t>Distribution and other</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426,733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112,310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533,143</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Advertising</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238,249</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639,015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138,277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771,392</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68,256</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16,262</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22,604</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142,918</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Adjusted operating income (loss)</w:t>
            </w: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250,140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(24,608)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250,637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Six Months Ended June 30, 2022</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3"/>
              </w:rPr>
              <w:t>International</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Domestic Operations</w:t>
            </w: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and Other</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690,772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117,114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807,886</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195,984</w:t>
            </w:r>
          </w:p>
        </w:tc>
        <w:tc>
          <w:tcPr>
            <w:tcW w:w="0" w:type="dxa"/>
            <w:vAlign w:val="bottom"/>
          </w:tcPr>
          <w:p>
            <w:pPr>
              <w:spacing w:after="0"/>
              <w:rPr>
                <w:sz w:val="1"/>
                <w:szCs w:val="1"/>
                <w:color w:val="auto"/>
              </w:rPr>
            </w:pPr>
          </w:p>
        </w:tc>
      </w:tr>
      <w:tr>
        <w:trPr>
          <w:trHeight w:val="223"/>
        </w:trPr>
        <w:tc>
          <w:tcPr>
            <w:tcW w:w="4660" w:type="dxa"/>
            <w:vAlign w:val="bottom"/>
          </w:tcPr>
          <w:p>
            <w:pPr>
              <w:ind w:left="480"/>
              <w:spacing w:after="0"/>
              <w:rPr>
                <w:sz w:val="20"/>
                <w:szCs w:val="20"/>
                <w:color w:val="auto"/>
              </w:rPr>
            </w:pPr>
            <w:r>
              <w:rPr>
                <w:rFonts w:ascii="Arial" w:cs="Arial" w:eastAsia="Arial" w:hAnsi="Arial"/>
                <w:sz w:val="18"/>
                <w:szCs w:val="18"/>
                <w:color w:val="auto"/>
              </w:rPr>
              <w:t>Distribution and other</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824,452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191,503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1,003,870</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Advertising</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446,312</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1,226,645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235,622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1,450,182</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327,880</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16,812</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49,821</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Adjusted operating income (loss)</w:t>
            </w: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428,708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42,199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(64,181)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406,726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8"/>
        </w:trPr>
        <w:tc>
          <w:tcPr>
            <w:tcW w:w="46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Six Months Ended June 30, 2021</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3"/>
              </w:rPr>
              <w:t>International</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Domestic Operations</w:t>
            </w: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and Other</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661,888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125,952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787,840</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216,331</w:t>
            </w:r>
          </w:p>
        </w:tc>
        <w:tc>
          <w:tcPr>
            <w:tcW w:w="0" w:type="dxa"/>
            <w:vAlign w:val="bottom"/>
          </w:tcPr>
          <w:p>
            <w:pPr>
              <w:spacing w:after="0"/>
              <w:rPr>
                <w:sz w:val="1"/>
                <w:szCs w:val="1"/>
                <w:color w:val="auto"/>
              </w:rPr>
            </w:pPr>
          </w:p>
        </w:tc>
      </w:tr>
      <w:tr>
        <w:trPr>
          <w:trHeight w:val="223"/>
        </w:trPr>
        <w:tc>
          <w:tcPr>
            <w:tcW w:w="4660" w:type="dxa"/>
            <w:vAlign w:val="bottom"/>
          </w:tcPr>
          <w:p>
            <w:pPr>
              <w:ind w:left="480"/>
              <w:spacing w:after="0"/>
              <w:rPr>
                <w:sz w:val="20"/>
                <w:szCs w:val="20"/>
                <w:color w:val="auto"/>
              </w:rPr>
            </w:pPr>
            <w:r>
              <w:rPr>
                <w:rFonts w:ascii="Arial" w:cs="Arial" w:eastAsia="Arial" w:hAnsi="Arial"/>
                <w:sz w:val="18"/>
                <w:szCs w:val="18"/>
                <w:color w:val="auto"/>
              </w:rPr>
              <w:t>Distribution and other</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801,560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211,906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(9,295)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1,004,171</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Advertising</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458,962</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1,212,984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259,444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1,463,133</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237,964</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14,633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29,708</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47,850</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Impairment and other charges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158,973</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Adjusted operating income (loss)</w:t>
            </w: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492,673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48,668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(52,725)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488,616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Corporate overhead costs not allocated to the segments include such costs as executive salaries and benefits, costs of maintaining corporate headquarters, facilities and common support functions (such as human resources, legal, finance, strategic planning and information technology).</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Inter-segment eliminations are primarily licensing revenues recognized between the Domestic Operations and International and Other segments.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June 30,</w:t>
            </w:r>
          </w:p>
        </w:tc>
        <w:tc>
          <w:tcPr>
            <w:tcW w:w="400" w:type="dxa"/>
            <w:vAlign w:val="bottom"/>
          </w:tcPr>
          <w:p>
            <w:pPr>
              <w:spacing w:after="0"/>
              <w:rPr>
                <w:sz w:val="18"/>
                <w:szCs w:val="18"/>
                <w:color w:val="auto"/>
              </w:rPr>
            </w:pPr>
          </w:p>
        </w:tc>
        <w:tc>
          <w:tcPr>
            <w:tcW w:w="3200" w:type="dxa"/>
            <w:vAlign w:val="bottom"/>
            <w:gridSpan w:val="4"/>
          </w:tcPr>
          <w:p>
            <w:pPr>
              <w:jc w:val="right"/>
              <w:ind w:right="772"/>
              <w:spacing w:after="0"/>
              <w:rPr>
                <w:sz w:val="20"/>
                <w:szCs w:val="20"/>
                <w:color w:val="auto"/>
              </w:rPr>
            </w:pPr>
            <w:r>
              <w:rPr>
                <w:rFonts w:ascii="Arial" w:cs="Arial" w:eastAsia="Arial" w:hAnsi="Arial"/>
                <w:sz w:val="16"/>
                <w:szCs w:val="16"/>
                <w:b w:val="1"/>
                <w:bCs w:val="1"/>
                <w:color w:val="auto"/>
              </w:rPr>
              <w:t>Six Months Ended June 30,</w:t>
            </w:r>
          </w:p>
        </w:tc>
      </w:tr>
      <w:tr>
        <w:trPr>
          <w:trHeight w:val="237"/>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2021</w:t>
            </w:r>
          </w:p>
        </w:tc>
      </w:tr>
      <w:tr>
        <w:trPr>
          <w:trHeight w:val="22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Inter-segment revenues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Domestic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(7,442)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(6,256)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(10,444)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(6,926)</w:t>
            </w: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and Other</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r>
      <w:tr>
        <w:trPr>
          <w:trHeight w:val="223"/>
        </w:trPr>
        <w:tc>
          <w:tcPr>
            <w:tcW w:w="43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(9,295)</w:t>
            </w:r>
          </w:p>
        </w:tc>
      </w:tr>
      <w:tr>
        <w:trPr>
          <w:trHeight w:val="20"/>
        </w:trPr>
        <w:tc>
          <w:tcPr>
            <w:tcW w:w="4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revenues based on customer location: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6"/>
                <w:szCs w:val="16"/>
                <w:b w:val="1"/>
                <w:bCs w:val="1"/>
                <w:color w:val="auto"/>
              </w:rPr>
              <w:t>Three Months Ended June 30,</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7"/>
          </w:tcPr>
          <w:p>
            <w:pPr>
              <w:ind w:left="660"/>
              <w:spacing w:after="0"/>
              <w:rPr>
                <w:sz w:val="20"/>
                <w:szCs w:val="20"/>
                <w:color w:val="auto"/>
              </w:rPr>
            </w:pPr>
            <w:r>
              <w:rPr>
                <w:rFonts w:ascii="Arial" w:cs="Arial" w:eastAsia="Arial" w:hAnsi="Arial"/>
                <w:sz w:val="16"/>
                <w:szCs w:val="16"/>
                <w:b w:val="1"/>
                <w:bCs w:val="1"/>
                <w:color w:val="auto"/>
              </w:rPr>
              <w:t>Six Months Ended June 30,</w:t>
            </w:r>
          </w:p>
        </w:tc>
      </w:tr>
      <w:tr>
        <w:trPr>
          <w:trHeight w:val="237"/>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20"/>
                <w:szCs w:val="20"/>
                <w:color w:val="auto"/>
              </w:rPr>
            </w:pPr>
          </w:p>
        </w:tc>
      </w:tr>
      <w:tr>
        <w:trPr>
          <w:trHeight w:val="22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9"/>
        </w:trPr>
        <w:tc>
          <w:tcPr>
            <w:tcW w:w="43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600,226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612,326</w:t>
            </w: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1,191,434</w:t>
            </w:r>
          </w:p>
        </w:tc>
        <w:tc>
          <w:tcPr>
            <w:tcW w:w="6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1,189,474</w:t>
            </w:r>
          </w:p>
        </w:tc>
        <w:tc>
          <w:tcPr>
            <w:tcW w:w="60" w:type="dxa"/>
            <w:vAlign w:val="bottom"/>
          </w:tcPr>
          <w:p>
            <w:pPr>
              <w:spacing w:after="0"/>
              <w:rPr>
                <w:sz w:val="19"/>
                <w:szCs w:val="19"/>
                <w:color w:val="auto"/>
              </w:rPr>
            </w:pPr>
          </w:p>
        </w:tc>
      </w:tr>
      <w:tr>
        <w:trPr>
          <w:trHeight w:val="230"/>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119,555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180,071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201,591</w:t>
            </w:r>
          </w:p>
        </w:tc>
        <w:tc>
          <w:tcPr>
            <w:tcW w:w="60" w:type="dxa"/>
            <w:vAlign w:val="bottom"/>
            <w:shd w:val="clear" w:color="auto" w:fill="CCEEFF"/>
          </w:tcPr>
          <w:p>
            <w:pPr>
              <w:spacing w:after="0"/>
              <w:rPr>
                <w:sz w:val="19"/>
                <w:szCs w:val="19"/>
                <w:color w:val="auto"/>
              </w:rPr>
            </w:pPr>
          </w:p>
        </w:tc>
      </w:tr>
      <w:tr>
        <w:trPr>
          <w:trHeight w:val="229"/>
        </w:trPr>
        <w:tc>
          <w:tcPr>
            <w:tcW w:w="4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78,677</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72,068</w:t>
            </w:r>
          </w:p>
        </w:tc>
        <w:tc>
          <w:tcPr>
            <w:tcW w:w="60" w:type="dxa"/>
            <w:vAlign w:val="bottom"/>
            <w:tcBorders>
              <w:bottom w:val="single" w:sz="8" w:color="auto"/>
            </w:tcBorders>
          </w:tcPr>
          <w:p>
            <w:pPr>
              <w:spacing w:after="0"/>
              <w:rPr>
                <w:sz w:val="19"/>
                <w:szCs w:val="19"/>
                <w:color w:val="auto"/>
              </w:rPr>
            </w:pPr>
          </w:p>
        </w:tc>
      </w:tr>
      <w:tr>
        <w:trPr>
          <w:trHeight w:val="248"/>
        </w:trPr>
        <w:tc>
          <w:tcPr>
            <w:tcW w:w="4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738,025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771,392</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1,450,182</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1,463,133</w:t>
            </w:r>
          </w:p>
        </w:tc>
        <w:tc>
          <w:tcPr>
            <w:tcW w:w="60" w:type="dxa"/>
            <w:vAlign w:val="bottom"/>
            <w:tcBorders>
              <w:bottom w:val="single" w:sz="8" w:color="auto"/>
            </w:tcBorders>
            <w:shd w:val="clear" w:color="auto" w:fill="CCEEFF"/>
          </w:tcPr>
          <w:p>
            <w:pPr>
              <w:spacing w:after="0"/>
              <w:rPr>
                <w:sz w:val="21"/>
                <w:szCs w:val="2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r>
        <w:trPr>
          <w:trHeight w:val="744"/>
        </w:trPr>
        <w:tc>
          <w:tcPr>
            <w:tcW w:w="6320" w:type="dxa"/>
            <w:vAlign w:val="bottom"/>
            <w:gridSpan w:val="5"/>
          </w:tcPr>
          <w:p>
            <w:pPr>
              <w:ind w:left="420"/>
              <w:spacing w:after="0"/>
              <w:rPr>
                <w:sz w:val="20"/>
                <w:szCs w:val="20"/>
                <w:color w:val="auto"/>
              </w:rPr>
            </w:pPr>
            <w:r>
              <w:rPr>
                <w:rFonts w:ascii="Arial" w:cs="Arial" w:eastAsia="Arial" w:hAnsi="Arial"/>
                <w:sz w:val="18"/>
                <w:szCs w:val="18"/>
                <w:color w:val="auto"/>
                <w:w w:val="94"/>
              </w:rPr>
              <w:t>The table below summarizes property and equipment based on asset location:</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8"/>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2021</w:t>
            </w:r>
          </w:p>
        </w:tc>
      </w:tr>
      <w:tr>
        <w:trPr>
          <w:trHeight w:val="226"/>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3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200,586</w:t>
            </w:r>
          </w:p>
        </w:tc>
        <w:tc>
          <w:tcPr>
            <w:tcW w:w="6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210,252</w:t>
            </w:r>
          </w:p>
        </w:tc>
        <w:tc>
          <w:tcPr>
            <w:tcW w:w="60" w:type="dxa"/>
            <w:vAlign w:val="bottom"/>
          </w:tcPr>
          <w:p>
            <w:pPr>
              <w:spacing w:after="0"/>
              <w:rPr>
                <w:sz w:val="19"/>
                <w:szCs w:val="19"/>
                <w:color w:val="auto"/>
              </w:rPr>
            </w:pPr>
          </w:p>
        </w:tc>
      </w:tr>
      <w:tr>
        <w:trPr>
          <w:trHeight w:val="229"/>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14,510</w:t>
            </w:r>
          </w:p>
        </w:tc>
        <w:tc>
          <w:tcPr>
            <w:tcW w:w="60" w:type="dxa"/>
            <w:vAlign w:val="bottom"/>
          </w:tcPr>
          <w:p>
            <w:pPr>
              <w:spacing w:after="0"/>
              <w:rPr>
                <w:sz w:val="19"/>
                <w:szCs w:val="19"/>
                <w:color w:val="auto"/>
              </w:rPr>
            </w:pPr>
          </w:p>
        </w:tc>
      </w:tr>
      <w:tr>
        <w:trPr>
          <w:trHeight w:val="229"/>
        </w:trPr>
        <w:tc>
          <w:tcPr>
            <w:tcW w:w="4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60" w:type="dxa"/>
            <w:vAlign w:val="bottom"/>
          </w:tcPr>
          <w:p>
            <w:pPr>
              <w:spacing w:after="0"/>
              <w:rPr>
                <w:sz w:val="19"/>
                <w:szCs w:val="19"/>
                <w:color w:val="auto"/>
              </w:rPr>
            </w:pPr>
          </w:p>
        </w:tc>
      </w:tr>
      <w:tr>
        <w:trPr>
          <w:trHeight w:val="248"/>
        </w:trPr>
        <w:tc>
          <w:tcPr>
            <w:tcW w:w="4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213,940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225,791</w:t>
            </w:r>
          </w:p>
        </w:tc>
        <w:tc>
          <w:tcPr>
            <w:tcW w:w="60" w:type="dxa"/>
            <w:vAlign w:val="bottom"/>
          </w:tcPr>
          <w:p>
            <w:pPr>
              <w:spacing w:after="0"/>
              <w:rPr>
                <w:sz w:val="21"/>
                <w:szCs w:val="2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84"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our revenues;</w:t>
      </w:r>
    </w:p>
    <w:p>
      <w:pPr>
        <w:spacing w:after="0" w:line="63"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demand, including changes in viewer consumption patterns, for our programming networks, our subscription streaming services, our programming, and our production services;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streaming and programming industries;</w:t>
      </w:r>
    </w:p>
    <w:p>
      <w:pPr>
        <w:spacing w:after="0" w:line="63"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content for our programming services, other forms of distribution, including digital and licensing in international markets, as well as our film distribution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film content;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launch our streaming services in countries outside of the United States;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distributors;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 including increases in inflation rates;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63"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COVID-19 on the economy and our business, including the measures taken by governmental authorities to address the pandemic, which may precipitate or exacerbate other risks and/or uncertainties;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laws or treaties relating to taxation, or the interpretation thereof, in the United States or in the countries in which we operate;</w:t>
      </w:r>
    </w:p>
    <w:p>
      <w:pPr>
        <w:spacing w:after="0" w:line="74" w:lineRule="exact"/>
        <w:rPr>
          <w:rFonts w:ascii="Arial" w:cs="Arial" w:eastAsia="Arial" w:hAnsi="Arial"/>
          <w:sz w:val="17"/>
          <w:szCs w:val="17"/>
          <w:color w:val="auto"/>
        </w:rPr>
      </w:pPr>
    </w:p>
    <w:p>
      <w:pPr>
        <w:ind w:left="820" w:right="6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existing and proposed federal, state and international laws and regulations relating to data protection, privacy and security, including the European Union's General Data Protection Regulation ("GDPR");</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86" w:lineRule="exact"/>
        <w:rPr>
          <w:rFonts w:ascii="Arial" w:cs="Arial" w:eastAsia="Arial" w:hAnsi="Arial"/>
          <w:sz w:val="16"/>
          <w:szCs w:val="16"/>
          <w:color w:val="auto"/>
        </w:rPr>
      </w:pPr>
    </w:p>
    <w:p>
      <w:pPr>
        <w:ind w:left="820" w:right="3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8" w:lineRule="exact"/>
        <w:rPr>
          <w:rFonts w:ascii="Arial" w:cs="Arial" w:eastAsia="Arial" w:hAnsi="Arial"/>
          <w:sz w:val="18"/>
          <w:szCs w:val="18"/>
          <w:color w:val="auto"/>
        </w:rPr>
      </w:pPr>
    </w:p>
    <w:p>
      <w:pPr>
        <w:ind w:left="820" w:right="440" w:hanging="326"/>
        <w:spacing w:after="0" w:line="298" w:lineRule="auto"/>
        <w:tabs>
          <w:tab w:leader="none" w:pos="815" w:val="left"/>
        </w:tabs>
        <w:numPr>
          <w:ilvl w:val="0"/>
          <w:numId w:val="6"/>
        </w:numPr>
        <w:rPr>
          <w:rFonts w:ascii="Arial" w:cs="Arial" w:eastAsia="Arial" w:hAnsi="Arial"/>
          <w:sz w:val="17"/>
          <w:szCs w:val="17"/>
          <w:color w:val="auto"/>
        </w:rPr>
      </w:pPr>
      <w:r>
        <w:rPr>
          <w:rFonts w:ascii="Arial" w:cs="Arial" w:eastAsia="Arial" w:hAnsi="Arial"/>
          <w:sz w:val="17"/>
          <w:szCs w:val="17"/>
          <w:color w:val="auto"/>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and streaming businesses;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74" w:lineRule="exact"/>
        <w:rPr>
          <w:rFonts w:ascii="Arial" w:cs="Arial" w:eastAsia="Arial" w:hAnsi="Arial"/>
          <w:sz w:val="17"/>
          <w:szCs w:val="17"/>
          <w:color w:val="auto"/>
        </w:rPr>
      </w:pPr>
    </w:p>
    <w:p>
      <w:pPr>
        <w:ind w:left="820" w:right="2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events that are outside our control, such as political unrest in international markets, terrorist attacks, natural disasters and other similar events; 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ind w:left="820" w:right="6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our 2021 Annual Report on Form 10-K (the "2021 Form 10-K"), as filed with the Securities and Exchange Commission ("SEC").</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Management's discussion and analysis of financial condition and results of operations, or MD&amp;A, is a supplement to and should be read in conjunction with the unaudited condensed consolidated financial statements and notes thereto included elsewhere herein and our 2021 Form 10-K to enhance the understanding of our financial condition, changes in financial condition and results of our operations. Unless the context otherwise requires, all references to "we," "us," "our," "AMC Networks" or the "Company" refer to AMC Networks Inc., together with its subsidiaries. MD&amp;A is organized as follows:</w:t>
      </w:r>
    </w:p>
    <w:p>
      <w:pPr>
        <w:spacing w:after="0" w:line="80"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This section provides a general description of our business and our operating segments, as well as other matters that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are important in understanding our results of operations and financial condition and in anticipating future trends.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provides an analysis of our results of operations for the three and six months ended June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and six months ended June 30, 2021. Our discussion is presented on both a consolidated and segment basis. Our two segments are: (i) Domestic Operations and (ii) International and Other.</w:t>
      </w:r>
    </w:p>
    <w:p>
      <w:pPr>
        <w:spacing w:after="0" w:line="76"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This section provides a discussion of our financial condition as of June 30, 2022, as well as an analysis of our cash</w:t>
      </w:r>
      <w:r>
        <w:rPr>
          <w:rFonts w:ascii="Arial" w:cs="Arial" w:eastAsia="Arial" w:hAnsi="Arial"/>
          <w:sz w:val="17"/>
          <w:szCs w:val="17"/>
          <w:i w:val="1"/>
          <w:iCs w:val="1"/>
          <w:color w:val="auto"/>
        </w:rPr>
        <w:t xml:space="preserve"> </w:t>
      </w:r>
      <w:r>
        <w:rPr>
          <w:rFonts w:ascii="Arial" w:cs="Arial" w:eastAsia="Arial" w:hAnsi="Arial"/>
          <w:sz w:val="17"/>
          <w:szCs w:val="17"/>
          <w:color w:val="auto"/>
        </w:rPr>
        <w:t>flows for the six months ended June 30, 2022 and 2021. The discussion of our financial condition and liquidity includes summaries of (i) our primary sources of liquidity and (ii) our contractual obligations that existed at June 30, 2022 as compared to December 31, 2021.</w:t>
      </w:r>
    </w:p>
    <w:p>
      <w:pPr>
        <w:spacing w:after="0" w:line="5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an update, if any, to our significant accounting policies or critical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since December 31,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112" w:lineRule="exact"/>
        <w:rPr>
          <w:sz w:val="20"/>
          <w:szCs w:val="20"/>
          <w:color w:val="auto"/>
        </w:rPr>
      </w:pPr>
    </w:p>
    <w:p>
      <w:pPr>
        <w:jc w:val="both"/>
        <w:ind w:right="20" w:firstLine="445"/>
        <w:spacing w:after="0" w:line="229"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(loss) ("AOI")</w:t>
      </w:r>
      <w:r>
        <w:rPr>
          <w:rFonts w:ascii="Arial" w:cs="Arial" w:eastAsia="Arial" w:hAnsi="Arial"/>
          <w:sz w:val="23"/>
          <w:szCs w:val="23"/>
          <w:color w:val="auto"/>
          <w:vertAlign w:val="superscript"/>
        </w:rPr>
        <w:t>1</w:t>
      </w:r>
      <w:r>
        <w:rPr>
          <w:rFonts w:ascii="Arial" w:cs="Arial" w:eastAsia="Arial" w:hAnsi="Arial"/>
          <w:sz w:val="18"/>
          <w:szCs w:val="18"/>
          <w:color w:val="auto"/>
        </w:rPr>
        <w:t>, for the periods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292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454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4540" w:type="dxa"/>
            <w:vAlign w:val="bottom"/>
            <w:gridSpan w:val="4"/>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Revenues, net</w:t>
            </w: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Domestic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621,102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639,015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1,226,645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1,212,984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259,444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5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738,025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1,450,182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1,463,133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54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b w:val="1"/>
                <w:bCs w:val="1"/>
                <w:color w:val="auto"/>
              </w:rPr>
              <w:t>Operating Income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4540" w:type="dxa"/>
            <w:vAlign w:val="bottom"/>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Domestic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31,442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16,801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Corporate / Inter-segment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153,203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68,256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327,880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237,964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54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Adjusted Operating Income (Loss)</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6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Domestic Operations</w:t>
            </w:r>
          </w:p>
        </w:tc>
        <w:tc>
          <w:tcPr>
            <w:tcW w:w="18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209,489</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250,140</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428,708</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492,673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5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Corporate / Inter-segment Eliminations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1714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80" w:firstLine="8"/>
        <w:spacing w:after="0" w:line="201" w:lineRule="auto"/>
        <w:tabs>
          <w:tab w:leader="none" w:pos="103"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Adjusted Operating Income (Loss), is a non-GAAP financial measure. See the "Non-GAAP Financial Measures" section on page 34 for additional information, including our definition and our use of this non-GAAP financial measure, and for a reconciliation to its most comparable GAAP financial measure.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117" w:lineRule="exact"/>
        <w:rPr>
          <w:sz w:val="20"/>
          <w:szCs w:val="20"/>
          <w:color w:val="auto"/>
        </w:rPr>
      </w:pPr>
    </w:p>
    <w:p>
      <w:pPr>
        <w:jc w:val="both"/>
        <w:ind w:left="660" w:hanging="328"/>
        <w:spacing w:after="0" w:line="254" w:lineRule="auto"/>
        <w:tabs>
          <w:tab w:leader="none" w:pos="65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Domestic Operations: </w:t>
      </w:r>
      <w:r>
        <w:rPr>
          <w:rFonts w:ascii="Arial" w:cs="Arial" w:eastAsia="Arial" w:hAnsi="Arial"/>
          <w:sz w:val="18"/>
          <w:szCs w:val="18"/>
          <w:color w:val="auto"/>
        </w:rPr>
        <w:t>Includes our programming services and AMC Broadcasting &amp; Technology. Our programming services consist of our five</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programming networks, our streaming services, our AMC Studios operation and IFC Films. Our national programming networks are AMC, WE tv, BBC AMERICA, IFC, and SundanceTV. Our streaming services consist of our global targeted subscription streaming services (Acorn TV, Shudder, Sundance Now, ALLBLK, and HIDIVE), AMC+ and other streaming initiatives. Our AMC Studios operation produces original programming for our programming networks and also licenses such programming worldwide and IFC Films is our film distribution business. AMC Networks Broadcasting &amp; Technology, our technical services business, primarily services most of the national programming networks.</w:t>
      </w:r>
    </w:p>
    <w:p>
      <w:pPr>
        <w:spacing w:after="0" w:line="86"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Includes AMC Networks International ("AMCNI"), our international programming businesses consisting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channels around the world, and 25/7 Media, our production services business.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Domestic Operations</w:t>
      </w:r>
    </w:p>
    <w:p>
      <w:pPr>
        <w:spacing w:after="0" w:line="11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In our Domestic Operations segment, we earn revenue principally from: (i) the distribution of our programming through our programming networks and streaming services, (ii) the sale of advertising, and (iii) the licensing of our original programming to distributors, including the distribution of programming of IFC Films. Subscription revenue includes fees paid by distributors and consumers for our programming networks and streaming services. Subscription fees paid by distributors represent the largest component of distribution revenue. Our subscription fee revenues for our programming networks are based on a per subscriber fee, and, to a lesser extent, fixed fees under multi-year contracts, commonly referred to as "affiliation agreements," which generally provide for annual rate increases. The specific subscription fee revenues we earn vary from period to period, distributor to distributor and also vary among our programming services, but are generally based upon the number of each distributor's subscribers who receive our programming, referred to as viewing subscribers. Subscription fees for our streaming services are generally paid by consumers on a monthly basis. Content licensing revenue is earned from the licensing of original programming for digital, foreign and home video distribution and is recognized upon availability or distribution by the licensee.</w:t>
      </w:r>
    </w:p>
    <w:p>
      <w:pPr>
        <w:spacing w:after="0" w:line="7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Under affiliation agreements with our distributors, we have the right to sell a specified amount of national advertising time on our programming networks. Our advertising revenues are more variable than subscription fee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w:t>
      </w:r>
    </w:p>
    <w:p>
      <w:pPr>
        <w:spacing w:after="0" w:line="8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Programming expenses, included in technical and operating expenses, represent the largest expenses of the Domestic Operations segment and primarily consists of amortization of programming rights, such as those for original programming, feature films and licensed series, as well as participation and residual costs. The other components of technical and operating expenses primarily include distribution and production related costs and program operating costs including cost of delivery, such as origination, transmission, uplinking and encryption.</w:t>
      </w:r>
    </w:p>
    <w:p>
      <w:pPr>
        <w:spacing w:after="0" w:line="6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success of our business depends on original programming, both scripted and unscripted, across all of our programming services. These original series generally result in higher ratings for our networks.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We will continue to increase our investment in original programming. There may be significant changes in the level of our technical and operating expenses due to the amortization of content acquisition and/or original programming costs. Program rights that are monetized as a group are amortized based on projected usage, typically resulting in an accelerated amortization pattern and, to a lesser extent, program rights that are monetized individually are amortized based on the individual-film-forecast-computation method.</w:t>
      </w:r>
    </w:p>
    <w:p>
      <w:pPr>
        <w:spacing w:after="0" w:line="5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Most original series require us to make up-front investments, which are often significant amounts.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expenses.</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International and Other segment primarily includes the operations of AMCNI and 25/7 Media.</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7" w:name="page28"/>
    <w:bookmarkEnd w:id="27"/>
    <w:p>
      <w:pPr>
        <w:jc w:val="both"/>
        <w:ind w:firstLine="445"/>
        <w:spacing w:after="0" w:line="290" w:lineRule="auto"/>
        <w:rPr>
          <w:sz w:val="20"/>
          <w:szCs w:val="20"/>
          <w:color w:val="auto"/>
        </w:rPr>
      </w:pPr>
      <w:r>
        <w:rPr>
          <w:rFonts w:ascii="Arial" w:cs="Arial" w:eastAsia="Arial" w:hAnsi="Arial"/>
          <w:sz w:val="16"/>
          <w:szCs w:val="16"/>
          <w:color w:val="auto"/>
        </w:rPr>
        <w:t>In our International and Other segment, we earn revenue principally from the international distribution of programming and, to a lesser extent, the sale of advertising from our AMCNI programming networks. We also earn revenue through production services from 25/7 Media. For the six months ended June 30, 2022, distribution revenues represented 81% of the revenues of the International and Other segment. Distribution revenue primarily includes subscription fees paid by distributors or consumers to carry our programming networks and production services revenue generated from 25/7 Media. Our subscription revenues are generally based on either a per-subscriber fee or a fixed contractual annual fee, under multi-year affiliation agreements, which may provide for annual rate increases. Our production services revenues are based on master production agreements whereby a third-party engages us to produce content on its behalf. Production services revenues are recognized based on the percentage of cost incurred to total estimated cost of the contract. Distribution revenues are derived from the distribution of our programming networks primarily in Europe and to a lesser extent, Latin America.</w:t>
      </w:r>
    </w:p>
    <w:p>
      <w:pPr>
        <w:spacing w:after="0" w:line="57"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Programming expenses, program operating costs and production costs incurred to produce content for third parties are included in technical and operating expenses, and represent the largest expense of the International and Other segment. Programming expenses primarily consist of amortization of acquired content, costs of dubbing and sub-titling of programs, production costs, and participation and residual costs. Program operating costs include costs such as origination, transmission, uplinking and encryption of our linear AMCNI channels as well as content hosting and delivery costs at our various on-line content distribution initiatives.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expenses.</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Corporate / Inter-segment Eliminations</w:t>
      </w:r>
    </w:p>
    <w:p>
      <w:pPr>
        <w:spacing w:after="0" w:line="117" w:lineRule="exact"/>
        <w:rPr>
          <w:sz w:val="20"/>
          <w:szCs w:val="20"/>
          <w:color w:val="auto"/>
        </w:rPr>
      </w:pPr>
    </w:p>
    <w:p>
      <w:pPr>
        <w:jc w:val="both"/>
        <w:ind w:right="20" w:firstLine="445"/>
        <w:spacing w:after="0" w:line="259" w:lineRule="auto"/>
        <w:rPr>
          <w:sz w:val="20"/>
          <w:szCs w:val="20"/>
          <w:color w:val="auto"/>
        </w:rPr>
      </w:pPr>
      <w:r>
        <w:rPr>
          <w:rFonts w:ascii="Arial" w:cs="Arial" w:eastAsia="Arial" w:hAnsi="Arial"/>
          <w:sz w:val="18"/>
          <w:szCs w:val="18"/>
          <w:color w:val="auto"/>
        </w:rPr>
        <w:t>Corporate operations primarily consist of executive management and administrative support services, such as executive salaries and benefits costs, costs of maintaining corporate headquarters, facilities and common support functions (such as human resources, legal, finance, strategic planning and information technology). The segment financial information set forth below, including the discussion related to individual line items, does not reflect inter-segment eliminations unless specifically indicated.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6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Capital and credit market disruptions, as well as other events such as the COVID-19 pandemic, inflation, international conflict and recession, could cause economic downturns, which may lead to lower demand for our products, such as lower demand for television advertising and a decrease in the number of subscribers receiving our programming services from our distributors. Events such as these may adversely impact our results of operations, cash flows and financial position.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continues to monitor the ongoing impact of the COVID-19 pandemic on all aspects of its business. The Company cannot reasonably predict the continuing impact of the COVID-19 pandemic, including the extent of any adverse impact on our business, results of operations and financial condition, which will depend on, among other things, the impact of governmental regulations that have been, and may continue to be, imposed in response to the pandemic, the effectiveness of actions taken to contain or mitigate the outbreak, the acceptance, safety and efficacy of vaccines, and global economic conditions. The Company does not expect the COVID-19 pandemic and its related economic impact to affect its liquidity position or its ongoing ability to meet the covenants in its debt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amounts presented and discussed below represent 100% of each operating segment's revenues, net and expenses. Where we have management control of an entity, we consolidate 100% of such entity in our consolidated statements of operations notwithstanding that a third-party owns an interest, which may be significant, in such entity. The noncontrolling owner's interest in the operating results of consolidated subsidiaries are reflected in net income attributable to noncontrolling interests in our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June 30, 2022 and 2021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w w:val="94"/>
              </w:rPr>
              <w:t>Three Months Ended 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w w:val="97"/>
              </w:rPr>
              <w:t>Six Months Ended 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403,726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405,980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807,886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787,840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3980" w:type="dxa"/>
            <w:vAlign w:val="bottom"/>
          </w:tcPr>
          <w:p>
            <w:pPr>
              <w:ind w:left="520"/>
              <w:spacing w:after="0"/>
              <w:rPr>
                <w:sz w:val="20"/>
                <w:szCs w:val="20"/>
                <w:color w:val="auto"/>
              </w:rPr>
            </w:pPr>
            <w:r>
              <w:rPr>
                <w:rFonts w:ascii="Arial" w:cs="Arial" w:eastAsia="Arial" w:hAnsi="Arial"/>
                <w:sz w:val="18"/>
                <w:szCs w:val="18"/>
                <w:color w:val="auto"/>
              </w:rPr>
              <w:t>Distribution and other</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514,639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533,143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1,003,870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1,004,171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223,386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446,312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revenues,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771,392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1,450,182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1,463,133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360"/>
              <w:spacing w:after="0" w:line="176" w:lineRule="exact"/>
              <w:rPr>
                <w:sz w:val="20"/>
                <w:szCs w:val="20"/>
                <w:color w:val="auto"/>
              </w:rPr>
            </w:pPr>
            <w:r>
              <w:rPr>
                <w:rFonts w:ascii="Arial" w:cs="Arial" w:eastAsia="Arial" w:hAnsi="Arial"/>
                <w:sz w:val="18"/>
                <w:szCs w:val="18"/>
                <w:color w:val="auto"/>
                <w:w w:val="94"/>
              </w:rPr>
              <w:t>Technical and operating (excluding depreciation</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325,772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338,841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610,009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619,413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980" w:type="dxa"/>
            <w:vAlign w:val="bottom"/>
          </w:tcPr>
          <w:p>
            <w:pPr>
              <w:ind w:left="600"/>
              <w:spacing w:after="0"/>
              <w:rPr>
                <w:sz w:val="20"/>
                <w:szCs w:val="20"/>
                <w:color w:val="auto"/>
              </w:rPr>
            </w:pPr>
            <w:r>
              <w:rPr>
                <w:rFonts w:ascii="Arial" w:cs="Arial" w:eastAsia="Arial" w:hAnsi="Arial"/>
                <w:sz w:val="18"/>
                <w:szCs w:val="18"/>
                <w:color w:val="auto"/>
              </w:rPr>
              <w:t>and amortization)</w:t>
            </w: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29"/>
        </w:trPr>
        <w:tc>
          <w:tcPr>
            <w:tcW w:w="39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49,821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and other charges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3980" w:type="dxa"/>
            <w:vAlign w:val="bottom"/>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584,822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703,136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1,122,302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1,225,169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124.5 %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237,964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37.8 %</w:t>
            </w: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(57,850)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(60,911)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Miscellaneous,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expense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3980" w:type="dxa"/>
            <w:vAlign w:val="bottom"/>
          </w:tcPr>
          <w:p>
            <w:pPr>
              <w:ind w:left="360"/>
              <w:spacing w:after="0"/>
              <w:rPr>
                <w:sz w:val="20"/>
                <w:szCs w:val="20"/>
                <w:color w:val="auto"/>
              </w:rPr>
            </w:pPr>
            <w:r>
              <w:rPr>
                <w:rFonts w:ascii="Arial" w:cs="Arial" w:eastAsia="Arial" w:hAnsi="Arial"/>
                <w:sz w:val="18"/>
                <w:szCs w:val="18"/>
                <w:color w:val="auto"/>
              </w:rPr>
              <w:t>Income from operations before income taxes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122,948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53,919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275,116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174,559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57.6 %</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100.5 %</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89,920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42,598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200,454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137,323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46.0 %</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55"/>
        </w:trPr>
        <w:tc>
          <w:tcPr>
            <w:tcW w:w="3980" w:type="dxa"/>
            <w:vAlign w:val="bottom"/>
          </w:tcPr>
          <w:p>
            <w:pPr>
              <w:ind w:left="20"/>
              <w:spacing w:after="0" w:line="156" w:lineRule="exact"/>
              <w:rPr>
                <w:sz w:val="20"/>
                <w:szCs w:val="20"/>
                <w:color w:val="auto"/>
              </w:rPr>
            </w:pPr>
            <w:r>
              <w:rPr>
                <w:rFonts w:ascii="Arial" w:cs="Arial" w:eastAsia="Arial" w:hAnsi="Arial"/>
                <w:sz w:val="18"/>
                <w:szCs w:val="18"/>
                <w:color w:val="auto"/>
              </w:rPr>
              <w:t>Net income attributable to AMC Networks'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83,429</w:t>
            </w:r>
          </w:p>
        </w:tc>
        <w:tc>
          <w:tcPr>
            <w:tcW w:w="10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35,885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132.5 %</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187,617</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122,906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52.7 %</w:t>
            </w:r>
          </w:p>
        </w:tc>
        <w:tc>
          <w:tcPr>
            <w:tcW w:w="0" w:type="dxa"/>
            <w:vAlign w:val="bottom"/>
          </w:tcPr>
          <w:p>
            <w:pPr>
              <w:spacing w:after="0"/>
              <w:rPr>
                <w:sz w:val="1"/>
                <w:szCs w:val="1"/>
                <w:color w:val="auto"/>
              </w:rPr>
            </w:pPr>
          </w:p>
        </w:tc>
      </w:tr>
      <w:tr>
        <w:trPr>
          <w:trHeight w:val="208"/>
        </w:trPr>
        <w:tc>
          <w:tcPr>
            <w:tcW w:w="3980" w:type="dxa"/>
            <w:vAlign w:val="bottom"/>
          </w:tcPr>
          <w:p>
            <w:pPr>
              <w:ind w:left="20"/>
              <w:spacing w:after="0" w:line="202" w:lineRule="exact"/>
              <w:rPr>
                <w:sz w:val="20"/>
                <w:szCs w:val="20"/>
                <w:color w:val="auto"/>
              </w:rPr>
            </w:pPr>
            <w:r>
              <w:rPr>
                <w:rFonts w:ascii="Arial" w:cs="Arial" w:eastAsia="Arial" w:hAnsi="Arial"/>
                <w:sz w:val="18"/>
                <w:szCs w:val="18"/>
                <w:color w:val="auto"/>
              </w:rPr>
              <w:t>stockholders</w:t>
            </w:r>
          </w:p>
        </w:tc>
        <w:tc>
          <w:tcPr>
            <w:tcW w:w="2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2022 vs. 2021</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Subscription revenues increased 1.2% in our Domestic Operations segment primarily due to an increase in streaming revenues, partially offset by a decline in affiliate revenue. Excluding the one-time beneficial impact of a distribution agreement renewal in the prior year, subscription revenues increased 5.5% in our Domestic Operations segment. Subscription revenues decreased 9.9% in our International and Other segment primarily due to the unfavorable impact of foreign currency translation at AMCNI. Subscription revenues may vary from quarter to quarter based on the impact of renewals of affiliation agreements and the level of subscribers to our services.</w:t>
      </w:r>
    </w:p>
    <w:p>
      <w:pPr>
        <w:spacing w:after="0" w:line="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Content licensing and other revenues decreased 13.4% in our Domestic Operations segment primarily due to the expected timing of deliveries in the period. Content licensing and other revenues decreased 4.2% in our International and Other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9" w:name="page30"/>
    <w:bookmarkEnd w:id="29"/>
    <w:p>
      <w:pPr>
        <w:jc w:val="both"/>
        <w:ind w:right="20"/>
        <w:spacing w:after="0" w:line="277" w:lineRule="auto"/>
        <w:rPr>
          <w:sz w:val="20"/>
          <w:szCs w:val="20"/>
          <w:color w:val="auto"/>
        </w:rPr>
      </w:pPr>
      <w:r>
        <w:rPr>
          <w:rFonts w:ascii="Arial" w:cs="Arial" w:eastAsia="Arial" w:hAnsi="Arial"/>
          <w:sz w:val="18"/>
          <w:szCs w:val="18"/>
          <w:color w:val="auto"/>
        </w:rPr>
        <w:t>segment primarily due to the timing of productions at 25/7 Media. Content licensing revenues vary from quarter to quarter based on the timing of availability of our programming to distributors.</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Advertising revenues decreased 5.0% in our Domestic Operations segment primarily due to lower linear ratings, partially offset by digital growth. Advertising revenues decreased 16.3% in our International and Other segment primarily due to the unfavorable impact of foreign currency translation. Most of our advertising revenues vary based on the timing of our original programming series and the popularity of our programming as measured by Nielsen.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2022 vs. 2021</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Subscription revenues increased 4.4% in our Domestic Operations segment primarily due to an increase in streaming revenues, partially offset by a decline in affiliate revenue. Excluding the one-time beneficial impact of a distribution agreement renewal in the prior year, subscription revenues increased 6.6% in our Domestic Operations segment. Subscription revenues decreased 7.0% in our International and Other segment primarily due to the unfavorable impact of foreign currency translation at AMCNI.</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Content licensing and other revenues decreased 4.3% in our Domestic Operations segment primarily due to the expected timing of deliveries in the period. Content licensing and other revenues decreased 13.5% in our International and Other segment primarily due to the timing of productions at 25/7 Media.</w:t>
      </w:r>
    </w:p>
    <w:p>
      <w:pPr>
        <w:spacing w:after="0" w:line="7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Advertising revenues decreased 2.2% in our Domestic Operations segment primarily due to lower linear ratings. Advertising revenues decreased 7.2% in our International and Other segment, primarily due to the unfavorable impact of foreign currency translation and lower linear ratings.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components of technical and operating expenses primarily include the amortization of program rights, such as those for original programming, feature films and licensed series, participation and residual costs, distribution and production related costs and program delivery costs, such as transmission, encryption, hosting, and formatting.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2022 vs. 2021</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Technical and operating expenses (excluding depreciation and amortization) decreased 5.5% in our Domestic Operations segment primarily due a decrease in other direct programming costs, partially offset by an increase in program rights amortization. Technical and operating expenses (excluding depreciation and amortization) increased 2.6% in our International and Other segment primarily due to an increase in other direct programming costs at AMCNI, partially offset by a decrease due to the timing of productions at 25/7 Media.</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may be significant changes in the level of our technical and operating expenses from quarter to quarter and year to year due to original programming costs and/or content acquisition costs. As additional competition for programming increases, costs for content acquisition and original programming may increase.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2022 vs. 2021</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Technical and operating expenses (excluding depreciation and amortization) increased 0.3% in our Domestic Operations segment primarily due to an increase in program rights amortization attributable to an increase in the number of original programs, partially offset by a decrease in other direct programming costs. Technical and operating expenses (excluding depreciation and amortization) decreased 9.8% in our International and Other segment primarily due to lower program rights amortization at AMCNI and the timing of productions at 25/7 Media.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components of selling, general and administrative expenses primarily include sales, marketing and advertising expenses, administrative costs and costs of non-production facilities.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2022 vs. 2021</w:t>
      </w:r>
    </w:p>
    <w:p>
      <w:pPr>
        <w:spacing w:after="0" w:line="11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Selling, general and administrative expenses (including share-based compensation expenses) increased 29.5% in our Domestic Operations segment primarily due to higher strategic marketing and subscriber acquisition expenses related to our streaming services and linear networks, and decreased 22.2% in our International and other segment primarily due to lower selling expenses and the favorable impact of foreign currency translation.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Six months ended June 30, 2022 vs. 2021</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(including share-based compensation expenses) increased 29.0% in our Domestic Operations segment primarily due to higher strategic marketing and subscriber acquisition expenses related to our streaming services and linear networks, and decreased 5.7% in our International and other segment primarily related to the favorable impact of foreign currency translation and a decrease in administrative expenses at 25/7 Media.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expenses include depreciation of fixed assets and amortization of finite-lived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2022 vs. 2021</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Depreciation and amortization expense increased in Corporate and our Domestic Operations segment due to higher depreciation of equipment and in our Domestic Operations segment due to the amortization of finite-lived intangible assets acquired in connection with the acquisition of Sentai Holdings in the fourth quarter of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2022 vs. 2021</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 increased primarily in our Domestic Operations segment due to the amortization of finite-lived intangible assets acquired in connection with the acquisition of Sentai Holdings in the fourth quarter of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and other charges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impairment and other charges for the three and six months ended June 30, 2022.</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Impairment and other charges for the three and six months ended June 30, 2021 were $142.9 million and $159.0 million, respectively.</w:t>
      </w:r>
    </w:p>
    <w:p>
      <w:pPr>
        <w:spacing w:after="0" w:line="102" w:lineRule="exact"/>
        <w:rPr>
          <w:sz w:val="20"/>
          <w:szCs w:val="20"/>
          <w:color w:val="auto"/>
        </w:rPr>
      </w:pPr>
    </w:p>
    <w:p>
      <w:pPr>
        <w:jc w:val="both"/>
        <w:ind w:left="80" w:firstLine="567"/>
        <w:spacing w:after="0" w:line="225" w:lineRule="auto"/>
        <w:rPr>
          <w:sz w:val="20"/>
          <w:szCs w:val="20"/>
          <w:color w:val="auto"/>
        </w:rPr>
      </w:pPr>
      <w:r>
        <w:rPr>
          <w:rFonts w:ascii="Arial" w:cs="Arial" w:eastAsia="Arial" w:hAnsi="Arial"/>
          <w:sz w:val="18"/>
          <w:szCs w:val="18"/>
          <w:color w:val="auto"/>
        </w:rPr>
        <w:t xml:space="preserve">On July 16, 2021, the Company entered into a settlement agreement (the “Settlement Agreement”) with Frank Darabont, Ferenc, Inc., Darkwoods Productions, Inc., and Creative Artists Agency, LLC (together, the "Plaintiffs") in actions brought in connection with Frank Darabont’s rendering services as a writer, director and producer of the television series entitled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The Settlement Agreement provided for a cash payment of $200 million (the “Settlement Payment”) to the Plaintiffs and future revenue sharing related to certain future streaming exhibition of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and </w:t>
      </w:r>
      <w:r>
        <w:rPr>
          <w:rFonts w:ascii="Arial" w:cs="Arial" w:eastAsia="Arial" w:hAnsi="Arial"/>
          <w:sz w:val="18"/>
          <w:szCs w:val="18"/>
          <w:i w:val="1"/>
          <w:iCs w:val="1"/>
          <w:color w:val="auto"/>
        </w:rPr>
        <w:t>Fear The Walking Dead</w:t>
      </w:r>
      <w:r>
        <w:rPr>
          <w:rFonts w:ascii="Arial" w:cs="Arial" w:eastAsia="Arial" w:hAnsi="Arial"/>
          <w:sz w:val="18"/>
          <w:szCs w:val="18"/>
          <w:color w:val="auto"/>
        </w:rPr>
        <w:t xml:space="preserve">. With regard to the Settlement Payment, the Company recorded a charge of $143.0 million in the second quarter of 2021, included in Impairment and other charges in consideration for the extinguishment of Plaintiffs’ rights to any compensation in connection with </w:t>
      </w:r>
      <w:r>
        <w:rPr>
          <w:rFonts w:ascii="Arial" w:cs="Arial" w:eastAsia="Arial" w:hAnsi="Arial"/>
          <w:sz w:val="18"/>
          <w:szCs w:val="18"/>
          <w:i w:val="1"/>
          <w:iCs w:val="1"/>
          <w:color w:val="auto"/>
        </w:rPr>
        <w:t>The Walking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Dead </w:t>
      </w:r>
      <w:r>
        <w:rPr>
          <w:rFonts w:ascii="Arial" w:cs="Arial" w:eastAsia="Arial" w:hAnsi="Arial"/>
          <w:sz w:val="18"/>
          <w:szCs w:val="18"/>
          <w:color w:val="auto"/>
        </w:rPr>
        <w:t>and any related programs and the dismissal of the actions with prejudice, which amount is net of $57.0 million of ordinary course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participations.</w:t>
      </w:r>
    </w:p>
    <w:p>
      <w:pPr>
        <w:spacing w:after="0" w:line="68" w:lineRule="exact"/>
        <w:rPr>
          <w:sz w:val="20"/>
          <w:szCs w:val="20"/>
          <w:color w:val="auto"/>
        </w:rPr>
      </w:pPr>
    </w:p>
    <w:p>
      <w:pPr>
        <w:jc w:val="both"/>
        <w:ind w:left="80" w:firstLine="567"/>
        <w:spacing w:after="0" w:line="258" w:lineRule="auto"/>
        <w:rPr>
          <w:sz w:val="20"/>
          <w:szCs w:val="20"/>
          <w:color w:val="auto"/>
        </w:rPr>
      </w:pPr>
      <w:r>
        <w:rPr>
          <w:rFonts w:ascii="Arial" w:cs="Arial" w:eastAsia="Arial" w:hAnsi="Arial"/>
          <w:sz w:val="16"/>
          <w:szCs w:val="16"/>
          <w:color w:val="auto"/>
        </w:rPr>
        <w:t>The remaining $16.1 million for the six months ended June 30, 2021 related to the Company's March 2021 spin-off of the live comedy venue and talent management businesses ("LiveCo") of Levity Entertainment Group, LLC. In connection with the transaction, the Company effectively exchanged all of its rights and interests in LiveCo for the release of our obligations, principally related to leases. As a result of this divestiture, the Company recognized a loss on the disposal of $16.1 million reflecting the net assets transferred (consisting of property and equipment, lease right-of-use assets and intangibles, partially offset by lease and other obligations), which is included in Impairment and other charges. The Company retained its interest in the production services business of Levity Entertainment Group, LLC, which was renamed 25/7 Media Holdings LLC ("25/7 Media") following the spin-off.</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and other related charges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restructuring and other related charges for the three and six months ended June 30, 2022.</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Restructuring and other related charges of $0.2 million for the three months ended June 30, 2021 are associated with the restructuring plan announced in November 2020.</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Restructuring and other related charges of $8.8 million for the six months ended June 30, 2021 consisted of $4.3 million of severance costs associated with the restructuring plan announced in November 2020 and $4.5 million at AMCNI related to the termination of distribution in certain international territories.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2022 vs. 2021</w:t>
      </w:r>
    </w:p>
    <w:p>
      <w:pPr>
        <w:spacing w:after="0" w:line="11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increase in operating income was primarily attributable to decreases in impairment and other charges of $142.9 million and technical and operating expenses of $13.1 million, partially offset by a decrease in revenues of $33.4 million and an increase in selling, general and administrative expenses of $33.2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Six months ended June 30, 2022 vs. 2021</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operating income was primarily attributable to decreases in impairment and other charges, technical and operating expenses, and restructuring and other related charges of $159.0 million, $9.4 million and $8.8 million, respectively, partially offset by increases in selling, general and administrative expenses of $72.3 million and a decrease in revenues of $13.0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2022 vs. 2021</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interest expense, net was primarily due to higher interest rates on our Term Loan A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2022 vs. 2021</w:t>
      </w:r>
    </w:p>
    <w:p>
      <w:pPr>
        <w:spacing w:after="0" w:line="11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decrease in interest expense, net was primarily due to lower average daily balances and the refinancing of a portion of our outstanding Senior Notes at a lower interest rate in the first six months of 2021, partially offset by higher interest rates on our Term Loan A Facility.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on extinguishment of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loss on extinguishment of debt for the three and six months ended June 30, 2022.</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2021, we redeemed (i) the remaining $400 million principal amount of our 4.75% senior notes due December 2022 and (ii) $600 million principal amount of our 5.00% senior notes due April 2024. In connection with the redemptions, we incurred a loss on extinguishment of debt for the quarter ended March 31, 2021 of $22.1 million representing a redemption premium on the 5.00% senior notes due 2024, and the write-off of a portion of the unamortized discount and deferred financing costs related to both issuances.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Miscellaneous,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2022 vs. 2021</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decrease in miscellaneous, net was primarily related to the impact of a $12.3 million gain recorded in the prior period in connection with the Company's acquisition of the remaining 50% interest in an equity method investment. The remaining decrease primarily relates to the impact of lower net gains from the sale of certain marketable equity securities, partially offset by a favorable variance in the foreign currency remeasurement of monetary assets and liabilities (principally intercompany loans) that are denominated in currencies other than the underlying functional currency of the applicable entity.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2022 vs. 2021</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decrease in miscellaneous, net was primarily related to the impact of a $12.3 million gain recorded in the prior year in connection with the Company's acquisition of the remaining 50% interest in an equity method investment. The remaining decrease primarily relates to an unfavorable variance in the foreign currency remeasurement of monetary assets and liabilities (principally intercompany loans) that are denominated in currencies other than the underlying functional currency of the applicable entity, partially offset by the impact of higher net gains from the sale of certain marketable equity securities.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expense</w:t>
      </w:r>
    </w:p>
    <w:p>
      <w:pPr>
        <w:spacing w:after="0" w:line="10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For the three months ended June 30, 2022, income tax expense was $33.0 million representing an effective tax rate of 27%. The items resulting in variances from the federal statutory rate of 21% primarily consist of state and local income tax expense and tax expense for an increase in the valuation allowance for foreign taxes. For the three months ended June 30, 2021, income tax expense was $11.3 million representing an effective tax rate of 21%, which was equal to the federal statutory rate. The effective tax rate was impacted by state and local income tax expense and tax expense for an increase in valuation allowances for foreign taxes and U.S. foreign tax, partially offset by a tax benefit from foreign operations.</w:t>
      </w:r>
    </w:p>
    <w:p>
      <w:pPr>
        <w:spacing w:after="0" w:line="67"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For the six months ended June 30, 2022, income tax expense was $74.7 million representing an effective tax rate of 27%. The items resulting in variances from the federal statutory rate of 21% primarily consist of state and local income tax expense and tax expense for an increase in the valuation allowance for foreign taxes. For the six months ended June 30, 2021, income tax expense was $37.2 million representing an effective tax rate of 21%, which was equal to the federal statutory rate. The effective tax rate was impacted by a discrete tax benefit for excess tax benefits related to stock compensation, partially offset by state and local income tax expense.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ind w:left="500"/>
        <w:spacing w:after="0"/>
        <w:rPr>
          <w:sz w:val="20"/>
          <w:szCs w:val="20"/>
          <w:color w:val="auto"/>
        </w:rPr>
      </w:pPr>
      <w:r>
        <w:rPr>
          <w:rFonts w:ascii="Arial" w:cs="Arial" w:eastAsia="Arial" w:hAnsi="Arial"/>
          <w:sz w:val="18"/>
          <w:szCs w:val="18"/>
          <w:b w:val="1"/>
          <w:bCs w:val="1"/>
          <w:color w:val="auto"/>
        </w:rPr>
        <w:t>Segment Results of Operations</w:t>
      </w:r>
    </w:p>
    <w:p>
      <w:pPr>
        <w:spacing w:after="0" w:line="10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segment adjusted operating income as the measure of profit or loss for our operating segments. See Non-GAAP Financial Measures section below for our definition of Adjusted Operating Income and a reconciliation from Operating Income to Adjusted Operating Income on a segment and consolidated basis.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Domestic Operations segment results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w w:val="93"/>
              </w:rPr>
              <w:t>Three Months Ended 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ind w:left="740"/>
              <w:spacing w:after="0"/>
              <w:rPr>
                <w:sz w:val="20"/>
                <w:szCs w:val="20"/>
                <w:color w:val="auto"/>
              </w:rPr>
            </w:pPr>
            <w:r>
              <w:rPr>
                <w:rFonts w:ascii="Arial" w:cs="Arial" w:eastAsia="Arial" w:hAnsi="Arial"/>
                <w:sz w:val="14"/>
                <w:szCs w:val="14"/>
                <w:b w:val="1"/>
                <w:bCs w:val="1"/>
                <w:color w:val="auto"/>
                <w:w w:val="95"/>
              </w:rPr>
              <w:t>Six Months Ended 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347,024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343,056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690,772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661,888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133,680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4000" w:type="dxa"/>
            <w:vAlign w:val="bottom"/>
          </w:tcPr>
          <w:p>
            <w:pPr>
              <w:ind w:left="480"/>
              <w:spacing w:after="0"/>
              <w:rPr>
                <w:sz w:val="20"/>
                <w:szCs w:val="20"/>
                <w:color w:val="auto"/>
              </w:rPr>
            </w:pPr>
            <w:r>
              <w:rPr>
                <w:rFonts w:ascii="Arial" w:cs="Arial" w:eastAsia="Arial" w:hAnsi="Arial"/>
                <w:sz w:val="18"/>
                <w:szCs w:val="18"/>
                <w:color w:val="auto"/>
              </w:rPr>
              <w:t>Distribution and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426,733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824,452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801,560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Advertising</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402,193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000" w:type="dxa"/>
            <w:vAlign w:val="bottom"/>
          </w:tcPr>
          <w:p>
            <w:pPr>
              <w:ind w:left="680"/>
              <w:spacing w:after="0"/>
              <w:rPr>
                <w:sz w:val="20"/>
                <w:szCs w:val="20"/>
                <w:color w:val="auto"/>
              </w:rPr>
            </w:pPr>
            <w:r>
              <w:rPr>
                <w:rFonts w:ascii="Arial" w:cs="Arial" w:eastAsia="Arial" w:hAnsi="Arial"/>
                <w:sz w:val="18"/>
                <w:szCs w:val="18"/>
                <w:color w:val="auto"/>
              </w:rPr>
              <w:t>Total revenues,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621,102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639,015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1,226,645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1,212,984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Technical and operating (excluding depreciation and</w:t>
            </w: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(253,699)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(268,399)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(481,806)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(480,360)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amortization)</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(161,975)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(120,276)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(325,073)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(244,386)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3"/>
              </w:rPr>
              <w:t>n/m</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23"/>
        </w:trPr>
        <w:tc>
          <w:tcPr>
            <w:tcW w:w="4000" w:type="dxa"/>
            <w:vAlign w:val="bottom"/>
          </w:tcPr>
          <w:p>
            <w:pPr>
              <w:ind w:left="360"/>
              <w:spacing w:after="0"/>
              <w:rPr>
                <w:sz w:val="20"/>
                <w:szCs w:val="20"/>
                <w:color w:val="auto"/>
              </w:rPr>
            </w:pPr>
            <w:r>
              <w:rPr>
                <w:rFonts w:ascii="Arial" w:cs="Arial" w:eastAsia="Arial" w:hAnsi="Arial"/>
                <w:sz w:val="18"/>
                <w:szCs w:val="18"/>
                <w:color w:val="auto"/>
              </w:rPr>
              <w:t>Segment adjusted operating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209,489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428,708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492,673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720" w:hanging="208"/>
        <w:spacing w:after="0"/>
        <w:tabs>
          <w:tab w:leader="none" w:pos="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Technical and operating excludes cloud computing amortization</w:t>
      </w:r>
    </w:p>
    <w:p>
      <w:pPr>
        <w:spacing w:after="0" w:line="28" w:lineRule="exact"/>
        <w:rPr>
          <w:rFonts w:ascii="Arial" w:cs="Arial" w:eastAsia="Arial" w:hAnsi="Arial"/>
          <w:sz w:val="14"/>
          <w:szCs w:val="14"/>
          <w:color w:val="auto"/>
        </w:rPr>
      </w:pPr>
    </w:p>
    <w:p>
      <w:pPr>
        <w:ind w:left="720" w:hanging="208"/>
        <w:spacing w:after="0"/>
        <w:tabs>
          <w:tab w:leader="none" w:pos="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Selling, general and administrative excludes 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2022 vs. 2021</w:t>
      </w:r>
    </w:p>
    <w:p>
      <w:pPr>
        <w:spacing w:after="0" w:line="11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Subscription revenues increased primarily due to a 19.7% increase in streaming revenues driven by an increase in subscribers to our streaming services, partially offset by a mid single-digit decline in affiliate revenue. Affiliate revenue decreased due to declines in the linear subscriber universe, partially offset by contractual rate increases. Excluding the one-time beneficial impact of a distribution agreement renewal in the prior year, subscription revenues increased 5.5%, including an increase in streaming revenues of 35.7%. Aggregate paid subscribers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to our streaming services increased 46% to 10.8 million at June 30, 2022 compared to June 30, 2021.</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Content licensing and other revenues decreased primarily due to the expected timing of deliveries in the period.</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Advertising revenues decreased primarily due to lower linear ratings, partially offset by higher year-over-year AMC original programming impressions, pricing and digital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2022 vs. 2021</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Subscription revenues increased primarily due to a 29.5% increase in streaming revenues driven by an increase in subscribers to our streaming services, partially offset by a mid single-digit decline in affiliate revenue. Affiliate revenue decreased due to declines in the linear subscriber universe, partially offset by contractual rate increases. Excluding the one-time beneficial impact of a distribution agreement renewal in the prior year, subscription revenues increased 6.6%, including an increase in streaming revenues of 38.8%.</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Content licensing and other revenues decreased primarily due to the expected timing of deliveries in the period.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Advertising revenues decreased primarily due to lower linear ratings, partially offset by higher pricing and digital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14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09" w:lineRule="exact"/>
        <w:rPr>
          <w:sz w:val="20"/>
          <w:szCs w:val="20"/>
          <w:color w:val="auto"/>
        </w:rPr>
      </w:pPr>
    </w:p>
    <w:p>
      <w:pPr>
        <w:ind w:right="120" w:firstLine="8"/>
        <w:spacing w:after="0" w:line="194" w:lineRule="auto"/>
        <w:tabs>
          <w:tab w:leader="none" w:pos="94" w:val="left"/>
        </w:tabs>
        <w:numPr>
          <w:ilvl w:val="0"/>
          <w:numId w:val="11"/>
        </w:numPr>
        <w:rPr>
          <w:rFonts w:ascii="Arial" w:cs="Arial" w:eastAsia="Arial" w:hAnsi="Arial"/>
          <w:sz w:val="23"/>
          <w:szCs w:val="23"/>
          <w:color w:val="auto"/>
          <w:vertAlign w:val="superscript"/>
        </w:rPr>
      </w:pPr>
      <w:r>
        <w:rPr>
          <w:rFonts w:ascii="Arial" w:cs="Arial" w:eastAsia="Arial" w:hAnsi="Arial"/>
          <w:sz w:val="14"/>
          <w:szCs w:val="14"/>
          <w:color w:val="auto"/>
        </w:rPr>
        <w:t>A paid subscription is defined as a subscription to a direct-to-consumer service or a subscription received through distributor arrangements, in which we receive a fee for the distribution of our streaming services, and includes an estimate of subscribers converting to paying status in the subsequent period based on historical conversion percentages.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2022 vs. 2021</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Technical and operating expenses (excluding depreciation and amortization) decreased primarily due to a decrease in other direct programming costs, partially offset by an increase in program rights amortization.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2022 vs. 2021</w:t>
      </w:r>
    </w:p>
    <w:p>
      <w:pPr>
        <w:spacing w:after="0" w:line="11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Technical and operating expenses (excluding depreciation and amortization) increased primarily due to an increase in program rights amortization mainly attributable to an increase in the number of original programs, partially offset by a decrease in other direct programming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2022 vs. 2021</w:t>
      </w:r>
    </w:p>
    <w:p>
      <w:pPr>
        <w:spacing w:after="0" w:line="11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Selling, general and administrative expenses (excluding share-based compensation expenses) increased primarily due to higher strategic marketing and subscriber acquisition expenses related to our streaming services and linear networks.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2022 vs. 2021</w:t>
      </w:r>
    </w:p>
    <w:p>
      <w:pPr>
        <w:spacing w:after="0" w:line="11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Selling, general and administrative expenses (excluding share-based compensation expenses) increased primarily due to higher strategic marketing and subscriber acquisition expenses related to our streaming services and linear networks, as well as higher employee related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adjusted operating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2022 vs. 2021</w:t>
      </w:r>
    </w:p>
    <w:p>
      <w:pPr>
        <w:spacing w:after="0" w:line="104" w:lineRule="exact"/>
        <w:rPr>
          <w:sz w:val="20"/>
          <w:szCs w:val="20"/>
          <w:color w:val="auto"/>
        </w:rPr>
      </w:pPr>
    </w:p>
    <w:p>
      <w:pPr>
        <w:ind w:firstLine="648"/>
        <w:spacing w:after="0" w:line="291" w:lineRule="auto"/>
        <w:rPr>
          <w:sz w:val="20"/>
          <w:szCs w:val="20"/>
          <w:color w:val="auto"/>
        </w:rPr>
      </w:pPr>
      <w:r>
        <w:rPr>
          <w:rFonts w:ascii="Arial" w:cs="Arial" w:eastAsia="Arial" w:hAnsi="Arial"/>
          <w:sz w:val="17"/>
          <w:szCs w:val="17"/>
          <w:color w:val="auto"/>
        </w:rPr>
        <w:t>The decrease in segment adjusted operating income was primarily attributable to an increase in selling, general and administrative expenses of $41.7 million and a decrease in revenues, net of $17.9 million, partially offset by a decrease in technical and operating expenses of $14.7 million.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2022 vs. 2021</w:t>
      </w:r>
    </w:p>
    <w:p>
      <w:pPr>
        <w:spacing w:after="0" w:line="10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decrease in segment adjusted operating income was primarily attributable to an increase in selling, general and administrative expenses of $80.7 million, partially offset by an increase in revenues, net of $13.7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and Other</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w w:val="94"/>
              </w:rPr>
              <w:t>Three Months Ended 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w w:val="97"/>
              </w:rPr>
              <w:t>Six Months Ended 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56,702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62,924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117,114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125,952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3960" w:type="dxa"/>
            <w:vAlign w:val="bottom"/>
          </w:tcPr>
          <w:p>
            <w:pPr>
              <w:ind w:left="480"/>
              <w:spacing w:after="0"/>
              <w:rPr>
                <w:sz w:val="20"/>
                <w:szCs w:val="20"/>
                <w:color w:val="auto"/>
              </w:rPr>
            </w:pPr>
            <w:r>
              <w:rPr>
                <w:rFonts w:ascii="Arial" w:cs="Arial" w:eastAsia="Arial" w:hAnsi="Arial"/>
                <w:sz w:val="18"/>
                <w:szCs w:val="18"/>
                <w:color w:val="auto"/>
              </w:rPr>
              <w:t>Distribution and other</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104,037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112,310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191,503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211,906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3960" w:type="dxa"/>
            <w:vAlign w:val="bottom"/>
          </w:tcPr>
          <w:p>
            <w:pPr>
              <w:ind w:left="680"/>
              <w:spacing w:after="0"/>
              <w:rPr>
                <w:sz w:val="20"/>
                <w:szCs w:val="20"/>
                <w:color w:val="auto"/>
              </w:rPr>
            </w:pPr>
            <w:r>
              <w:rPr>
                <w:rFonts w:ascii="Arial" w:cs="Arial" w:eastAsia="Arial" w:hAnsi="Arial"/>
                <w:sz w:val="18"/>
                <w:szCs w:val="18"/>
                <w:color w:val="auto"/>
              </w:rPr>
              <w:t>Total revenues,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125,771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138,277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235,622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259,444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75"/>
        </w:trPr>
        <w:tc>
          <w:tcPr>
            <w:tcW w:w="3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Technical and operating (excluding depreciation and</w:t>
            </w: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(75,701)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(73,795)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(135,396)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(150,104)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ind w:right="92"/>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(60,672)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ind w:right="9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Segment adjusted operating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ind w:left="520"/>
        <w:spacing w:after="0"/>
        <w:rPr>
          <w:sz w:val="20"/>
          <w:szCs w:val="20"/>
          <w:color w:val="auto"/>
        </w:rPr>
      </w:pPr>
      <w:r>
        <w:rPr>
          <w:rFonts w:ascii="Arial" w:cs="Arial" w:eastAsia="Arial" w:hAnsi="Arial"/>
          <w:sz w:val="14"/>
          <w:szCs w:val="14"/>
          <w:color w:val="auto"/>
        </w:rPr>
        <w:t>(1) Selling, general and administrative excludes 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-92710</wp:posOffset>
            </wp:positionV>
            <wp:extent cx="15259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2590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-92710</wp:posOffset>
            </wp:positionV>
            <wp:extent cx="15087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2022 vs. 2021</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Subscription revenues decreased primarily due to the unfavorable impact of foreign currency translation at AMCNI.</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Content licensing and other revenues decreased primarily due to timing of productions at 25/7 Media.</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Advertising revenues decreased primarily due to the unfavorable impact of foreign currency translation.</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Six months ended June 30, 2022 vs. 2021</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Subscription revenues decreased primarily due to the unfavorable impact of foreign currency translation at AMCNI.</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Content licensing and other revenues decreased primarily due to timing of productions at 25/7 Media.</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Advertising revenues decreased primarily due to the unfavorable impact of foreign currency translation and lower ratings at AMCNI.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2022 vs. 2021</w:t>
      </w:r>
    </w:p>
    <w:p>
      <w:pPr>
        <w:spacing w:after="0" w:line="10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Technical and operating expenses (excluding depreciation and amortization) increased due to an increase in other direct programming costs at AMCNI, partially offset by the favorable impact of foreign currency translation, and a decrease due to the timing of productions at 25/7 Media.</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2022 vs. 2021</w:t>
      </w:r>
    </w:p>
    <w:p>
      <w:pPr>
        <w:spacing w:after="0" w:line="1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Technical and operating expenses (excluding depreciation and amortization) decreased due to the favorable impact of foreign currency translation and lower program rights amortization at AMCNI, as well as due to the timing of productions at 25/7 Media.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2022 vs. 2021</w:t>
      </w:r>
    </w:p>
    <w:p>
      <w:pPr>
        <w:spacing w:after="0" w:line="10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Selling, general and administrative expenses (excluding share-based compensation expenses) decreased primarily related to lower selling expenses and the favorable impact of foreign currency translation at AMCNI.</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2022 vs. 2021</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Selling, general and administrative expenses (excluding share-based compensation expenses) decreased primarily related to the favorable impact of foreign currency translation at AMCNI and a decrease in administrative expenses at 25/7 Media related to the March 2021 spin off of the comedy 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adjusted 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2022 vs. 2021</w:t>
      </w:r>
    </w:p>
    <w:p>
      <w:pPr>
        <w:spacing w:after="0" w:line="104"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The decrease in segment adjusted operating income was primarily attributable to a decrease in revenues, net of $12.5 million and an increase in technical and operating expenses of $1.9 million, partially offset by a decrease in selling, general and administrative expenses of $8.5 million.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2022 vs. 2021</w:t>
      </w:r>
    </w:p>
    <w:p>
      <w:pPr>
        <w:spacing w:after="0" w:line="10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The decrease in segment adjusted operating income was primarily attributable to a decrease in revenues, net of $23.8 million, partially offset by decreases in technical and operating expenses of $14.7 million and selling, general and administrative expenses of $2.6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Inter-segment Elimination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Corporate and Inter-segment Eliminations segment results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w w:val="94"/>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w w:val="93"/>
              </w:rPr>
              <w:t>Six Months Ended 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w w:val="93"/>
              </w:rPr>
              <w:t>Technical and operating (excluding depreciation and</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3,811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13.7 %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7,383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11,051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vMerge w:val="restart"/>
          </w:tcPr>
          <w:p>
            <w:pPr>
              <w:jc w:val="right"/>
              <w:ind w:right="94"/>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line="230" w:lineRule="exact"/>
              <w:rPr>
                <w:sz w:val="20"/>
                <w:szCs w:val="20"/>
                <w:color w:val="auto"/>
              </w:rPr>
            </w:pPr>
            <w:r>
              <w:rPr>
                <w:rFonts w:ascii="Arial" w:cs="Arial" w:eastAsia="Arial" w:hAnsi="Arial"/>
                <w:sz w:val="18"/>
                <w:szCs w:val="18"/>
                <w:color w:val="auto"/>
              </w:rPr>
              <w:t>amortization)</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3940" w:type="dxa"/>
            <w:vAlign w:val="bottom"/>
          </w:tcPr>
          <w:p>
            <w:pPr>
              <w:ind w:left="360"/>
              <w:spacing w:after="0"/>
              <w:rPr>
                <w:sz w:val="20"/>
                <w:szCs w:val="20"/>
                <w:color w:val="auto"/>
              </w:rPr>
            </w:pPr>
            <w:r>
              <w:rPr>
                <w:rFonts w:ascii="Arial" w:cs="Arial" w:eastAsia="Arial" w:hAnsi="Arial"/>
                <w:sz w:val="18"/>
                <w:szCs w:val="18"/>
                <w:color w:val="auto"/>
              </w:rPr>
              <w:t>Segment adjusted operating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720" w:hanging="208"/>
        <w:spacing w:after="0"/>
        <w:tabs>
          <w:tab w:leader="none" w:pos="7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Technical and operating excludes cloud computing amortization</w:t>
      </w:r>
    </w:p>
    <w:p>
      <w:pPr>
        <w:spacing w:after="0" w:line="28" w:lineRule="exact"/>
        <w:rPr>
          <w:rFonts w:ascii="Arial" w:cs="Arial" w:eastAsia="Arial" w:hAnsi="Arial"/>
          <w:sz w:val="14"/>
          <w:szCs w:val="14"/>
          <w:color w:val="auto"/>
        </w:rPr>
      </w:pPr>
    </w:p>
    <w:p>
      <w:pPr>
        <w:ind w:left="720" w:hanging="208"/>
        <w:spacing w:after="0"/>
        <w:tabs>
          <w:tab w:leader="none" w:pos="7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Selling, general and administrative excludes share-based compensation expenses and cloud computing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 net</w:t>
      </w:r>
    </w:p>
    <w:p>
      <w:pPr>
        <w:spacing w:after="0" w:line="104"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Revenue eliminations are primarily related to inter-segment licensing revenues recognized between the Domestic Operations and International and Other segments.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Technical and operating eliminations are primarily related to inter-segment programming amortization recognized between the Domestic Operations and International and Other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04"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Corporate overhead costs not allocated to the segments include such costs as executive salaries and benefits, costs of maintaining corporate headquarters, facilities and common support functions (such as human resources, legal, finance, strategic planning and information technology).</w:t>
      </w:r>
    </w:p>
    <w:p>
      <w:pPr>
        <w:spacing w:after="0" w:line="16"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Selling, general and administrative expenses for the three and six months ended June 30, 2022 compared to 2021 increased primarily due to expenses associated with technology investments.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share-based compensation expenses or benefit, depreciation and amortization, impairment and other charges (including gains or losses on sales or dispositions of businesses), restructuring and other related charges, cloud computing amortization and including the Company’s proportionate share of adjusted operating income (loss) from majority-owned equity method investees. From time to time, we exclude the impact of certain events, gains, losses or other charges (such as significant legal settlements) from AOI that affect our operating performance.</w:t>
      </w:r>
    </w:p>
    <w:p>
      <w:pPr>
        <w:spacing w:after="0" w:line="70"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operating income (loss) to AOI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Three Months Ended June 30, 2022</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gridSpan w:val="3"/>
            <w:vMerge w:val="restart"/>
          </w:tcPr>
          <w:p>
            <w:pPr>
              <w:ind w:left="100"/>
              <w:spacing w:after="0"/>
              <w:rPr>
                <w:sz w:val="20"/>
                <w:szCs w:val="20"/>
                <w:color w:val="auto"/>
              </w:rPr>
            </w:pPr>
            <w:r>
              <w:rPr>
                <w:rFonts w:ascii="Arial" w:cs="Arial" w:eastAsia="Arial" w:hAnsi="Arial"/>
                <w:sz w:val="16"/>
                <w:szCs w:val="16"/>
                <w:color w:val="auto"/>
              </w:rPr>
              <w:t>Domestic Operations</w:t>
            </w:r>
          </w:p>
        </w:tc>
        <w:tc>
          <w:tcPr>
            <w:tcW w:w="1700" w:type="dxa"/>
            <w:vAlign w:val="bottom"/>
            <w:gridSpan w:val="3"/>
            <w:vMerge w:val="restart"/>
          </w:tcPr>
          <w:p>
            <w:pPr>
              <w:ind w:left="40"/>
              <w:spacing w:after="0"/>
              <w:rPr>
                <w:sz w:val="20"/>
                <w:szCs w:val="20"/>
                <w:color w:val="auto"/>
              </w:rPr>
            </w:pPr>
            <w:r>
              <w:rPr>
                <w:rFonts w:ascii="Arial" w:cs="Arial" w:eastAsia="Arial" w:hAnsi="Arial"/>
                <w:sz w:val="16"/>
                <w:szCs w:val="16"/>
                <w:color w:val="auto"/>
              </w:rPr>
              <w:t>International and Other</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1"/>
              </w:rPr>
              <w:t>Corporate / Inter-</w:t>
            </w:r>
          </w:p>
        </w:tc>
        <w:tc>
          <w:tcPr>
            <w:tcW w:w="240" w:type="dxa"/>
            <w:vAlign w:val="bottom"/>
          </w:tcPr>
          <w:p>
            <w:pPr>
              <w:spacing w:after="0"/>
              <w:rPr>
                <w:sz w:val="14"/>
                <w:szCs w:val="14"/>
                <w:color w:val="auto"/>
              </w:rPr>
            </w:pPr>
          </w:p>
        </w:tc>
        <w:tc>
          <w:tcPr>
            <w:tcW w:w="1360" w:type="dxa"/>
            <w:vAlign w:val="bottom"/>
            <w:vMerge w:val="restart"/>
          </w:tcPr>
          <w:p>
            <w:pPr>
              <w:jc w:val="right"/>
              <w:ind w:right="27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segment Eliminations</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 (loss)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188,812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153,203</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Arial" w:cs="Arial" w:eastAsia="Arial" w:hAnsi="Arial"/>
                <w:sz w:val="16"/>
                <w:szCs w:val="16"/>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8,683</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27,231</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Arial" w:cs="Arial" w:eastAsia="Arial" w:hAnsi="Arial"/>
                <w:sz w:val="16"/>
                <w:szCs w:val="16"/>
                <w:color w:val="auto"/>
              </w:rPr>
              <w:t>Cloud computing amortization</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Majority owned equity investees AOI</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23"/>
        </w:trPr>
        <w:tc>
          <w:tcPr>
            <w:tcW w:w="4560" w:type="dxa"/>
            <w:vAlign w:val="bottom"/>
          </w:tcPr>
          <w:p>
            <w:pPr>
              <w:ind w:left="180"/>
              <w:spacing w:after="0"/>
              <w:rPr>
                <w:sz w:val="20"/>
                <w:szCs w:val="20"/>
                <w:color w:val="auto"/>
              </w:rPr>
            </w:pPr>
            <w:r>
              <w:rPr>
                <w:rFonts w:ascii="Arial" w:cs="Arial" w:eastAsia="Arial" w:hAnsi="Arial"/>
                <w:sz w:val="16"/>
                <w:szCs w:val="16"/>
                <w:color w:val="auto"/>
              </w:rPr>
              <w:t>Adjusted operating income (loss)</w:t>
            </w: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209,489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(33,134)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195,542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Three Months Ended June 30, 2021</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gridSpan w:val="3"/>
            <w:vMerge w:val="restart"/>
          </w:tcPr>
          <w:p>
            <w:pPr>
              <w:ind w:left="100"/>
              <w:spacing w:after="0"/>
              <w:rPr>
                <w:sz w:val="20"/>
                <w:szCs w:val="20"/>
                <w:color w:val="auto"/>
              </w:rPr>
            </w:pPr>
            <w:r>
              <w:rPr>
                <w:rFonts w:ascii="Arial" w:cs="Arial" w:eastAsia="Arial" w:hAnsi="Arial"/>
                <w:sz w:val="16"/>
                <w:szCs w:val="16"/>
                <w:color w:val="auto"/>
              </w:rPr>
              <w:t>Domestic Operations</w:t>
            </w:r>
          </w:p>
        </w:tc>
        <w:tc>
          <w:tcPr>
            <w:tcW w:w="1700" w:type="dxa"/>
            <w:vAlign w:val="bottom"/>
            <w:gridSpan w:val="3"/>
            <w:vMerge w:val="restart"/>
          </w:tcPr>
          <w:p>
            <w:pPr>
              <w:ind w:left="40"/>
              <w:spacing w:after="0"/>
              <w:rPr>
                <w:sz w:val="20"/>
                <w:szCs w:val="20"/>
                <w:color w:val="auto"/>
              </w:rPr>
            </w:pPr>
            <w:r>
              <w:rPr>
                <w:rFonts w:ascii="Arial" w:cs="Arial" w:eastAsia="Arial" w:hAnsi="Arial"/>
                <w:sz w:val="16"/>
                <w:szCs w:val="16"/>
                <w:color w:val="auto"/>
              </w:rPr>
              <w:t>International and Other</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1"/>
              </w:rPr>
              <w:t>Corporate / Inter-</w:t>
            </w:r>
          </w:p>
        </w:tc>
        <w:tc>
          <w:tcPr>
            <w:tcW w:w="240" w:type="dxa"/>
            <w:vAlign w:val="bottom"/>
          </w:tcPr>
          <w:p>
            <w:pPr>
              <w:spacing w:after="0"/>
              <w:rPr>
                <w:sz w:val="14"/>
                <w:szCs w:val="14"/>
                <w:color w:val="auto"/>
              </w:rPr>
            </w:pPr>
          </w:p>
        </w:tc>
        <w:tc>
          <w:tcPr>
            <w:tcW w:w="1360" w:type="dxa"/>
            <w:vAlign w:val="bottom"/>
            <w:vMerge w:val="restart"/>
          </w:tcPr>
          <w:p>
            <w:pPr>
              <w:jc w:val="right"/>
              <w:ind w:right="27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segment Eliminations</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 (loss)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88,116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68,256</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Arial" w:cs="Arial" w:eastAsia="Arial" w:hAnsi="Arial"/>
                <w:sz w:val="16"/>
                <w:szCs w:val="16"/>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16,262</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22,604</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Arial" w:cs="Arial" w:eastAsia="Arial" w:hAnsi="Arial"/>
                <w:sz w:val="16"/>
                <w:szCs w:val="16"/>
                <w:color w:val="auto"/>
              </w:rPr>
              <w:t>Restructuring and other related charges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Impairment and other charges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142,918</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Arial" w:cs="Arial" w:eastAsia="Arial" w:hAnsi="Arial"/>
                <w:sz w:val="16"/>
                <w:szCs w:val="16"/>
                <w:color w:val="auto"/>
              </w:rPr>
              <w:t>Cloud computing amortization</w:t>
            </w:r>
          </w:p>
        </w:tc>
        <w:tc>
          <w:tcPr>
            <w:tcW w:w="5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Majority owned equity investees AOI</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4560" w:type="dxa"/>
            <w:vAlign w:val="bottom"/>
          </w:tcPr>
          <w:p>
            <w:pPr>
              <w:ind w:left="180"/>
              <w:spacing w:after="0"/>
              <w:rPr>
                <w:sz w:val="20"/>
                <w:szCs w:val="20"/>
                <w:color w:val="auto"/>
              </w:rPr>
            </w:pPr>
            <w:r>
              <w:rPr>
                <w:rFonts w:ascii="Arial" w:cs="Arial" w:eastAsia="Arial" w:hAnsi="Arial"/>
                <w:sz w:val="16"/>
                <w:szCs w:val="16"/>
                <w:color w:val="auto"/>
              </w:rPr>
              <w:t>Adjusted operating income (loss)</w:t>
            </w: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250,140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(24,608)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250,637</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Six Months Ended June 30, 2022</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gridSpan w:val="3"/>
            <w:vMerge w:val="restart"/>
          </w:tcPr>
          <w:p>
            <w:pPr>
              <w:ind w:left="100"/>
              <w:spacing w:after="0"/>
              <w:rPr>
                <w:sz w:val="20"/>
                <w:szCs w:val="20"/>
                <w:color w:val="auto"/>
              </w:rPr>
            </w:pPr>
            <w:r>
              <w:rPr>
                <w:rFonts w:ascii="Arial" w:cs="Arial" w:eastAsia="Arial" w:hAnsi="Arial"/>
                <w:sz w:val="16"/>
                <w:szCs w:val="16"/>
                <w:color w:val="auto"/>
              </w:rPr>
              <w:t>Domestic Operations</w:t>
            </w:r>
          </w:p>
        </w:tc>
        <w:tc>
          <w:tcPr>
            <w:tcW w:w="1700" w:type="dxa"/>
            <w:vAlign w:val="bottom"/>
            <w:gridSpan w:val="3"/>
            <w:vMerge w:val="restart"/>
          </w:tcPr>
          <w:p>
            <w:pPr>
              <w:ind w:left="40"/>
              <w:spacing w:after="0"/>
              <w:rPr>
                <w:sz w:val="20"/>
                <w:szCs w:val="20"/>
                <w:color w:val="auto"/>
              </w:rPr>
            </w:pPr>
            <w:r>
              <w:rPr>
                <w:rFonts w:ascii="Arial" w:cs="Arial" w:eastAsia="Arial" w:hAnsi="Arial"/>
                <w:sz w:val="16"/>
                <w:szCs w:val="16"/>
                <w:color w:val="auto"/>
              </w:rPr>
              <w:t>International and Other</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1"/>
              </w:rPr>
              <w:t>Corporate / Inter-</w:t>
            </w:r>
          </w:p>
        </w:tc>
        <w:tc>
          <w:tcPr>
            <w:tcW w:w="240" w:type="dxa"/>
            <w:vAlign w:val="bottom"/>
          </w:tcPr>
          <w:p>
            <w:pPr>
              <w:spacing w:after="0"/>
              <w:rPr>
                <w:sz w:val="14"/>
                <w:szCs w:val="14"/>
                <w:color w:val="auto"/>
              </w:rPr>
            </w:pPr>
          </w:p>
        </w:tc>
        <w:tc>
          <w:tcPr>
            <w:tcW w:w="1360" w:type="dxa"/>
            <w:vAlign w:val="bottom"/>
            <w:vMerge w:val="restart"/>
          </w:tcPr>
          <w:p>
            <w:pPr>
              <w:jc w:val="right"/>
              <w:ind w:right="27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segment Eliminations</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 (loss)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387,334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327,880</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Arial" w:cs="Arial" w:eastAsia="Arial" w:hAnsi="Arial"/>
                <w:sz w:val="16"/>
                <w:szCs w:val="16"/>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16,812</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49,821</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Arial" w:cs="Arial" w:eastAsia="Arial" w:hAnsi="Arial"/>
                <w:sz w:val="16"/>
                <w:szCs w:val="16"/>
                <w:color w:val="auto"/>
              </w:rPr>
              <w:t>Cloud computing amortization</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Majority owned equity investees AOI</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0" w:type="dxa"/>
            <w:vAlign w:val="bottom"/>
          </w:tcPr>
          <w:p>
            <w:pPr>
              <w:spacing w:after="0"/>
              <w:rPr>
                <w:sz w:val="1"/>
                <w:szCs w:val="1"/>
                <w:color w:val="auto"/>
              </w:rPr>
            </w:pPr>
          </w:p>
        </w:tc>
      </w:tr>
      <w:tr>
        <w:trPr>
          <w:trHeight w:val="223"/>
        </w:trPr>
        <w:tc>
          <w:tcPr>
            <w:tcW w:w="4560" w:type="dxa"/>
            <w:vAlign w:val="bottom"/>
          </w:tcPr>
          <w:p>
            <w:pPr>
              <w:ind w:left="180"/>
              <w:spacing w:after="0"/>
              <w:rPr>
                <w:sz w:val="20"/>
                <w:szCs w:val="20"/>
                <w:color w:val="auto"/>
              </w:rPr>
            </w:pPr>
            <w:r>
              <w:rPr>
                <w:rFonts w:ascii="Arial" w:cs="Arial" w:eastAsia="Arial" w:hAnsi="Arial"/>
                <w:sz w:val="16"/>
                <w:szCs w:val="16"/>
                <w:color w:val="auto"/>
              </w:rPr>
              <w:t>Adjusted operating income (loss)</w:t>
            </w: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428,708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42,199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(64,181)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406,726</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3"/>
        </w:trPr>
        <w:tc>
          <w:tcPr>
            <w:tcW w:w="45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Six Months Ended June 30, 2021</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gridSpan w:val="3"/>
            <w:vMerge w:val="restart"/>
          </w:tcPr>
          <w:p>
            <w:pPr>
              <w:ind w:left="100"/>
              <w:spacing w:after="0"/>
              <w:rPr>
                <w:sz w:val="20"/>
                <w:szCs w:val="20"/>
                <w:color w:val="auto"/>
              </w:rPr>
            </w:pPr>
            <w:r>
              <w:rPr>
                <w:rFonts w:ascii="Arial" w:cs="Arial" w:eastAsia="Arial" w:hAnsi="Arial"/>
                <w:sz w:val="16"/>
                <w:szCs w:val="16"/>
                <w:color w:val="auto"/>
              </w:rPr>
              <w:t>Domestic Operations</w:t>
            </w:r>
          </w:p>
        </w:tc>
        <w:tc>
          <w:tcPr>
            <w:tcW w:w="1700" w:type="dxa"/>
            <w:vAlign w:val="bottom"/>
            <w:gridSpan w:val="3"/>
            <w:vMerge w:val="restart"/>
          </w:tcPr>
          <w:p>
            <w:pPr>
              <w:ind w:left="40"/>
              <w:spacing w:after="0"/>
              <w:rPr>
                <w:sz w:val="20"/>
                <w:szCs w:val="20"/>
                <w:color w:val="auto"/>
              </w:rPr>
            </w:pPr>
            <w:r>
              <w:rPr>
                <w:rFonts w:ascii="Arial" w:cs="Arial" w:eastAsia="Arial" w:hAnsi="Arial"/>
                <w:sz w:val="16"/>
                <w:szCs w:val="16"/>
                <w:color w:val="auto"/>
              </w:rPr>
              <w:t>International and Other</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1"/>
              </w:rPr>
              <w:t>Corporate / Inter-</w:t>
            </w:r>
          </w:p>
        </w:tc>
        <w:tc>
          <w:tcPr>
            <w:tcW w:w="240" w:type="dxa"/>
            <w:vAlign w:val="bottom"/>
          </w:tcPr>
          <w:p>
            <w:pPr>
              <w:spacing w:after="0"/>
              <w:rPr>
                <w:sz w:val="14"/>
                <w:szCs w:val="14"/>
                <w:color w:val="auto"/>
              </w:rPr>
            </w:pPr>
          </w:p>
        </w:tc>
        <w:tc>
          <w:tcPr>
            <w:tcW w:w="1360" w:type="dxa"/>
            <w:vAlign w:val="bottom"/>
            <w:vMerge w:val="restart"/>
          </w:tcPr>
          <w:p>
            <w:pPr>
              <w:jc w:val="right"/>
              <w:ind w:right="27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segment Eliminations</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 (loss)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304,575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237,964</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Arial" w:cs="Arial" w:eastAsia="Arial" w:hAnsi="Arial"/>
                <w:sz w:val="16"/>
                <w:szCs w:val="16"/>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14,633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29,708</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47,850</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Arial" w:cs="Arial" w:eastAsia="Arial" w:hAnsi="Arial"/>
                <w:sz w:val="16"/>
                <w:szCs w:val="16"/>
                <w:color w:val="auto"/>
              </w:rPr>
              <w:t>Restructuring and other related charges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8,780</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Impairment and other charges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158,973</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Arial" w:cs="Arial" w:eastAsia="Arial" w:hAnsi="Arial"/>
                <w:sz w:val="16"/>
                <w:szCs w:val="16"/>
                <w:color w:val="auto"/>
              </w:rPr>
              <w:t>Cloud computing amortization</w:t>
            </w:r>
          </w:p>
        </w:tc>
        <w:tc>
          <w:tcPr>
            <w:tcW w:w="5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Majority owned equity investees AOI</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23"/>
        </w:trPr>
        <w:tc>
          <w:tcPr>
            <w:tcW w:w="4560" w:type="dxa"/>
            <w:vAlign w:val="bottom"/>
          </w:tcPr>
          <w:p>
            <w:pPr>
              <w:ind w:left="180"/>
              <w:spacing w:after="0"/>
              <w:rPr>
                <w:sz w:val="20"/>
                <w:szCs w:val="20"/>
                <w:color w:val="auto"/>
              </w:rPr>
            </w:pPr>
            <w:r>
              <w:rPr>
                <w:rFonts w:ascii="Arial" w:cs="Arial" w:eastAsia="Arial" w:hAnsi="Arial"/>
                <w:sz w:val="16"/>
                <w:szCs w:val="16"/>
                <w:color w:val="auto"/>
              </w:rPr>
              <w:t>Adjusted operating income (loss)</w:t>
            </w: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492,673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48,668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(52,725)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488,616</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62"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Our primary source of cash typically includes cash flow from operations. Sources of cash also include amounts available under our revolving credit facility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37" w:name="page38"/>
    <w:bookmarkEnd w:id="37"/>
    <w:p>
      <w:pPr>
        <w:jc w:val="both"/>
        <w:ind w:firstLine="445"/>
        <w:spacing w:after="0" w:line="259" w:lineRule="auto"/>
        <w:rPr>
          <w:sz w:val="20"/>
          <w:szCs w:val="20"/>
          <w:color w:val="auto"/>
        </w:rPr>
      </w:pPr>
      <w:r>
        <w:rPr>
          <w:rFonts w:ascii="Arial" w:cs="Arial" w:eastAsia="Arial" w:hAnsi="Arial"/>
          <w:sz w:val="18"/>
          <w:szCs w:val="18"/>
          <w:color w:val="auto"/>
        </w:rPr>
        <w:t>Our Board of Directors previously authorized a program to repurchase up to $1.5 billion of our outstanding shares of common stock (the "Stock Repurchase Program"). The Stock Repurchase Program has no pre-established closing date and may be suspended or discontinued at any time. For the three and six months ended June 30, 2022, we did not repurchase any of our Class A common stock. As of June 30, 2022, we had $135.3 million of authorization remaining for repurchase under the Stock Repurchase Program.</w:t>
      </w:r>
    </w:p>
    <w:p>
      <w:pPr>
        <w:spacing w:after="0" w:line="79"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Our principal uses of cash include the production, acquisition and promotion of programming, technology investments, debt service and payments for income taxes. We continue to increase our investment in original programming, the funding of which generally occurs six to nine months in advance of a program's airing.</w:t>
      </w:r>
    </w:p>
    <w:p>
      <w:pPr>
        <w:spacing w:after="0" w:line="7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June 30, 2022, our consolidated cash and cash equivalents balance of $817.3 million includes approximately $290.9 million held by foreign subsidiaries. Most or all of the earnings of our foreign subsidiaries will continue to be permanently reinvested in foreign operations and we do not expect to incur any significant, additional taxes related to such amounts, nor have any been provided for in the current period.</w:t>
      </w:r>
    </w:p>
    <w:p>
      <w:pPr>
        <w:spacing w:after="0" w:line="76"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w:t>
      </w:r>
    </w:p>
    <w:p>
      <w:pPr>
        <w:spacing w:after="0" w:line="69"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Our level of debt could have important consequences on our business including, but not limited to, increasing our vulnerability to general adverse economic and industry conditions, limiting the availability of our cash flow to fund future programming investments, capital expenditures, working capital, business activities and other general corporate requirements and limiting our flexibility in planning for, or reacting to, changes in our business and the industry in which we operate. For information relating to our outstanding debt obligations, refer to Item 7, "Management's Discussion and Analysis of Financial Condition and Results of Operations - Debt Financing Agreements" of our 2021 Form 10-K.</w:t>
      </w:r>
    </w:p>
    <w:p>
      <w:pPr>
        <w:spacing w:after="0" w:line="6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addition, economic or market disruptions could lead to lower demand for our services, such as lower levels of advertising. These events would adversely impact our results of operations, cash flows and financial position.</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revolving credit facility was not drawn upon at June 30, 2022. The total undrawn revolver commitment is available to be drawn for our general corporate purposes.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AMC Networks was in compliance with all of its debt covenants as of June 30, 2022.</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Cash Flow Discussion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is a summary of cash flows provided by (used in) operating, investing and financing activities for the periods indicated:</w:t>
      </w:r>
    </w:p>
    <w:p>
      <w:pPr>
        <w:spacing w:after="0" w:line="210"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20320</wp:posOffset>
            </wp:positionV>
            <wp:extent cx="22974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2021</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131,167</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Cash (used in) provided by investing activities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(9,929)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42,000</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(66,486)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(64,226)</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 from operations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(59,241)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108,941</w:t>
            </w:r>
          </w:p>
        </w:tc>
      </w:tr>
      <w:tr>
        <w:trPr>
          <w:trHeight w:val="20"/>
        </w:trPr>
        <w:tc>
          <w:tcPr>
            <w:tcW w:w="7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Net cash provided by operating activities amounted to $17.2 million for the six months ended June 30, 2022 as compared to $131.2 million for the six months ended June 30, 2021. Net cash provided by operating activities for the six months ended June 30, 2022 primarily resulted from net income before amortization of program rights, depreciation and amortization, and other non-cash items of $710.4 million, a decrease in accounts receivable, trade of $58.4 million, and an increase in deferred revenue of $44.9 million, partially offset by payments for program rights of $667.5 million and a decrease in accounts payable, accrued liabilities and other liabilities of $68.7 million primarily related to lower employee related, and participations and residuals liabilities, as well as an increase in prepaid expenses and other assets of $50.9 million. Changes in all other assets and liabilities resulted in a net cash outflow of $9.5 million.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8" w:name="page39"/>
    <w:bookmarkEnd w:id="38"/>
    <w:p>
      <w:pPr>
        <w:jc w:val="both"/>
        <w:ind w:right="20" w:firstLine="445"/>
        <w:spacing w:after="0" w:line="259" w:lineRule="auto"/>
        <w:rPr>
          <w:sz w:val="20"/>
          <w:szCs w:val="20"/>
          <w:color w:val="auto"/>
        </w:rPr>
      </w:pPr>
      <w:r>
        <w:rPr>
          <w:rFonts w:ascii="Arial" w:cs="Arial" w:eastAsia="Arial" w:hAnsi="Arial"/>
          <w:sz w:val="18"/>
          <w:szCs w:val="18"/>
          <w:color w:val="auto"/>
        </w:rPr>
        <w:t>Net cash provided by operating activities for the six months ended June 30, 2021 primarily resulted from $742.2 million of net income before amortization of program rights, depreciation and amortization, and other non-cash items, which was partially offset by payments for program rights of $583.5 million, an increase in deferred carriage fees of $27.9 million, and an increase in prepaid expense and other assets of $18.2 million. Changes in all other assets and liabilities resulted in an increase of $18.6 million.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Net cash (used in) provided by investing activities for the six months ended June 30, 2022 and 2021 was $(9.9) million and $42.0 million, respectively. For the six months ended June 30, 2022, net cash used in investing activities included capital expenditures of $21.6 million, partially offset by proceeds from the sale of a marketable equity security of $9.9 million and a return of capital from investees of $1.8 million. For the six months ended June 30, 2021, cash provided by investing activities included proceeds received from the sale of an investment of $95.4 million and the collection of a loan for $20.0 million, partially offset by the acquisition of equity securities of $28.4 million, payments for the acquisition of a business of $19.1 million, and capital expenditures of $18.8 million. All other changes in investing activities resulted in an decrease of $7.1 million.</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Net cash used in financing activities amounted to $66.5 million for the six months ended June 30, 2022 and consisted of distributions to noncontrolling interests of $25.1 million, taxes paid in lieu of shares issued for equity-based compensation of $20.3 million, principal payments on long-term debt of $16.9 million, purchase of noncontrolling interests of $2.5 million and payments on finance leases of $1.7 million.</w:t>
      </w:r>
    </w:p>
    <w:p>
      <w:pPr>
        <w:spacing w:after="0" w:line="5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Net cash used in financing activities amounted to $64.2 million for the six months ended June 30, 2021 and primarily consisted of principal payments, net of proceeds, on long-term debt (including the redemption of $400 million of 4.75% Notes due December 2022 and $600 million of 5.00% Notes due April 2024) of $30.5 million, taxes paid in lieu of shares issued for equity-based compensation of $32.3 million, distributions to noncontrolling interests of $11.9 million, and payments on finance leases of $2.0 million, partially offset by proceeds from the exercise of stock options of $9.8 million and contributions from noncontrolling interests of $2.7 million.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June 30, 2022, our contractual obligations not reflected on the condensed consolidated balance sheet decreased $76.5 million, as compared to December 31, 2021, to $986.9 million. The decrease primarily relates to payments for program rights.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is a description of the terms and conditions of the guarantees with respect to the outstanding notes for which AMC Networks is the issuer.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 Guarantees</w:t>
      </w:r>
    </w:p>
    <w:p>
      <w:pPr>
        <w:spacing w:after="0" w:line="117"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Debt of AMC Networks as of June 30, 2022 included $400.0 million of 5.00% Notes due April 2024, $800.0 million of 4.75% Notes due August 2025, and $1.0 billion of 4.25% Notes due February 2029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subsidiaries of AMC Networks do not and will not guarantee the notes.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i w:val="1"/>
          <w:iCs w:val="1"/>
          <w:color w:val="auto"/>
        </w:rPr>
        <w:t>Summarized Financial Information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Statement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6"/>
          </w:tcPr>
          <w:p>
            <w:pPr>
              <w:jc w:val="center"/>
              <w:ind w:right="131"/>
              <w:spacing w:after="0"/>
              <w:rPr>
                <w:sz w:val="20"/>
                <w:szCs w:val="20"/>
                <w:color w:val="auto"/>
              </w:rPr>
            </w:pPr>
            <w:r>
              <w:rPr>
                <w:rFonts w:ascii="Arial" w:cs="Arial" w:eastAsia="Arial" w:hAnsi="Arial"/>
                <w:sz w:val="16"/>
                <w:szCs w:val="16"/>
                <w:b w:val="1"/>
                <w:bCs w:val="1"/>
                <w:color w:val="auto"/>
                <w:w w:val="91"/>
              </w:rPr>
              <w:t>Six Months Ended June 30, 2022</w:t>
            </w:r>
          </w:p>
        </w:tc>
        <w:tc>
          <w:tcPr>
            <w:tcW w:w="100" w:type="dxa"/>
            <w:vAlign w:val="bottom"/>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6"/>
                <w:szCs w:val="16"/>
                <w:b w:val="1"/>
                <w:bCs w:val="1"/>
                <w:color w:val="auto"/>
              </w:rPr>
              <w:t>Six Months Ended June 30, 2021</w:t>
            </w:r>
          </w:p>
        </w:tc>
        <w:tc>
          <w:tcPr>
            <w:tcW w:w="0" w:type="dxa"/>
            <w:vAlign w:val="bottom"/>
          </w:tcPr>
          <w:p>
            <w:pPr>
              <w:spacing w:after="0"/>
              <w:rPr>
                <w:sz w:val="1"/>
                <w:szCs w:val="1"/>
                <w:color w:val="auto"/>
              </w:rPr>
            </w:pPr>
          </w:p>
        </w:tc>
      </w:tr>
      <w:tr>
        <w:trPr>
          <w:trHeight w:val="399"/>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Arial" w:cs="Arial" w:eastAsia="Arial" w:hAnsi="Arial"/>
                <w:sz w:val="16"/>
                <w:szCs w:val="16"/>
                <w:b w:val="1"/>
                <w:bCs w:val="1"/>
                <w:color w:val="auto"/>
              </w:rPr>
              <w:t>Parent Company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Arial" w:cs="Arial" w:eastAsia="Arial" w:hAnsi="Arial"/>
                <w:sz w:val="16"/>
                <w:szCs w:val="16"/>
                <w:b w:val="1"/>
                <w:bCs w:val="1"/>
                <w:color w:val="auto"/>
              </w:rPr>
              <w:t>Guarantor Subsidiaries</w:t>
            </w:r>
          </w:p>
        </w:tc>
        <w:tc>
          <w:tcPr>
            <w:tcW w:w="240" w:type="dxa"/>
            <w:vAlign w:val="bottom"/>
          </w:tcPr>
          <w:p>
            <w:pPr>
              <w:spacing w:after="0"/>
              <w:rPr>
                <w:sz w:val="24"/>
                <w:szCs w:val="24"/>
                <w:color w:val="auto"/>
              </w:rPr>
            </w:pPr>
          </w:p>
        </w:tc>
        <w:tc>
          <w:tcPr>
            <w:tcW w:w="1780" w:type="dxa"/>
            <w:vAlign w:val="bottom"/>
            <w:gridSpan w:val="2"/>
          </w:tcPr>
          <w:p>
            <w:pPr>
              <w:ind w:left="14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24"/>
                <w:szCs w:val="24"/>
                <w:color w:val="auto"/>
              </w:rPr>
            </w:pPr>
          </w:p>
        </w:tc>
        <w:tc>
          <w:tcPr>
            <w:tcW w:w="1800" w:type="dxa"/>
            <w:vAlign w:val="bottom"/>
          </w:tcPr>
          <w:p>
            <w:pPr>
              <w:jc w:val="right"/>
              <w:ind w:right="51"/>
              <w:spacing w:after="0"/>
              <w:rPr>
                <w:sz w:val="20"/>
                <w:szCs w:val="20"/>
                <w:color w:val="auto"/>
              </w:rPr>
            </w:pPr>
            <w:r>
              <w:rPr>
                <w:rFonts w:ascii="Arial" w:cs="Arial" w:eastAsia="Arial" w:hAnsi="Arial"/>
                <w:sz w:val="16"/>
                <w:szCs w:val="16"/>
                <w:b w:val="1"/>
                <w:bCs w:val="1"/>
                <w:color w:val="auto"/>
                <w:w w:val="92"/>
              </w:rPr>
              <w:t>Guarantor Subsidiaries</w:t>
            </w:r>
          </w:p>
        </w:tc>
        <w:tc>
          <w:tcPr>
            <w:tcW w:w="0" w:type="dxa"/>
            <w:vAlign w:val="bottom"/>
          </w:tcPr>
          <w:p>
            <w:pPr>
              <w:spacing w:after="0"/>
              <w:rPr>
                <w:sz w:val="1"/>
                <w:szCs w:val="1"/>
                <w:color w:val="auto"/>
              </w:rPr>
            </w:pPr>
          </w:p>
        </w:tc>
      </w:tr>
      <w:tr>
        <w:trPr>
          <w:trHeight w:val="22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1,020,245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994,582</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743,394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796,356</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276,851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198,226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before income taxes</w:t>
            </w: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255,211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321,509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150,784</w:t>
            </w:r>
          </w:p>
        </w:tc>
        <w:tc>
          <w:tcPr>
            <w:tcW w:w="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243,001</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187,617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238,646</w:t>
            </w:r>
          </w:p>
        </w:tc>
        <w:tc>
          <w:tcPr>
            <w:tcW w:w="0" w:type="dxa"/>
            <w:vAlign w:val="bottom"/>
          </w:tcPr>
          <w:p>
            <w:pPr>
              <w:spacing w:after="0"/>
              <w:rPr>
                <w:sz w:val="1"/>
                <w:szCs w:val="1"/>
                <w:color w:val="auto"/>
              </w:rPr>
            </w:pPr>
          </w:p>
        </w:tc>
      </w:tr>
      <w:tr>
        <w:trPr>
          <w:trHeight w:val="810"/>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Balance Sheet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0"/>
              </w:rPr>
              <w:t>June 30, 2022</w:t>
            </w:r>
          </w:p>
        </w:tc>
        <w:tc>
          <w:tcPr>
            <w:tcW w:w="240" w:type="dxa"/>
            <w:vAlign w:val="bottom"/>
          </w:tcPr>
          <w:p>
            <w:pPr>
              <w:spacing w:after="0"/>
              <w:rPr>
                <w:sz w:val="24"/>
                <w:szCs w:val="24"/>
                <w:color w:val="auto"/>
              </w:rPr>
            </w:pPr>
          </w:p>
        </w:tc>
        <w:tc>
          <w:tcPr>
            <w:tcW w:w="3720" w:type="dxa"/>
            <w:vAlign w:val="bottom"/>
            <w:gridSpan w:val="4"/>
          </w:tcPr>
          <w:p>
            <w:pPr>
              <w:jc w:val="right"/>
              <w:ind w:right="1231"/>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07"/>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Parent Company</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Guarantor Subsidiaries</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2"/>
              </w:rPr>
              <w:t>Guarantor Subsidiaries</w:t>
            </w:r>
          </w:p>
        </w:tc>
        <w:tc>
          <w:tcPr>
            <w:tcW w:w="0" w:type="dxa"/>
            <w:vAlign w:val="bottom"/>
          </w:tcPr>
          <w:p>
            <w:pPr>
              <w:spacing w:after="0"/>
              <w:rPr>
                <w:sz w:val="1"/>
                <w:szCs w:val="1"/>
                <w:color w:val="auto"/>
              </w:rPr>
            </w:pPr>
          </w:p>
        </w:tc>
      </w:tr>
      <w:tr>
        <w:trPr>
          <w:trHeight w:val="212"/>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Amounts due from subsidiaries</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135,426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1,450,986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1,242,724</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4,260,554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3,740,074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4,010,028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3,633,383</w:t>
            </w: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Liabilities and equity:</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subsidiaries</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128,162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221,372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770,793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100,969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671,041</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3,079,733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3,067,962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describe our significant accounting policies in Note 2 to the Company's Consolidated Financial Statements included in our 2021 Form 10-K.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our significant accounting policies since December 31, 2021.</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discuss our critical accounting estimates in Item 7, "Management's Discussion and Analysis of Financial Condition and Results of Operations," in our 2021 Form 10-K. There have been no significant changes in our critical accounting estimates since December 31, 2021.</w:t>
      </w:r>
    </w:p>
    <w:p>
      <w:pPr>
        <w:spacing w:after="0" w:line="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Based on the level of interest rates prevailing at June 30, 2022, the carrying value of our fixed rate debt of $2.18 billion was more than its fair value of $1.93 billion by approximately $243.9 million. The fair value of these financial instruments is estimated based on reference to quoted market prices for these or comparable securities. A hypothetical 100 basis point decrease in interest rates prevailing at June 30, 2022 would increase the estimated fair value of our fixed rate debt by approximately $72.6 million to approximately $2.00 billion.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12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 worthy counterparties. We monitor the financial institutions that are counterparties to our interest rate swap contracts and to the extent possible diversify our swap contracts among various counterparties to mitigate exposure to any single financial institution. As of June 30, 2022, we did not have any interest rate swap contracts outstanding.</w:t>
      </w:r>
    </w:p>
    <w:p>
      <w:pPr>
        <w:spacing w:after="0" w:line="8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June 30, 2022, we had $2.8 billion of debt outstanding (excluding finance leases), of which $0.6 billion is outstanding under our loan facility and is subject to variable interest rates. A hypothetical 100 basis point increase in interest rates prevailing at June 30, 2022 would increase our annual interest expense by approximately $6.6 million. The interest rate paid on approximately 77% of our debt (excluding finance leases) as of June 30, 2022 is fixed.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Foreign Currency Exchange Rate Risk</w:t>
      </w:r>
    </w:p>
    <w:p>
      <w:pPr>
        <w:spacing w:after="0" w:line="12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The Company recognized a $1.0 million gain and a $0.9 million gain for the three and six months ended June 30, 2022, respectively, and a $3.1 million loss and a $6.4 million gain for the three and six months ended June 30, 2021, respectively, related to foreign currency transactions. Such amounts are included in miscellaneous, net in the condensed consolidated statements of income.</w:t>
      </w:r>
    </w:p>
    <w:p>
      <w:pPr>
        <w:spacing w:after="0" w:line="5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3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1" w:name="page42"/>
    <w:bookmarkEnd w:id="41"/>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June 30, 2022, the Company's Chief Executive Officer and Chief Financial Officer concluded that the Company's disclosure controls and procedures are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During the three months ended June 30, 2022,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15, Commitments and Contingencies to the condensed consolidated financial statements included in this Quarterly Report on Form 10-Q for a description of our legal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Board of Directors has authorized a program to repurchase up to $1.5 billion of its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w:t>
      </w:r>
    </w:p>
    <w:p>
      <w:pPr>
        <w:spacing w:after="0" w:line="7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the six months ended June 30, 2022, the Company did not repurchase any of its Class A common stock. As of June 30, 2022, the Company had $135.3 million of authorization remaining for repurchase under the Stock Repurchase Program.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As disclosed in Note 20 of the Company’s Annual Report on Form 10-K for the year ended December 31, 2021, from time to time the Company enters into arrangements with 605, LLC. James L. Dolan, the Non-Executive Chairman and a director of the Company, and his spouse, Kristin A. Dolan, a director of the Company, own 50% of 605, LLC. Kristin A. Dolan is also the founder and Chief Executive Officer of 605, LLC. 605, LLC provides audience measurement and data analytics services to the Company and its subsidiaries pursuant to a Master Services Agreement dated February 8, 2019 (the “Master Services Agreement"), which has been incorporated by reference as an exhibit to the Company’s Annual Report on Form 10-K for the year ended December 31, 2021.</w:t>
      </w:r>
    </w:p>
    <w:p>
      <w:pPr>
        <w:spacing w:after="0" w:line="8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On August 1, 2022, the Audit Committee authorized the Company to enter into a Statement of Work for Strategic Analytic Services (the “Statement of Work”) with 605, LLC under the Master Services Agreement. The fees payable to 605, LLC by the Company for these services are $10.5 million payable in five installments with the first payment due upon execution of the agreement. The initial term of the Statement of Work is August 1, 2022 to December 31, 2022, which term is automatically extended to June 30, 2023 unless terminated by either party on 30 days’ notice prior to December 31, 2022.</w:t>
      </w:r>
    </w:p>
    <w:p>
      <w:pPr>
        <w:spacing w:after="0" w:line="80"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Under the Statement of Work, 605, LLC will engage in a strategic, research, market, business and financial assessment of the Company and its business partnering with the Company’s management team with a goal of accelerating transition to direct consumer-facing distribution platforms (including subscription streaming, ad-supported streaming, AVOD/FAST, and global streaming expansion). 605, LLC will utilize their expertise, including assessment of extensive real-time business intelligence and consumer research, to enable potential further acceleration of the Company’s long-term growth and value creation. Among the analytic services to be provided by 605, LLC are situation analysis, customer experience, data utilization, addressing the market, content strategy and overview, sales strategy, pricing analysis, customer profiles, content (by offering), marketing strategy and financial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Index to Exhibits.</w:t>
      </w:r>
    </w:p>
    <w:p>
      <w:pPr>
        <w:spacing w:after="0" w:line="158" w:lineRule="exact"/>
        <w:rPr>
          <w:sz w:val="20"/>
          <w:szCs w:val="20"/>
          <w:color w:val="auto"/>
        </w:rPr>
      </w:pPr>
    </w:p>
    <w:p>
      <w:pPr>
        <w:ind w:left="100"/>
        <w:spacing w:after="0"/>
        <w:tabs>
          <w:tab w:leader="none" w:pos="100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46">
        <w:r>
          <w:rPr>
            <w:rFonts w:ascii="Arial" w:cs="Arial" w:eastAsia="Arial" w:hAnsi="Arial"/>
            <w:sz w:val="16"/>
            <w:szCs w:val="16"/>
            <w:u w:val="single" w:color="auto"/>
            <w:color w:val="0000FF"/>
          </w:rPr>
          <w:t>Statement of Work for Strategic Analytic Services, dated August 1, 2022, by and between Rainbow Media Holdings LLC and 605 LLC</w:t>
        </w:r>
      </w:hyperlink>
    </w:p>
    <w:p>
      <w:pPr>
        <w:spacing w:after="0" w:line="77" w:lineRule="exact"/>
        <w:rPr>
          <w:sz w:val="20"/>
          <w:szCs w:val="20"/>
          <w:color w:val="auto"/>
        </w:rPr>
      </w:pPr>
    </w:p>
    <w:p>
      <w:pPr>
        <w:ind w:left="1020" w:hanging="913"/>
        <w:spacing w:after="0"/>
        <w:tabs>
          <w:tab w:leader="none" w:pos="1020" w:val="left"/>
        </w:tabs>
        <w:numPr>
          <w:ilvl w:val="0"/>
          <w:numId w:val="14"/>
        </w:numPr>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Guarantor Subsidiaries of the Registrant</w:t>
        </w:r>
      </w:hyperlink>
    </w:p>
    <w:p>
      <w:pPr>
        <w:spacing w:after="0" w:line="59"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31.1</w:t>
            </w:r>
          </w:p>
        </w:tc>
        <w:tc>
          <w:tcPr>
            <w:tcW w:w="724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54">
              <w:r>
                <w:rPr>
                  <w:rFonts w:ascii="Arial" w:cs="Arial" w:eastAsia="Arial" w:hAnsi="Arial"/>
                  <w:sz w:val="18"/>
                  <w:szCs w:val="18"/>
                  <w:color w:val="0000FF"/>
                  <w:w w:val="92"/>
                </w:rPr>
                <w:t>Certification of Chief Executive Officer pursuant to Section 302 of the Sarbanes-Oxley Act of 2002.</w:t>
              </w:r>
            </w:hyperlink>
          </w:p>
        </w:tc>
      </w:tr>
      <w:tr>
        <w:trPr>
          <w:trHeight w:val="264"/>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31.2</w:t>
            </w:r>
          </w:p>
        </w:tc>
        <w:tc>
          <w:tcPr>
            <w:tcW w:w="7240" w:type="dxa"/>
            <w:vAlign w:val="bottom"/>
            <w:gridSpan w:val="2"/>
          </w:tcPr>
          <w:p>
            <w:pPr>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Certification of Chief Financial Officer pursuant to Section 302 of the Sarbanes-Oxley Act of 2002.</w:t>
              </w:r>
            </w:hyperlink>
          </w:p>
        </w:tc>
      </w:tr>
      <w:tr>
        <w:trPr>
          <w:trHeight w:val="20"/>
        </w:trPr>
        <w:tc>
          <w:tcPr>
            <w:tcW w:w="920" w:type="dxa"/>
            <w:vAlign w:val="bottom"/>
          </w:tcPr>
          <w:p>
            <w:pPr>
              <w:spacing w:after="0" w:line="20" w:lineRule="exact"/>
              <w:rPr>
                <w:sz w:val="1"/>
                <w:szCs w:val="1"/>
                <w:color w:val="auto"/>
              </w:rPr>
            </w:pPr>
          </w:p>
        </w:tc>
        <w:tc>
          <w:tcPr>
            <w:tcW w:w="7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0" w:lineRule="exact"/>
        <w:rPr>
          <w:sz w:val="20"/>
          <w:szCs w:val="20"/>
          <w:color w:val="auto"/>
        </w:rPr>
      </w:pPr>
    </w:p>
    <w:p>
      <w:pPr>
        <w:ind w:left="1020" w:hanging="913"/>
        <w:spacing w:after="0" w:line="235" w:lineRule="auto"/>
        <w:tabs>
          <w:tab w:leader="none" w:pos="1020" w:val="left"/>
        </w:tabs>
        <w:numPr>
          <w:ilvl w:val="0"/>
          <w:numId w:val="15"/>
        </w:numPr>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Certifications of Chief Executive Officer and Chief Financial Officer pursuant to Section 906 of the Sarbanes-Oxley Act of 2002, 18 U.S.C.</w:t>
        </w:r>
      </w:hyperlink>
      <w:r>
        <w:rPr>
          <w:rFonts w:ascii="Arial" w:cs="Arial" w:eastAsia="Arial" w:hAnsi="Arial"/>
          <w:sz w:val="18"/>
          <w:szCs w:val="18"/>
          <w:u w:val="single" w:color="auto"/>
          <w:color w:val="0000FF"/>
        </w:rPr>
        <w:t xml:space="preserve"> </w:t>
      </w:r>
      <w:hyperlink w:anchor="page56">
        <w:r>
          <w:rPr>
            <w:rFonts w:ascii="Arial" w:cs="Arial" w:eastAsia="Arial" w:hAnsi="Arial"/>
            <w:sz w:val="18"/>
            <w:szCs w:val="18"/>
            <w:u w:val="single" w:color="auto"/>
            <w:color w:val="0000FF"/>
          </w:rPr>
          <w:t>Section 1350.</w:t>
        </w:r>
      </w:hyperlink>
    </w:p>
    <w:p>
      <w:pPr>
        <w:spacing w:after="0" w:line="23" w:lineRule="exact"/>
        <w:rPr>
          <w:rFonts w:ascii="Arial" w:cs="Arial" w:eastAsia="Arial" w:hAnsi="Arial"/>
          <w:sz w:val="18"/>
          <w:szCs w:val="18"/>
          <w:color w:val="auto"/>
        </w:rPr>
      </w:pPr>
    </w:p>
    <w:tbl>
      <w:tblPr>
        <w:tblLayout w:type="fixed"/>
        <w:tblInd w:w="10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tcPr>
          <w:p>
            <w:pPr>
              <w:ind w:left="12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0"/>
        </w:trPr>
        <w:tc>
          <w:tcPr>
            <w:tcW w:w="800" w:type="dxa"/>
            <w:vAlign w:val="bottom"/>
          </w:tcPr>
          <w:p>
            <w:pPr>
              <w:spacing w:after="0"/>
              <w:rPr>
                <w:sz w:val="20"/>
                <w:szCs w:val="20"/>
                <w:color w:val="auto"/>
              </w:rPr>
            </w:pPr>
          </w:p>
        </w:tc>
        <w:tc>
          <w:tcPr>
            <w:tcW w:w="10200" w:type="dxa"/>
            <w:vAlign w:val="bottom"/>
          </w:tcPr>
          <w:p>
            <w:pPr>
              <w:ind w:left="120"/>
              <w:spacing w:after="0"/>
              <w:rPr>
                <w:sz w:val="20"/>
                <w:szCs w:val="20"/>
                <w:color w:val="auto"/>
              </w:rPr>
            </w:pPr>
            <w:r>
              <w:rPr>
                <w:rFonts w:ascii="Arial" w:cs="Arial" w:eastAsia="Arial" w:hAnsi="Arial"/>
                <w:sz w:val="18"/>
                <w:szCs w:val="18"/>
                <w:color w:val="auto"/>
              </w:rPr>
              <w:t>Inline XBRL document.</w:t>
            </w:r>
          </w:p>
        </w:tc>
      </w:tr>
      <w:tr>
        <w:trPr>
          <w:trHeight w:val="283"/>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w:t>
            </w: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rFonts w:ascii="Arial" w:cs="Arial" w:eastAsia="Arial" w:hAnsi="Arial"/>
          <w:sz w:val="18"/>
          <w:szCs w:val="18"/>
          <w:color w:val="auto"/>
        </w:rPr>
      </w:pPr>
    </w:p>
    <w:p>
      <w:pPr>
        <w:ind w:left="1020" w:hanging="91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AMC Networks Inc.</w:t>
            </w:r>
          </w:p>
        </w:tc>
      </w:tr>
      <w:tr>
        <w:trPr>
          <w:trHeight w:val="378"/>
        </w:trPr>
        <w:tc>
          <w:tcPr>
            <w:tcW w:w="3400" w:type="dxa"/>
            <w:vAlign w:val="bottom"/>
          </w:tcPr>
          <w:p>
            <w:pPr>
              <w:spacing w:after="0"/>
              <w:rPr>
                <w:sz w:val="20"/>
                <w:szCs w:val="20"/>
                <w:color w:val="auto"/>
              </w:rPr>
            </w:pPr>
            <w:r>
              <w:rPr>
                <w:rFonts w:ascii="Arial" w:cs="Arial" w:eastAsia="Arial" w:hAnsi="Arial"/>
                <w:sz w:val="18"/>
                <w:szCs w:val="18"/>
                <w:color w:val="auto"/>
              </w:rPr>
              <w:t>Date: August 5, 2022</w:t>
            </w:r>
          </w:p>
        </w:tc>
        <w:tc>
          <w:tcPr>
            <w:tcW w:w="7620" w:type="dxa"/>
            <w:vAlign w:val="bottom"/>
            <w:gridSpan w:val="2"/>
          </w:tcPr>
          <w:p>
            <w:pPr>
              <w:ind w:left="1900"/>
              <w:spacing w:after="0"/>
              <w:rPr>
                <w:sz w:val="20"/>
                <w:szCs w:val="20"/>
                <w:color w:val="auto"/>
              </w:rPr>
            </w:pPr>
            <w:r>
              <w:rPr>
                <w:rFonts w:ascii="Arial" w:cs="Arial" w:eastAsia="Arial" w:hAnsi="Arial"/>
                <w:sz w:val="18"/>
                <w:szCs w:val="18"/>
                <w:color w:val="auto"/>
              </w:rPr>
              <w:t>By: /s/ Christina Spade</w:t>
            </w:r>
          </w:p>
        </w:tc>
      </w:tr>
      <w:tr>
        <w:trPr>
          <w:trHeight w:val="222"/>
        </w:trPr>
        <w:tc>
          <w:tcPr>
            <w:tcW w:w="34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Christina Spade</w:t>
            </w:r>
          </w:p>
        </w:tc>
      </w:tr>
      <w:tr>
        <w:trPr>
          <w:trHeight w:val="230"/>
        </w:trPr>
        <w:tc>
          <w:tcPr>
            <w:tcW w:w="3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Chief Operating Officer and Chief Financial Officer</w:t>
            </w:r>
          </w:p>
        </w:tc>
      </w:tr>
      <w:tr>
        <w:trPr>
          <w:trHeight w:val="486"/>
        </w:trPr>
        <w:tc>
          <w:tcPr>
            <w:tcW w:w="3400" w:type="dxa"/>
            <w:vAlign w:val="bottom"/>
          </w:tcPr>
          <w:p>
            <w:pPr>
              <w:spacing w:after="0"/>
              <w:rPr>
                <w:sz w:val="20"/>
                <w:szCs w:val="20"/>
                <w:color w:val="auto"/>
              </w:rPr>
            </w:pPr>
            <w:r>
              <w:rPr>
                <w:rFonts w:ascii="Arial" w:cs="Arial" w:eastAsia="Arial" w:hAnsi="Arial"/>
                <w:sz w:val="18"/>
                <w:szCs w:val="18"/>
                <w:color w:val="auto"/>
              </w:rPr>
              <w:t>Date: August 5, 2022</w:t>
            </w:r>
          </w:p>
        </w:tc>
        <w:tc>
          <w:tcPr>
            <w:tcW w:w="7620" w:type="dxa"/>
            <w:vAlign w:val="bottom"/>
            <w:gridSpan w:val="2"/>
          </w:tcPr>
          <w:p>
            <w:pPr>
              <w:ind w:left="1900"/>
              <w:spacing w:after="0"/>
              <w:rPr>
                <w:sz w:val="20"/>
                <w:szCs w:val="20"/>
                <w:color w:val="auto"/>
              </w:rPr>
            </w:pPr>
            <w:r>
              <w:rPr>
                <w:rFonts w:ascii="Arial" w:cs="Arial" w:eastAsia="Arial" w:hAnsi="Arial"/>
                <w:sz w:val="18"/>
                <w:szCs w:val="18"/>
                <w:color w:val="auto"/>
              </w:rPr>
              <w:t>By: /s/ Michael J. Sherin III</w:t>
            </w:r>
          </w:p>
        </w:tc>
      </w:tr>
      <w:tr>
        <w:trPr>
          <w:trHeight w:val="222"/>
        </w:trPr>
        <w:tc>
          <w:tcPr>
            <w:tcW w:w="34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J. Sherin III</w:t>
            </w:r>
          </w:p>
        </w:tc>
      </w:tr>
      <w:tr>
        <w:trPr>
          <w:trHeight w:val="230"/>
        </w:trPr>
        <w:tc>
          <w:tcPr>
            <w:tcW w:w="3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Executive Vice President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931"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20"/>
          <w:szCs w:val="20"/>
          <w:b w:val="1"/>
          <w:bCs w:val="1"/>
          <w:color w:val="auto"/>
        </w:rPr>
        <w:t>Statement of Work for Strategic Analytic Services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Statement of Work for Strategic Analytic Services</w:t>
      </w:r>
      <w:r>
        <w:rPr>
          <w:rFonts w:ascii="Arial" w:cs="Arial" w:eastAsia="Arial" w:hAnsi="Arial"/>
          <w:sz w:val="20"/>
          <w:szCs w:val="20"/>
          <w:color w:val="auto"/>
        </w:rPr>
        <w:t xml:space="preserve"> (this “</w:t>
      </w:r>
      <w:r>
        <w:rPr>
          <w:rFonts w:ascii="Arial" w:cs="Arial" w:eastAsia="Arial" w:hAnsi="Arial"/>
          <w:sz w:val="20"/>
          <w:szCs w:val="20"/>
          <w:b w:val="1"/>
          <w:bCs w:val="1"/>
          <w:color w:val="auto"/>
        </w:rPr>
        <w:t>SOW</w:t>
      </w:r>
      <w:r>
        <w:rPr>
          <w:rFonts w:ascii="Arial" w:cs="Arial" w:eastAsia="Arial" w:hAnsi="Arial"/>
          <w:sz w:val="20"/>
          <w:szCs w:val="20"/>
          <w:color w:val="auto"/>
        </w:rPr>
        <w:t>”) is a SOW under the Master Services Agreement dated</w:t>
      </w:r>
    </w:p>
    <w:p>
      <w:pPr>
        <w:spacing w:after="0" w:line="235" w:lineRule="auto"/>
        <w:rPr>
          <w:sz w:val="20"/>
          <w:szCs w:val="20"/>
          <w:color w:val="auto"/>
        </w:rPr>
      </w:pPr>
      <w:r>
        <w:rPr>
          <w:rFonts w:ascii="Arial" w:cs="Arial" w:eastAsia="Arial" w:hAnsi="Arial"/>
          <w:sz w:val="20"/>
          <w:szCs w:val="20"/>
          <w:color w:val="auto"/>
        </w:rPr>
        <w:t>as of February 8, 2019 between 605, LLC (“</w:t>
      </w:r>
      <w:r>
        <w:rPr>
          <w:rFonts w:ascii="Arial" w:cs="Arial" w:eastAsia="Arial" w:hAnsi="Arial"/>
          <w:sz w:val="20"/>
          <w:szCs w:val="20"/>
          <w:b w:val="1"/>
          <w:bCs w:val="1"/>
          <w:color w:val="auto"/>
        </w:rPr>
        <w:t>605</w:t>
      </w:r>
      <w:r>
        <w:rPr>
          <w:rFonts w:ascii="Arial" w:cs="Arial" w:eastAsia="Arial" w:hAnsi="Arial"/>
          <w:sz w:val="20"/>
          <w:szCs w:val="20"/>
          <w:color w:val="auto"/>
        </w:rPr>
        <w:t>”) and Rainbow Media Holdings LLC (“</w:t>
      </w:r>
      <w:r>
        <w:rPr>
          <w:rFonts w:ascii="Arial" w:cs="Arial" w:eastAsia="Arial" w:hAnsi="Arial"/>
          <w:sz w:val="20"/>
          <w:szCs w:val="20"/>
          <w:b w:val="1"/>
          <w:bCs w:val="1"/>
          <w:color w:val="auto"/>
        </w:rPr>
        <w:t>Customer</w:t>
      </w:r>
      <w:r>
        <w:rPr>
          <w:rFonts w:ascii="Arial" w:cs="Arial" w:eastAsia="Arial" w:hAnsi="Arial"/>
          <w:sz w:val="20"/>
          <w:szCs w:val="20"/>
          <w:color w:val="auto"/>
        </w:rPr>
        <w:t>” or “</w:t>
      </w:r>
      <w:r>
        <w:rPr>
          <w:rFonts w:ascii="Arial" w:cs="Arial" w:eastAsia="Arial" w:hAnsi="Arial"/>
          <w:sz w:val="20"/>
          <w:szCs w:val="20"/>
          <w:b w:val="1"/>
          <w:bCs w:val="1"/>
          <w:color w:val="auto"/>
        </w:rPr>
        <w:t>AMCN</w:t>
      </w:r>
      <w:r>
        <w:rPr>
          <w:rFonts w:ascii="Arial" w:cs="Arial" w:eastAsia="Arial" w:hAnsi="Arial"/>
          <w:sz w:val="20"/>
          <w:szCs w:val="20"/>
          <w:color w:val="auto"/>
        </w:rPr>
        <w:t>”) (the</w:t>
      </w:r>
    </w:p>
    <w:p>
      <w:pPr>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and is effective as of August 1, 2022 (the “</w:t>
      </w:r>
      <w:r>
        <w:rPr>
          <w:rFonts w:ascii="Arial" w:cs="Arial" w:eastAsia="Arial" w:hAnsi="Arial"/>
          <w:sz w:val="20"/>
          <w:szCs w:val="20"/>
          <w:b w:val="1"/>
          <w:bCs w:val="1"/>
          <w:color w:val="auto"/>
        </w:rPr>
        <w:t>Statement of Work Effective Date</w:t>
      </w:r>
      <w:r>
        <w:rPr>
          <w:rFonts w:ascii="Arial" w:cs="Arial" w:eastAsia="Arial" w:hAnsi="Arial"/>
          <w:sz w:val="20"/>
          <w:szCs w:val="20"/>
          <w:color w:val="auto"/>
        </w:rPr>
        <w:t>”). Capitalized terms used in this</w:t>
      </w:r>
    </w:p>
    <w:p>
      <w:pPr>
        <w:spacing w:after="0"/>
        <w:rPr>
          <w:sz w:val="20"/>
          <w:szCs w:val="20"/>
          <w:color w:val="auto"/>
        </w:rPr>
      </w:pPr>
      <w:r>
        <w:rPr>
          <w:rFonts w:ascii="Arial" w:cs="Arial" w:eastAsia="Arial" w:hAnsi="Arial"/>
          <w:sz w:val="20"/>
          <w:szCs w:val="20"/>
          <w:color w:val="auto"/>
        </w:rPr>
        <w:t>SOW but not defined in this SOW will have the meanings given in the Agreement.</w:t>
      </w:r>
    </w:p>
    <w:p>
      <w:pPr>
        <w:spacing w:after="0" w:line="210"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0"/>
          <w:szCs w:val="20"/>
          <w:color w:val="auto"/>
        </w:rPr>
      </w:pPr>
      <w:r>
        <w:rPr>
          <w:rFonts w:ascii="Arial" w:cs="Arial" w:eastAsia="Arial" w:hAnsi="Arial"/>
          <w:sz w:val="20"/>
          <w:szCs w:val="20"/>
          <w:b w:val="1"/>
          <w:bCs w:val="1"/>
          <w:color w:val="auto"/>
        </w:rPr>
        <w:t>Services</w:t>
      </w:r>
      <w:r>
        <w:rPr>
          <w:rFonts w:ascii="Arial" w:cs="Arial" w:eastAsia="Arial" w:hAnsi="Arial"/>
          <w:sz w:val="20"/>
          <w:szCs w:val="20"/>
          <w:color w:val="auto"/>
        </w:rPr>
        <w:t>. 605 shall perform the following Services under this SOW:</w:t>
      </w:r>
    </w:p>
    <w:p>
      <w:pPr>
        <w:spacing w:after="0" w:line="235" w:lineRule="exact"/>
        <w:rPr>
          <w:rFonts w:ascii="Arial" w:cs="Arial" w:eastAsia="Arial" w:hAnsi="Arial"/>
          <w:sz w:val="20"/>
          <w:szCs w:val="20"/>
          <w:color w:val="auto"/>
        </w:rPr>
      </w:pPr>
    </w:p>
    <w:p>
      <w:pPr>
        <w:ind w:left="340"/>
        <w:spacing w:after="0" w:line="230" w:lineRule="auto"/>
        <w:rPr>
          <w:rFonts w:ascii="Arial" w:cs="Arial" w:eastAsia="Arial" w:hAnsi="Arial"/>
          <w:sz w:val="20"/>
          <w:szCs w:val="20"/>
          <w:color w:val="auto"/>
        </w:rPr>
      </w:pPr>
      <w:r>
        <w:rPr>
          <w:rFonts w:ascii="Arial" w:cs="Arial" w:eastAsia="Arial" w:hAnsi="Arial"/>
          <w:sz w:val="20"/>
          <w:szCs w:val="20"/>
          <w:color w:val="auto"/>
        </w:rPr>
        <w:t>605 will engage in a strategic, research, market, business and financial assessment of AMCN and its business, partnering with the AMCN management team to accelerate transition to direct consumer-facing distribution platforms (including subscription streaming, ad-supported streaming, AVOD/FAST, global streaming expansion). 605 will utilize its expertise, including assessment of extensive real-time business intelligence and consumer research to enable potential further acceleration of AMCN’s long-term growth and value creation. Among the analytic services to be provided by 605 are situation analysis, customer experience, data utilization, addressing the market, content strategy and overview, sales strategy, pricing analysis, customer profiles, content (by offering), marketing strategy and financial analysis.</w:t>
      </w:r>
    </w:p>
    <w:p>
      <w:pPr>
        <w:spacing w:after="0" w:line="212" w:lineRule="exact"/>
        <w:rPr>
          <w:rFonts w:ascii="Arial" w:cs="Arial" w:eastAsia="Arial" w:hAnsi="Arial"/>
          <w:sz w:val="20"/>
          <w:szCs w:val="20"/>
          <w:color w:val="auto"/>
        </w:rPr>
      </w:pPr>
    </w:p>
    <w:p>
      <w:pPr>
        <w:ind w:left="340" w:right="140"/>
        <w:spacing w:after="0" w:line="237" w:lineRule="auto"/>
        <w:rPr>
          <w:rFonts w:ascii="Arial" w:cs="Arial" w:eastAsia="Arial" w:hAnsi="Arial"/>
          <w:sz w:val="20"/>
          <w:szCs w:val="20"/>
          <w:color w:val="auto"/>
        </w:rPr>
      </w:pPr>
      <w:r>
        <w:rPr>
          <w:rFonts w:ascii="Arial" w:cs="Arial" w:eastAsia="Arial" w:hAnsi="Arial"/>
          <w:sz w:val="20"/>
          <w:szCs w:val="20"/>
          <w:color w:val="auto"/>
        </w:rPr>
        <w:t>The 605 team will develop a comprehensive understanding of the business and partner with the AMCN senior leadership team to devise an action plan to successfully migrate the business, optimize asset value and create optionality for the AMCN. 605 personnel who will perform the services include:</w:t>
      </w:r>
    </w:p>
    <w:p>
      <w:pPr>
        <w:sectPr>
          <w:pgSz w:w="11900" w:h="16838" w:orient="portrait"/>
          <w:cols w:equalWidth="0" w:num="1">
            <w:col w:w="11240"/>
          </w:cols>
          <w:pgMar w:left="320" w:top="1408" w:right="339" w:bottom="1440" w:gutter="0" w:footer="0" w:header="0"/>
        </w:sectPr>
      </w:pPr>
    </w:p>
    <w:p>
      <w:pPr>
        <w:spacing w:after="0" w:line="259" w:lineRule="exact"/>
        <w:rPr>
          <w:sz w:val="20"/>
          <w:szCs w:val="20"/>
          <w:color w:val="auto"/>
        </w:rPr>
      </w:pPr>
    </w:p>
    <w:p>
      <w:pPr>
        <w:ind w:left="600"/>
        <w:spacing w:after="0"/>
        <w:rPr>
          <w:sz w:val="20"/>
          <w:szCs w:val="20"/>
          <w:color w:val="auto"/>
        </w:rPr>
      </w:pPr>
      <w:r>
        <w:rPr>
          <w:rFonts w:ascii="Arial" w:cs="Arial" w:eastAsia="Arial" w:hAnsi="Arial"/>
          <w:sz w:val="22"/>
          <w:szCs w:val="22"/>
          <w:color w:val="auto"/>
        </w:rPr>
        <w:t>Kristin Dolan</w:t>
      </w:r>
    </w:p>
    <w:p>
      <w:pPr>
        <w:spacing w:after="0" w:line="31" w:lineRule="exact"/>
        <w:rPr>
          <w:sz w:val="20"/>
          <w:szCs w:val="20"/>
          <w:color w:val="auto"/>
        </w:rPr>
      </w:pPr>
    </w:p>
    <w:p>
      <w:pPr>
        <w:ind w:left="600"/>
        <w:spacing w:after="0"/>
        <w:rPr>
          <w:sz w:val="20"/>
          <w:szCs w:val="20"/>
          <w:color w:val="auto"/>
        </w:rPr>
      </w:pPr>
      <w:r>
        <w:rPr>
          <w:rFonts w:ascii="Arial" w:cs="Arial" w:eastAsia="Arial" w:hAnsi="Arial"/>
          <w:sz w:val="22"/>
          <w:szCs w:val="22"/>
          <w:color w:val="auto"/>
        </w:rPr>
        <w:t>Matt Weiss</w:t>
      </w:r>
    </w:p>
    <w:p>
      <w:pPr>
        <w:spacing w:after="0" w:line="31" w:lineRule="exact"/>
        <w:rPr>
          <w:sz w:val="20"/>
          <w:szCs w:val="20"/>
          <w:color w:val="auto"/>
        </w:rPr>
      </w:pPr>
    </w:p>
    <w:p>
      <w:pPr>
        <w:ind w:left="600"/>
        <w:spacing w:after="0"/>
        <w:rPr>
          <w:sz w:val="20"/>
          <w:szCs w:val="20"/>
          <w:color w:val="auto"/>
        </w:rPr>
      </w:pPr>
      <w:r>
        <w:rPr>
          <w:rFonts w:ascii="Arial" w:cs="Arial" w:eastAsia="Arial" w:hAnsi="Arial"/>
          <w:sz w:val="22"/>
          <w:szCs w:val="22"/>
          <w:color w:val="auto"/>
        </w:rPr>
        <w:t>Ray Casazza</w:t>
      </w:r>
    </w:p>
    <w:p>
      <w:pPr>
        <w:spacing w:after="0" w:line="31" w:lineRule="exact"/>
        <w:rPr>
          <w:sz w:val="20"/>
          <w:szCs w:val="20"/>
          <w:color w:val="auto"/>
        </w:rPr>
      </w:pPr>
    </w:p>
    <w:p>
      <w:pPr>
        <w:ind w:left="600"/>
        <w:spacing w:after="0"/>
        <w:rPr>
          <w:sz w:val="20"/>
          <w:szCs w:val="20"/>
          <w:color w:val="auto"/>
        </w:rPr>
      </w:pPr>
      <w:r>
        <w:rPr>
          <w:rFonts w:ascii="Arial" w:cs="Arial" w:eastAsia="Arial" w:hAnsi="Arial"/>
          <w:sz w:val="22"/>
          <w:szCs w:val="22"/>
          <w:color w:val="auto"/>
        </w:rPr>
        <w:t>Alex Freed</w:t>
      </w:r>
    </w:p>
    <w:p>
      <w:pPr>
        <w:spacing w:after="0" w:line="31" w:lineRule="exact"/>
        <w:rPr>
          <w:sz w:val="20"/>
          <w:szCs w:val="20"/>
          <w:color w:val="auto"/>
        </w:rPr>
      </w:pPr>
    </w:p>
    <w:p>
      <w:pPr>
        <w:ind w:left="600"/>
        <w:spacing w:after="0"/>
        <w:rPr>
          <w:sz w:val="20"/>
          <w:szCs w:val="20"/>
          <w:color w:val="auto"/>
        </w:rPr>
      </w:pPr>
      <w:r>
        <w:rPr>
          <w:rFonts w:ascii="Arial" w:cs="Arial" w:eastAsia="Arial" w:hAnsi="Arial"/>
          <w:sz w:val="22"/>
          <w:szCs w:val="22"/>
          <w:color w:val="auto"/>
        </w:rPr>
        <w:t>Gina Gusenfitter</w:t>
      </w:r>
    </w:p>
    <w:p>
      <w:pPr>
        <w:spacing w:after="0" w:line="3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Other Support Staff As Necessary</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CEO</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CSO</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COO</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VP</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Associate</w:t>
      </w:r>
    </w:p>
    <w:p>
      <w:pPr>
        <w:spacing w:after="0" w:line="483" w:lineRule="exact"/>
        <w:rPr>
          <w:sz w:val="20"/>
          <w:szCs w:val="20"/>
          <w:color w:val="auto"/>
        </w:rPr>
      </w:pPr>
    </w:p>
    <w:p>
      <w:pPr>
        <w:sectPr>
          <w:pgSz w:w="11900" w:h="16838" w:orient="portrait"/>
          <w:cols w:equalWidth="0" w:num="2">
            <w:col w:w="5160" w:space="720"/>
            <w:col w:w="5360"/>
          </w:cols>
          <w:pgMar w:left="320" w:top="1408" w:right="339"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A full scope of the Services is set forth in Exhibit A.</w:t>
      </w:r>
    </w:p>
    <w:p>
      <w:pPr>
        <w:spacing w:after="0" w:line="237" w:lineRule="exact"/>
        <w:rPr>
          <w:sz w:val="20"/>
          <w:szCs w:val="20"/>
          <w:color w:val="auto"/>
        </w:rPr>
      </w:pPr>
    </w:p>
    <w:p>
      <w:pPr>
        <w:ind w:left="660" w:right="660" w:hanging="652"/>
        <w:spacing w:after="0" w:line="243" w:lineRule="auto"/>
        <w:tabs>
          <w:tab w:leader="none" w:pos="390" w:val="left"/>
        </w:tabs>
        <w:numPr>
          <w:ilvl w:val="0"/>
          <w:numId w:val="18"/>
        </w:numPr>
        <w:rPr>
          <w:rFonts w:ascii="Arial" w:cs="Arial" w:eastAsia="Arial" w:hAnsi="Arial"/>
          <w:sz w:val="22"/>
          <w:szCs w:val="22"/>
          <w:b w:val="1"/>
          <w:bCs w:val="1"/>
          <w:color w:val="auto"/>
        </w:rPr>
      </w:pPr>
      <w:r>
        <w:rPr>
          <w:rFonts w:ascii="Arial" w:cs="Arial" w:eastAsia="Arial" w:hAnsi="Arial"/>
          <w:sz w:val="20"/>
          <w:szCs w:val="20"/>
          <w:b w:val="1"/>
          <w:bCs w:val="1"/>
          <w:color w:val="auto"/>
        </w:rPr>
        <w:t>Deliverables</w:t>
      </w:r>
      <w:r>
        <w:rPr>
          <w:rFonts w:ascii="Arial" w:cs="Arial" w:eastAsia="Arial" w:hAnsi="Arial"/>
          <w:sz w:val="20"/>
          <w:szCs w:val="20"/>
          <w:color w:val="auto"/>
        </w:rPr>
        <w:t>. The following are the Deliverables under this SOW: Attached as Exhibit B. All Deliverables shall constitute Work</w:t>
      </w:r>
      <w:r>
        <w:rPr>
          <w:rFonts w:ascii="Arial" w:cs="Arial" w:eastAsia="Arial" w:hAnsi="Arial"/>
          <w:sz w:val="20"/>
          <w:szCs w:val="20"/>
          <w:b w:val="1"/>
          <w:bCs w:val="1"/>
          <w:color w:val="auto"/>
        </w:rPr>
        <w:t xml:space="preserve"> </w:t>
      </w:r>
      <w:r>
        <w:rPr>
          <w:rFonts w:ascii="Arial" w:cs="Arial" w:eastAsia="Arial" w:hAnsi="Arial"/>
          <w:sz w:val="20"/>
          <w:szCs w:val="20"/>
          <w:color w:val="auto"/>
        </w:rPr>
        <w:t>Product.</w:t>
      </w:r>
    </w:p>
    <w:p>
      <w:pPr>
        <w:spacing w:after="0" w:line="194" w:lineRule="exact"/>
        <w:rPr>
          <w:rFonts w:ascii="Arial" w:cs="Arial" w:eastAsia="Arial" w:hAnsi="Arial"/>
          <w:sz w:val="22"/>
          <w:szCs w:val="22"/>
          <w:b w:val="1"/>
          <w:bCs w:val="1"/>
          <w:color w:val="auto"/>
        </w:rPr>
      </w:pPr>
    </w:p>
    <w:p>
      <w:pPr>
        <w:ind w:left="380" w:hanging="372"/>
        <w:spacing w:after="0"/>
        <w:tabs>
          <w:tab w:leader="none" w:pos="38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Certain Customer Responsibilities</w:t>
      </w:r>
      <w:r>
        <w:rPr>
          <w:rFonts w:ascii="Arial" w:cs="Arial" w:eastAsia="Arial" w:hAnsi="Arial"/>
          <w:sz w:val="19"/>
          <w:szCs w:val="19"/>
          <w:color w:val="auto"/>
        </w:rPr>
        <w:t>. Customer shall have the responsibilities described in Section 1.3 of the Agreement.</w:t>
      </w:r>
    </w:p>
    <w:p>
      <w:pPr>
        <w:spacing w:after="0" w:line="219" w:lineRule="exact"/>
        <w:rPr>
          <w:rFonts w:ascii="Arial" w:cs="Arial" w:eastAsia="Arial" w:hAnsi="Arial"/>
          <w:sz w:val="22"/>
          <w:szCs w:val="22"/>
          <w:b w:val="1"/>
          <w:bCs w:val="1"/>
          <w:color w:val="auto"/>
        </w:rPr>
      </w:pPr>
    </w:p>
    <w:p>
      <w:pPr>
        <w:ind w:left="660" w:hanging="652"/>
        <w:spacing w:after="0" w:line="234" w:lineRule="auto"/>
        <w:tabs>
          <w:tab w:leader="none" w:pos="408"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Fees and Expenses</w:t>
      </w:r>
      <w:r>
        <w:rPr>
          <w:rFonts w:ascii="Arial" w:cs="Arial" w:eastAsia="Arial" w:hAnsi="Arial"/>
          <w:sz w:val="19"/>
          <w:szCs w:val="19"/>
          <w:color w:val="auto"/>
        </w:rPr>
        <w:t>. Subject to mutual execution of this SOW, promptly upon receipt of an invoice for the initial payment below, and</w:t>
      </w:r>
      <w:r>
        <w:rPr>
          <w:rFonts w:ascii="Arial" w:cs="Arial" w:eastAsia="Arial" w:hAnsi="Arial"/>
          <w:sz w:val="22"/>
          <w:szCs w:val="22"/>
          <w:b w:val="1"/>
          <w:bCs w:val="1"/>
          <w:color w:val="auto"/>
        </w:rPr>
        <w:t xml:space="preserve"> </w:t>
      </w:r>
      <w:r>
        <w:rPr>
          <w:rFonts w:ascii="Arial" w:cs="Arial" w:eastAsia="Arial" w:hAnsi="Arial"/>
          <w:sz w:val="19"/>
          <w:szCs w:val="19"/>
          <w:color w:val="auto"/>
        </w:rPr>
        <w:t>upon receipt of an invoice at least thirty (30) days prior to each subsequent payment date below, Customer shall pay 605 the following fees under this SOW:</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Execution of SOW: $2,625,000 (25%)</w:t>
      </w:r>
    </w:p>
    <w:p>
      <w:pPr>
        <w:ind w:left="660"/>
        <w:spacing w:after="0" w:line="238" w:lineRule="auto"/>
        <w:rPr>
          <w:sz w:val="20"/>
          <w:szCs w:val="20"/>
          <w:color w:val="auto"/>
        </w:rPr>
      </w:pPr>
      <w:r>
        <w:rPr>
          <w:rFonts w:ascii="Arial" w:cs="Arial" w:eastAsia="Arial" w:hAnsi="Arial"/>
          <w:sz w:val="20"/>
          <w:szCs w:val="20"/>
          <w:color w:val="auto"/>
        </w:rPr>
        <w:t>December 1, 2022: $1,312,500 (12.5%)</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December 31, 2022: $1,312,500 (12.5%</w:t>
      </w:r>
      <w:r>
        <w:rPr>
          <w:rFonts w:ascii="Arial" w:cs="Arial" w:eastAsia="Arial" w:hAnsi="Arial"/>
          <w:sz w:val="21"/>
          <w:szCs w:val="21"/>
          <w:b w:val="1"/>
          <w:bCs w:val="1"/>
          <w:color w:val="auto"/>
        </w:rPr>
        <w: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March 31, 2023: $2,625,000 (25%)</w:t>
      </w:r>
    </w:p>
    <w:p>
      <w:pPr>
        <w:sectPr>
          <w:pgSz w:w="11900" w:h="16838" w:orient="portrait"/>
          <w:cols w:equalWidth="0" w:num="1">
            <w:col w:w="11240"/>
          </w:cols>
          <w:pgMar w:left="320" w:top="1408" w:right="339" w:bottom="1440" w:gutter="0" w:footer="0" w:header="0"/>
          <w:type w:val="continuous"/>
        </w:sectPr>
      </w:pPr>
    </w:p>
    <w:bookmarkStart w:id="46" w:name="page47"/>
    <w:bookmarkEnd w:id="46"/>
    <w:p>
      <w:pPr>
        <w:ind w:left="652"/>
        <w:spacing w:after="0"/>
        <w:rPr>
          <w:sz w:val="20"/>
          <w:szCs w:val="20"/>
          <w:color w:val="auto"/>
        </w:rPr>
      </w:pPr>
      <w:r>
        <w:rPr>
          <w:rFonts w:ascii="Arial" w:cs="Arial" w:eastAsia="Arial" w:hAnsi="Arial"/>
          <w:sz w:val="20"/>
          <w:szCs w:val="20"/>
          <w:color w:val="auto"/>
        </w:rPr>
        <w:t>Final Deliverable: $2,625,000 (25%)</w:t>
      </w:r>
    </w:p>
    <w:p>
      <w:pPr>
        <w:spacing w:after="0" w:line="229" w:lineRule="exact"/>
        <w:rPr>
          <w:sz w:val="20"/>
          <w:szCs w:val="20"/>
          <w:color w:val="auto"/>
        </w:rPr>
      </w:pPr>
    </w:p>
    <w:p>
      <w:pPr>
        <w:ind w:left="652" w:right="160"/>
        <w:spacing w:after="0" w:line="234" w:lineRule="auto"/>
        <w:rPr>
          <w:sz w:val="20"/>
          <w:szCs w:val="20"/>
          <w:color w:val="auto"/>
        </w:rPr>
      </w:pPr>
      <w:r>
        <w:rPr>
          <w:rFonts w:ascii="Arial" w:cs="Arial" w:eastAsia="Arial" w:hAnsi="Arial"/>
          <w:sz w:val="20"/>
          <w:szCs w:val="20"/>
          <w:color w:val="auto"/>
        </w:rPr>
        <w:t>All expenses incurred by 605 in connection with the services, including travel expenses, shall be borne by 605 without reimbursement from Customer, unless 605 obtains prior written authorization from Customer and submits proper receipts, vouchers and any other requested substantiation. 605 shall not be entitled to receive reimbursement of any overages or additional expenses of any kind without the prior written approval of Customer.</w:t>
      </w:r>
    </w:p>
    <w:p>
      <w:pPr>
        <w:spacing w:after="0" w:line="218" w:lineRule="exact"/>
        <w:rPr>
          <w:sz w:val="20"/>
          <w:szCs w:val="20"/>
          <w:color w:val="auto"/>
        </w:rPr>
      </w:pPr>
    </w:p>
    <w:p>
      <w:pPr>
        <w:ind w:left="652" w:right="260" w:hanging="652"/>
        <w:spacing w:after="0" w:line="236" w:lineRule="auto"/>
        <w:tabs>
          <w:tab w:leader="none" w:pos="360" w:val="left"/>
        </w:tabs>
        <w:numPr>
          <w:ilvl w:val="0"/>
          <w:numId w:val="19"/>
        </w:numPr>
        <w:rPr>
          <w:rFonts w:ascii="Arial" w:cs="Arial" w:eastAsia="Arial" w:hAnsi="Arial"/>
          <w:sz w:val="21"/>
          <w:szCs w:val="21"/>
          <w:b w:val="1"/>
          <w:bCs w:val="1"/>
          <w:color w:val="auto"/>
        </w:rPr>
      </w:pPr>
      <w:r>
        <w:rPr>
          <w:rFonts w:ascii="Arial" w:cs="Arial" w:eastAsia="Arial" w:hAnsi="Arial"/>
          <w:sz w:val="19"/>
          <w:szCs w:val="19"/>
          <w:b w:val="1"/>
          <w:bCs w:val="1"/>
          <w:color w:val="auto"/>
        </w:rPr>
        <w:t>Term</w:t>
      </w:r>
      <w:r>
        <w:rPr>
          <w:rFonts w:ascii="Arial" w:cs="Arial" w:eastAsia="Arial" w:hAnsi="Arial"/>
          <w:sz w:val="19"/>
          <w:szCs w:val="19"/>
          <w:color w:val="auto"/>
        </w:rPr>
        <w:t>. The term of this Statement of Work begins on the Statement of Work Effective Date and ends on December 31, 2022, and shall</w:t>
      </w:r>
      <w:r>
        <w:rPr>
          <w:rFonts w:ascii="Arial" w:cs="Arial" w:eastAsia="Arial" w:hAnsi="Arial"/>
          <w:sz w:val="19"/>
          <w:szCs w:val="19"/>
          <w:b w:val="1"/>
          <w:bCs w:val="1"/>
          <w:color w:val="auto"/>
        </w:rPr>
        <w:t xml:space="preserve"> </w:t>
      </w:r>
      <w:r>
        <w:rPr>
          <w:rFonts w:ascii="Arial" w:cs="Arial" w:eastAsia="Arial" w:hAnsi="Arial"/>
          <w:sz w:val="19"/>
          <w:szCs w:val="19"/>
          <w:color w:val="auto"/>
        </w:rPr>
        <w:t>automatically be extended to end on June 30, 2023 unless earlier terminated pursuant to Section 5.3 of the MSA.</w:t>
      </w:r>
    </w:p>
    <w:p>
      <w:pPr>
        <w:spacing w:after="0" w:line="1" w:lineRule="exact"/>
        <w:rPr>
          <w:rFonts w:ascii="Arial" w:cs="Arial" w:eastAsia="Arial" w:hAnsi="Arial"/>
          <w:sz w:val="21"/>
          <w:szCs w:val="21"/>
          <w:b w:val="1"/>
          <w:bCs w:val="1"/>
          <w:color w:val="auto"/>
        </w:rPr>
      </w:pPr>
    </w:p>
    <w:p>
      <w:pPr>
        <w:ind w:left="352" w:hanging="352"/>
        <w:spacing w:after="0"/>
        <w:tabs>
          <w:tab w:leader="none" w:pos="352"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Estimated Timeline</w:t>
      </w:r>
      <w:r>
        <w:rPr>
          <w:rFonts w:ascii="Arial" w:cs="Arial" w:eastAsia="Arial" w:hAnsi="Arial"/>
          <w:sz w:val="20"/>
          <w:szCs w:val="20"/>
          <w:color w:val="auto"/>
        </w:rPr>
        <w:t>. See Exhibit B.</w:t>
      </w:r>
    </w:p>
    <w:p>
      <w:pPr>
        <w:spacing w:after="0" w:line="207" w:lineRule="exact"/>
        <w:rPr>
          <w:rFonts w:ascii="Arial" w:cs="Arial" w:eastAsia="Arial" w:hAnsi="Arial"/>
          <w:sz w:val="20"/>
          <w:szCs w:val="20"/>
          <w:b w:val="1"/>
          <w:bCs w:val="1"/>
          <w:color w:val="auto"/>
        </w:rPr>
      </w:pPr>
    </w:p>
    <w:p>
      <w:pPr>
        <w:ind w:left="652" w:hanging="652"/>
        <w:spacing w:after="0" w:line="258" w:lineRule="auto"/>
        <w:tabs>
          <w:tab w:leader="none" w:pos="404"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Additional Restrictions</w:t>
      </w:r>
      <w:r>
        <w:rPr>
          <w:rFonts w:ascii="Arial" w:cs="Arial" w:eastAsia="Arial" w:hAnsi="Arial"/>
          <w:sz w:val="19"/>
          <w:szCs w:val="19"/>
          <w:color w:val="auto"/>
        </w:rPr>
        <w:t>. Customer agrees that its use of 605 Materials (including the Deliverables) provided under this Statement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Work is subject at all times to the following restrictions: </w:t>
      </w:r>
      <w:r>
        <w:rPr>
          <w:rFonts w:ascii="Arial" w:cs="Arial" w:eastAsia="Arial" w:hAnsi="Arial"/>
          <w:sz w:val="19"/>
          <w:szCs w:val="19"/>
          <w:b w:val="1"/>
          <w:bCs w:val="1"/>
          <w:color w:val="auto"/>
        </w:rPr>
        <w:t>To the extent any Deliverables involve use of 605 licensed set-top box</w:t>
      </w:r>
      <w:r>
        <w:rPr>
          <w:rFonts w:ascii="Arial" w:cs="Arial" w:eastAsia="Arial" w:hAnsi="Arial"/>
          <w:sz w:val="19"/>
          <w:szCs w:val="19"/>
          <w:color w:val="auto"/>
        </w:rPr>
        <w:t xml:space="preserve"> </w:t>
      </w:r>
      <w:r>
        <w:rPr>
          <w:rFonts w:ascii="Arial" w:cs="Arial" w:eastAsia="Arial" w:hAnsi="Arial"/>
          <w:sz w:val="19"/>
          <w:szCs w:val="19"/>
          <w:b w:val="1"/>
          <w:bCs w:val="1"/>
          <w:color w:val="auto"/>
        </w:rPr>
        <w:t>and ACR data, such Deliverables shall be provided on an aggregated and anonymized basis.</w:t>
      </w:r>
    </w:p>
    <w:p>
      <w:pPr>
        <w:spacing w:after="0" w:line="200" w:lineRule="exact"/>
        <w:rPr>
          <w:rFonts w:ascii="Arial" w:cs="Arial" w:eastAsia="Arial" w:hAnsi="Arial"/>
          <w:sz w:val="19"/>
          <w:szCs w:val="19"/>
          <w:b w:val="1"/>
          <w:bCs w:val="1"/>
          <w:color w:val="auto"/>
        </w:rPr>
      </w:pPr>
    </w:p>
    <w:p>
      <w:pPr>
        <w:spacing w:after="0" w:line="235" w:lineRule="exact"/>
        <w:rPr>
          <w:rFonts w:ascii="Arial" w:cs="Arial" w:eastAsia="Arial" w:hAnsi="Arial"/>
          <w:sz w:val="19"/>
          <w:szCs w:val="19"/>
          <w:b w:val="1"/>
          <w:bCs w:val="1"/>
          <w:color w:val="auto"/>
        </w:rPr>
      </w:pPr>
    </w:p>
    <w:p>
      <w:pPr>
        <w:ind w:left="4672" w:hanging="111"/>
        <w:spacing w:after="0"/>
        <w:tabs>
          <w:tab w:leader="none" w:pos="4672" w:val="left"/>
        </w:tabs>
        <w:numPr>
          <w:ilvl w:val="1"/>
          <w:numId w:val="19"/>
        </w:numPr>
        <w:rPr>
          <w:rFonts w:ascii="Arial" w:cs="Arial" w:eastAsia="Arial" w:hAnsi="Arial"/>
          <w:sz w:val="20"/>
          <w:szCs w:val="20"/>
          <w:color w:val="auto"/>
        </w:rPr>
      </w:pPr>
      <w:r>
        <w:rPr>
          <w:rFonts w:ascii="Arial" w:cs="Arial" w:eastAsia="Arial" w:hAnsi="Arial"/>
          <w:sz w:val="20"/>
          <w:szCs w:val="20"/>
          <w:color w:val="auto"/>
        </w:rPr>
        <w:t>Signature Page Follows -</w:t>
      </w:r>
    </w:p>
    <w:p>
      <w:pPr>
        <w:sectPr>
          <w:pgSz w:w="11900" w:h="16838" w:orient="portrait"/>
          <w:cols w:equalWidth="0" w:num="1">
            <w:col w:w="11232"/>
          </w:cols>
          <w:pgMar w:left="328" w:top="1432" w:right="339" w:bottom="1440" w:gutter="0" w:footer="0" w:header="0"/>
        </w:sectPr>
      </w:pPr>
    </w:p>
    <w:bookmarkStart w:id="47" w:name="page48"/>
    <w:bookmarkEnd w:id="47"/>
    <w:p>
      <w:pPr>
        <w:ind w:right="520"/>
        <w:spacing w:after="0" w:line="236" w:lineRule="auto"/>
        <w:rPr>
          <w:sz w:val="20"/>
          <w:szCs w:val="20"/>
          <w:color w:val="auto"/>
        </w:rPr>
      </w:pPr>
      <w:r>
        <w:rPr>
          <w:rFonts w:ascii="Arial" w:cs="Arial" w:eastAsia="Arial" w:hAnsi="Arial"/>
          <w:sz w:val="20"/>
          <w:szCs w:val="20"/>
          <w:color w:val="auto"/>
        </w:rPr>
        <w:t>IN WITNESS WHEREOF, the parties hereto have caused this Statement of Work to be executed by their duly authorized representatives as of the Statement of Work Effective Date.</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440" w:type="dxa"/>
            <w:vAlign w:val="bottom"/>
            <w:tcBorders>
              <w:top w:val="single" w:sz="8" w:color="auto"/>
              <w:left w:val="single" w:sz="8" w:color="auto"/>
              <w:right w:val="single" w:sz="8" w:color="auto"/>
            </w:tcBorders>
            <w:gridSpan w:val="5"/>
          </w:tcPr>
          <w:p>
            <w:pPr>
              <w:jc w:val="center"/>
              <w:spacing w:after="0"/>
              <w:rPr>
                <w:sz w:val="20"/>
                <w:szCs w:val="20"/>
                <w:color w:val="auto"/>
              </w:rPr>
            </w:pPr>
            <w:r>
              <w:rPr>
                <w:rFonts w:ascii="Arial" w:cs="Arial" w:eastAsia="Arial" w:hAnsi="Arial"/>
                <w:sz w:val="20"/>
                <w:szCs w:val="20"/>
                <w:b w:val="1"/>
                <w:bCs w:val="1"/>
                <w:color w:val="auto"/>
              </w:rPr>
              <w:t>RAINBOW MEDIA HOLDINGS LLC</w:t>
            </w:r>
          </w:p>
        </w:tc>
        <w:tc>
          <w:tcPr>
            <w:tcW w:w="2200" w:type="dxa"/>
            <w:vAlign w:val="bottom"/>
            <w:tcBorders>
              <w:top w:val="single" w:sz="8" w:color="auto"/>
            </w:tcBorders>
          </w:tcPr>
          <w:p>
            <w:pPr>
              <w:spacing w:after="0"/>
              <w:rPr>
                <w:sz w:val="23"/>
                <w:szCs w:val="23"/>
                <w:color w:val="auto"/>
              </w:rPr>
            </w:pPr>
          </w:p>
        </w:tc>
        <w:tc>
          <w:tcPr>
            <w:tcW w:w="3420" w:type="dxa"/>
            <w:vAlign w:val="bottom"/>
            <w:tcBorders>
              <w:top w:val="single" w:sz="8" w:color="auto"/>
              <w:right w:val="single" w:sz="8" w:color="auto"/>
            </w:tcBorders>
            <w:gridSpan w:val="5"/>
          </w:tcPr>
          <w:p>
            <w:pPr>
              <w:jc w:val="center"/>
              <w:ind w:right="2220"/>
              <w:spacing w:after="0"/>
              <w:rPr>
                <w:sz w:val="20"/>
                <w:szCs w:val="20"/>
                <w:color w:val="auto"/>
              </w:rPr>
            </w:pPr>
            <w:r>
              <w:rPr>
                <w:rFonts w:ascii="Arial" w:cs="Arial" w:eastAsia="Arial" w:hAnsi="Arial"/>
                <w:sz w:val="20"/>
                <w:szCs w:val="20"/>
                <w:b w:val="1"/>
                <w:bCs w:val="1"/>
                <w:color w:val="auto"/>
                <w:w w:val="97"/>
              </w:rPr>
              <w:t>605, LLC:</w:t>
            </w:r>
          </w:p>
        </w:tc>
      </w:tr>
      <w:tr>
        <w:trPr>
          <w:trHeight w:val="468"/>
        </w:trPr>
        <w:tc>
          <w:tcPr>
            <w:tcW w:w="544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rPr>
              <w:t>By: /s/ Christina Spade</w:t>
            </w:r>
          </w:p>
        </w:tc>
        <w:tc>
          <w:tcPr>
            <w:tcW w:w="5620" w:type="dxa"/>
            <w:vAlign w:val="bottom"/>
            <w:tcBorders>
              <w:right w:val="single" w:sz="8" w:color="auto"/>
            </w:tcBorders>
            <w:gridSpan w:val="6"/>
          </w:tcPr>
          <w:p>
            <w:pPr>
              <w:jc w:val="center"/>
              <w:ind w:right="40"/>
              <w:spacing w:after="0"/>
              <w:rPr>
                <w:sz w:val="20"/>
                <w:szCs w:val="20"/>
                <w:color w:val="auto"/>
              </w:rPr>
            </w:pPr>
            <w:r>
              <w:rPr>
                <w:rFonts w:ascii="Arial" w:cs="Arial" w:eastAsia="Arial" w:hAnsi="Arial"/>
                <w:sz w:val="18"/>
                <w:szCs w:val="18"/>
                <w:color w:val="auto"/>
                <w:w w:val="98"/>
              </w:rPr>
              <w:t>By: /s/ Tom Keaveney</w:t>
            </w:r>
          </w:p>
        </w:tc>
      </w:tr>
      <w:tr>
        <w:trPr>
          <w:trHeight w:val="20"/>
        </w:trPr>
        <w:tc>
          <w:tcPr>
            <w:tcW w:w="2120" w:type="dxa"/>
            <w:vAlign w:val="bottom"/>
            <w:tcBorders>
              <w:left w:val="single" w:sz="8" w:color="auto"/>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tcBorders>
              <w:right w:val="single" w:sz="8" w:color="auto"/>
            </w:tcBorders>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60" w:type="dxa"/>
            <w:vAlign w:val="bottom"/>
            <w:tcBorders>
              <w:right w:val="single" w:sz="8" w:color="auto"/>
            </w:tcBorders>
          </w:tcPr>
          <w:p>
            <w:pPr>
              <w:spacing w:after="0" w:line="20" w:lineRule="exact"/>
              <w:rPr>
                <w:sz w:val="1"/>
                <w:szCs w:val="1"/>
                <w:color w:val="auto"/>
              </w:rPr>
            </w:pPr>
          </w:p>
        </w:tc>
      </w:tr>
      <w:tr>
        <w:trPr>
          <w:trHeight w:val="263"/>
        </w:trPr>
        <w:tc>
          <w:tcPr>
            <w:tcW w:w="544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18"/>
                <w:szCs w:val="18"/>
                <w:i w:val="1"/>
                <w:iCs w:val="1"/>
                <w:color w:val="auto"/>
                <w:w w:val="99"/>
              </w:rPr>
              <w:t>Authorized Signature</w:t>
            </w:r>
          </w:p>
        </w:tc>
        <w:tc>
          <w:tcPr>
            <w:tcW w:w="5620" w:type="dxa"/>
            <w:vAlign w:val="bottom"/>
            <w:tcBorders>
              <w:right w:val="single" w:sz="8" w:color="auto"/>
            </w:tcBorders>
            <w:gridSpan w:val="6"/>
          </w:tcPr>
          <w:p>
            <w:pPr>
              <w:jc w:val="center"/>
              <w:ind w:right="20"/>
              <w:spacing w:after="0"/>
              <w:rPr>
                <w:sz w:val="20"/>
                <w:szCs w:val="20"/>
                <w:color w:val="auto"/>
              </w:rPr>
            </w:pPr>
            <w:r>
              <w:rPr>
                <w:rFonts w:ascii="Arial" w:cs="Arial" w:eastAsia="Arial" w:hAnsi="Arial"/>
                <w:sz w:val="18"/>
                <w:szCs w:val="18"/>
                <w:i w:val="1"/>
                <w:iCs w:val="1"/>
                <w:color w:val="auto"/>
                <w:w w:val="99"/>
              </w:rPr>
              <w:t>Authorized Signature</w:t>
            </w:r>
          </w:p>
        </w:tc>
      </w:tr>
      <w:tr>
        <w:trPr>
          <w:trHeight w:val="473"/>
        </w:trPr>
        <w:tc>
          <w:tcPr>
            <w:tcW w:w="2120" w:type="dxa"/>
            <w:vAlign w:val="bottom"/>
            <w:tcBorders>
              <w:left w:val="single" w:sz="8" w:color="auto"/>
            </w:tcBorders>
          </w:tcPr>
          <w:p>
            <w:pPr>
              <w:spacing w:after="0"/>
              <w:rPr>
                <w:sz w:val="24"/>
                <w:szCs w:val="24"/>
                <w:color w:val="auto"/>
              </w:rPr>
            </w:pPr>
          </w:p>
        </w:tc>
        <w:tc>
          <w:tcPr>
            <w:tcW w:w="3320" w:type="dxa"/>
            <w:vAlign w:val="bottom"/>
            <w:tcBorders>
              <w:right w:val="single" w:sz="8" w:color="auto"/>
            </w:tcBorders>
            <w:gridSpan w:val="4"/>
          </w:tcPr>
          <w:p>
            <w:pPr>
              <w:jc w:val="center"/>
              <w:ind w:right="2080"/>
              <w:spacing w:after="0"/>
              <w:rPr>
                <w:sz w:val="20"/>
                <w:szCs w:val="20"/>
                <w:color w:val="auto"/>
              </w:rPr>
            </w:pPr>
            <w:r>
              <w:rPr>
                <w:rFonts w:ascii="Arial" w:cs="Arial" w:eastAsia="Arial" w:hAnsi="Arial"/>
                <w:sz w:val="18"/>
                <w:szCs w:val="18"/>
                <w:color w:val="auto"/>
                <w:w w:val="96"/>
              </w:rPr>
              <w:t>Christina Spade</w:t>
            </w:r>
          </w:p>
        </w:tc>
        <w:tc>
          <w:tcPr>
            <w:tcW w:w="2200" w:type="dxa"/>
            <w:vAlign w:val="bottom"/>
          </w:tcPr>
          <w:p>
            <w:pPr>
              <w:spacing w:after="0"/>
              <w:rPr>
                <w:sz w:val="24"/>
                <w:szCs w:val="24"/>
                <w:color w:val="auto"/>
              </w:rPr>
            </w:pPr>
          </w:p>
        </w:tc>
        <w:tc>
          <w:tcPr>
            <w:tcW w:w="3420" w:type="dxa"/>
            <w:vAlign w:val="bottom"/>
            <w:tcBorders>
              <w:right w:val="single" w:sz="8" w:color="auto"/>
            </w:tcBorders>
            <w:gridSpan w:val="5"/>
          </w:tcPr>
          <w:p>
            <w:pPr>
              <w:jc w:val="center"/>
              <w:ind w:right="2220"/>
              <w:spacing w:after="0"/>
              <w:rPr>
                <w:sz w:val="20"/>
                <w:szCs w:val="20"/>
                <w:color w:val="auto"/>
              </w:rPr>
            </w:pPr>
            <w:r>
              <w:rPr>
                <w:rFonts w:ascii="Arial" w:cs="Arial" w:eastAsia="Arial" w:hAnsi="Arial"/>
                <w:sz w:val="18"/>
                <w:szCs w:val="18"/>
                <w:color w:val="auto"/>
                <w:w w:val="99"/>
              </w:rPr>
              <w:t>Tom Keaveney</w:t>
            </w:r>
          </w:p>
        </w:tc>
      </w:tr>
      <w:tr>
        <w:trPr>
          <w:trHeight w:val="263"/>
        </w:trPr>
        <w:tc>
          <w:tcPr>
            <w:tcW w:w="2120" w:type="dxa"/>
            <w:vAlign w:val="bottom"/>
            <w:tcBorders>
              <w:left w:val="single" w:sz="8" w:color="auto"/>
            </w:tcBorders>
          </w:tcPr>
          <w:p>
            <w:pPr>
              <w:spacing w:after="0"/>
              <w:rPr>
                <w:sz w:val="22"/>
                <w:szCs w:val="22"/>
                <w:color w:val="auto"/>
              </w:rPr>
            </w:pPr>
          </w:p>
        </w:tc>
        <w:tc>
          <w:tcPr>
            <w:tcW w:w="12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i w:val="1"/>
                <w:iCs w:val="1"/>
                <w:color w:val="auto"/>
                <w:w w:val="99"/>
              </w:rPr>
              <w:t>Printed Name</w:t>
            </w:r>
          </w:p>
        </w:tc>
        <w:tc>
          <w:tcPr>
            <w:tcW w:w="2080" w:type="dxa"/>
            <w:vAlign w:val="bottom"/>
            <w:tcBorders>
              <w:right w:val="single" w:sz="8" w:color="auto"/>
            </w:tcBorders>
            <w:gridSpan w:val="2"/>
          </w:tcPr>
          <w:p>
            <w:pPr>
              <w:spacing w:after="0"/>
              <w:rPr>
                <w:sz w:val="22"/>
                <w:szCs w:val="22"/>
                <w:color w:val="auto"/>
              </w:rPr>
            </w:pPr>
          </w:p>
        </w:tc>
        <w:tc>
          <w:tcPr>
            <w:tcW w:w="2200" w:type="dxa"/>
            <w:vAlign w:val="bottom"/>
          </w:tcPr>
          <w:p>
            <w:pPr>
              <w:spacing w:after="0"/>
              <w:rPr>
                <w:sz w:val="22"/>
                <w:szCs w:val="22"/>
                <w:color w:val="auto"/>
              </w:rPr>
            </w:pPr>
          </w:p>
        </w:tc>
        <w:tc>
          <w:tcPr>
            <w:tcW w:w="12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i w:val="1"/>
                <w:iCs w:val="1"/>
                <w:color w:val="auto"/>
                <w:w w:val="99"/>
              </w:rPr>
              <w:t>Printed Name</w:t>
            </w:r>
          </w:p>
        </w:tc>
        <w:tc>
          <w:tcPr>
            <w:tcW w:w="2220" w:type="dxa"/>
            <w:vAlign w:val="bottom"/>
            <w:tcBorders>
              <w:right w:val="single" w:sz="8" w:color="auto"/>
            </w:tcBorders>
            <w:gridSpan w:val="2"/>
          </w:tcPr>
          <w:p>
            <w:pPr>
              <w:spacing w:after="0"/>
              <w:rPr>
                <w:sz w:val="22"/>
                <w:szCs w:val="22"/>
                <w:color w:val="auto"/>
              </w:rPr>
            </w:pPr>
          </w:p>
        </w:tc>
      </w:tr>
      <w:tr>
        <w:trPr>
          <w:trHeight w:val="473"/>
        </w:trPr>
        <w:tc>
          <w:tcPr>
            <w:tcW w:w="2120" w:type="dxa"/>
            <w:vAlign w:val="bottom"/>
            <w:tcBorders>
              <w:left w:val="single" w:sz="8" w:color="auto"/>
            </w:tcBorders>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COO and CFO</w:t>
            </w:r>
          </w:p>
        </w:tc>
        <w:tc>
          <w:tcPr>
            <w:tcW w:w="2120" w:type="dxa"/>
            <w:vAlign w:val="bottom"/>
            <w:tcBorders>
              <w:right w:val="single" w:sz="8" w:color="auto"/>
            </w:tcBorders>
            <w:gridSpan w:val="3"/>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President</w:t>
            </w:r>
          </w:p>
        </w:tc>
        <w:tc>
          <w:tcPr>
            <w:tcW w:w="2440" w:type="dxa"/>
            <w:vAlign w:val="bottom"/>
            <w:tcBorders>
              <w:right w:val="single" w:sz="8" w:color="auto"/>
            </w:tcBorders>
            <w:gridSpan w:val="3"/>
          </w:tcPr>
          <w:p>
            <w:pPr>
              <w:spacing w:after="0"/>
              <w:rPr>
                <w:sz w:val="24"/>
                <w:szCs w:val="24"/>
                <w:color w:val="auto"/>
              </w:rPr>
            </w:pPr>
          </w:p>
        </w:tc>
      </w:tr>
      <w:tr>
        <w:trPr>
          <w:trHeight w:val="264"/>
        </w:trPr>
        <w:tc>
          <w:tcPr>
            <w:tcW w:w="2120" w:type="dxa"/>
            <w:vAlign w:val="bottom"/>
            <w:tcBorders>
              <w:left w:val="single" w:sz="8" w:color="auto"/>
            </w:tcBorders>
          </w:tcPr>
          <w:p>
            <w:pPr>
              <w:spacing w:after="0"/>
              <w:rPr>
                <w:sz w:val="22"/>
                <w:szCs w:val="22"/>
                <w:color w:val="auto"/>
              </w:rPr>
            </w:pPr>
          </w:p>
        </w:tc>
        <w:tc>
          <w:tcPr>
            <w:tcW w:w="3320" w:type="dxa"/>
            <w:vAlign w:val="bottom"/>
            <w:tcBorders>
              <w:right w:val="single" w:sz="8" w:color="auto"/>
            </w:tcBorders>
            <w:gridSpan w:val="4"/>
          </w:tcPr>
          <w:p>
            <w:pPr>
              <w:jc w:val="center"/>
              <w:ind w:right="2100"/>
              <w:spacing w:after="0"/>
              <w:rPr>
                <w:sz w:val="20"/>
                <w:szCs w:val="20"/>
                <w:color w:val="auto"/>
              </w:rPr>
            </w:pPr>
            <w:r>
              <w:rPr>
                <w:rFonts w:ascii="Arial" w:cs="Arial" w:eastAsia="Arial" w:hAnsi="Arial"/>
                <w:sz w:val="18"/>
                <w:szCs w:val="18"/>
                <w:i w:val="1"/>
                <w:iCs w:val="1"/>
                <w:color w:val="auto"/>
                <w:w w:val="99"/>
              </w:rPr>
              <w:t>Title</w:t>
            </w:r>
          </w:p>
        </w:tc>
        <w:tc>
          <w:tcPr>
            <w:tcW w:w="2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0" w:type="dxa"/>
            <w:vAlign w:val="bottom"/>
            <w:tcBorders>
              <w:right w:val="single" w:sz="8" w:color="auto"/>
            </w:tcBorders>
            <w:gridSpan w:val="4"/>
          </w:tcPr>
          <w:p>
            <w:pPr>
              <w:jc w:val="center"/>
              <w:ind w:right="2460"/>
              <w:spacing w:after="0"/>
              <w:rPr>
                <w:sz w:val="20"/>
                <w:szCs w:val="20"/>
                <w:color w:val="auto"/>
              </w:rPr>
            </w:pPr>
            <w:r>
              <w:rPr>
                <w:rFonts w:ascii="Arial" w:cs="Arial" w:eastAsia="Arial" w:hAnsi="Arial"/>
                <w:sz w:val="18"/>
                <w:szCs w:val="18"/>
                <w:i w:val="1"/>
                <w:iCs w:val="1"/>
                <w:color w:val="auto"/>
                <w:w w:val="99"/>
              </w:rPr>
              <w:t>Title</w:t>
            </w:r>
          </w:p>
        </w:tc>
      </w:tr>
      <w:tr>
        <w:trPr>
          <w:trHeight w:val="283"/>
        </w:trPr>
        <w:tc>
          <w:tcPr>
            <w:tcW w:w="2120" w:type="dxa"/>
            <w:vAlign w:val="bottom"/>
            <w:tcBorders>
              <w:left w:val="single" w:sz="8" w:color="auto"/>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060"/>
          </w:cols>
          <w:pgMar w:left="320" w:top="1432" w:right="519" w:bottom="1440" w:gutter="0" w:footer="0" w:header="0"/>
        </w:sectPr>
      </w:pPr>
    </w:p>
    <w:bookmarkStart w:id="48" w:name="page49"/>
    <w:bookmarkEnd w:id="48"/>
    <w:p>
      <w:pPr>
        <w:jc w:val="center"/>
        <w:spacing w:after="0"/>
        <w:rPr>
          <w:sz w:val="20"/>
          <w:szCs w:val="20"/>
          <w:color w:val="auto"/>
        </w:rPr>
      </w:pPr>
      <w:r>
        <w:rPr>
          <w:rFonts w:ascii="Arial" w:cs="Arial" w:eastAsia="Arial" w:hAnsi="Arial"/>
          <w:sz w:val="16"/>
          <w:szCs w:val="16"/>
          <w:b w:val="1"/>
          <w:bCs w:val="1"/>
          <w:color w:val="auto"/>
        </w:rPr>
        <w:t>Exhibit A – Services Detail</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[Intentionally omitted.]</w:t>
      </w:r>
    </w:p>
    <w:p>
      <w:pPr>
        <w:sectPr>
          <w:pgSz w:w="11900" w:h="16838" w:orient="portrait"/>
          <w:cols w:equalWidth="0" w:num="1">
            <w:col w:w="9019"/>
          </w:cols>
          <w:pgMar w:left="1440" w:top="1413" w:right="1440" w:bottom="1440" w:gutter="0" w:footer="0" w:header="0"/>
          <w:type w:val="continuous"/>
        </w:sectPr>
      </w:pPr>
    </w:p>
    <w:bookmarkStart w:id="49" w:name="page50"/>
    <w:bookmarkEnd w:id="49"/>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B</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Deliverables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[Intentionally omitted.]</w:t>
      </w:r>
    </w:p>
    <w:p>
      <w:pPr>
        <w:sectPr>
          <w:pgSz w:w="11900" w:h="16838" w:orient="portrait"/>
          <w:cols w:equalWidth="0" w:num="1">
            <w:col w:w="9019"/>
          </w:cols>
          <w:pgMar w:left="1440" w:top="1440"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ind w:left="1260"/>
              <w:spacing w:after="0"/>
              <w:rPr>
                <w:sz w:val="20"/>
                <w:szCs w:val="20"/>
                <w:color w:val="auto"/>
              </w:rPr>
            </w:pPr>
            <w:r>
              <w:rPr>
                <w:rFonts w:ascii="Arial" w:cs="Arial" w:eastAsia="Arial" w:hAnsi="Arial"/>
                <w:sz w:val="18"/>
                <w:szCs w:val="18"/>
                <w:color w:val="auto"/>
                <w:w w:val="93"/>
              </w:rPr>
              <w:t>Exhibit 22</w:t>
            </w:r>
          </w:p>
        </w:tc>
      </w:tr>
      <w:tr>
        <w:trPr>
          <w:trHeight w:val="810"/>
        </w:trPr>
        <w:tc>
          <w:tcPr>
            <w:tcW w:w="9220" w:type="dxa"/>
            <w:vAlign w:val="bottom"/>
            <w:gridSpan w:val="2"/>
          </w:tcPr>
          <w:p>
            <w:pPr>
              <w:ind w:left="4440"/>
              <w:spacing w:after="0"/>
              <w:rPr>
                <w:sz w:val="20"/>
                <w:szCs w:val="20"/>
                <w:color w:val="auto"/>
              </w:rPr>
            </w:pPr>
            <w:r>
              <w:rPr>
                <w:rFonts w:ascii="Arial" w:cs="Arial" w:eastAsia="Arial" w:hAnsi="Arial"/>
                <w:sz w:val="18"/>
                <w:szCs w:val="18"/>
                <w:b w:val="1"/>
                <w:bCs w:val="1"/>
                <w:color w:val="auto"/>
              </w:rPr>
              <w:t>List of Guarantor Subsidiaries</w:t>
            </w:r>
          </w:p>
        </w:tc>
        <w:tc>
          <w:tcPr>
            <w:tcW w:w="2020" w:type="dxa"/>
            <w:vAlign w:val="bottom"/>
          </w:tcPr>
          <w:p>
            <w:pPr>
              <w:spacing w:after="0"/>
              <w:rPr>
                <w:sz w:val="24"/>
                <w:szCs w:val="24"/>
                <w:color w:val="auto"/>
              </w:rPr>
            </w:pPr>
          </w:p>
        </w:tc>
      </w:tr>
      <w:tr>
        <w:trPr>
          <w:trHeight w:val="270"/>
        </w:trPr>
        <w:tc>
          <w:tcPr>
            <w:tcW w:w="9220" w:type="dxa"/>
            <w:vAlign w:val="bottom"/>
            <w:gridSpan w:val="2"/>
          </w:tcPr>
          <w:p>
            <w:pPr>
              <w:spacing w:after="0"/>
              <w:rPr>
                <w:sz w:val="20"/>
                <w:szCs w:val="20"/>
                <w:color w:val="auto"/>
              </w:rPr>
            </w:pPr>
            <w:r>
              <w:rPr>
                <w:rFonts w:ascii="Arial" w:cs="Arial" w:eastAsia="Arial" w:hAnsi="Arial"/>
                <w:sz w:val="18"/>
                <w:szCs w:val="18"/>
                <w:color w:val="auto"/>
                <w:w w:val="96"/>
              </w:rPr>
              <w:t>As of June 30, 2022, the following subsidiaries of AMC Networks Inc. guarantee the notes issued by AMC Networks Inc.</w:t>
            </w:r>
          </w:p>
        </w:tc>
        <w:tc>
          <w:tcPr>
            <w:tcW w:w="2020" w:type="dxa"/>
            <w:vAlign w:val="bottom"/>
          </w:tcPr>
          <w:p>
            <w:pPr>
              <w:spacing w:after="0"/>
              <w:rPr>
                <w:sz w:val="23"/>
                <w:szCs w:val="23"/>
                <w:color w:val="auto"/>
              </w:rPr>
            </w:pPr>
          </w:p>
        </w:tc>
      </w:tr>
      <w:tr>
        <w:trPr>
          <w:trHeight w:val="240"/>
        </w:trPr>
        <w:tc>
          <w:tcPr>
            <w:tcW w:w="910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12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2nd Party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61st Street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Across the River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Aesir Media Group, LLC</w:t>
            </w:r>
          </w:p>
        </w:tc>
        <w:tc>
          <w:tcPr>
            <w:tcW w:w="2020" w:type="dxa"/>
            <w:vAlign w:val="bottom"/>
          </w:tcPr>
          <w:p>
            <w:pPr>
              <w:ind w:left="20"/>
              <w:spacing w:after="0"/>
              <w:rPr>
                <w:sz w:val="20"/>
                <w:szCs w:val="20"/>
                <w:color w:val="auto"/>
              </w:rPr>
            </w:pPr>
            <w:r>
              <w:rPr>
                <w:rFonts w:ascii="Arial" w:cs="Arial" w:eastAsia="Arial" w:hAnsi="Arial"/>
                <w:sz w:val="16"/>
                <w:szCs w:val="16"/>
                <w:color w:val="auto"/>
              </w:rPr>
              <w:t>Texas</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Film Holdings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Games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Network Entertainment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Networks Broadcasting &amp; Technology</w:t>
            </w:r>
          </w:p>
        </w:tc>
        <w:tc>
          <w:tcPr>
            <w:tcW w:w="2020" w:type="dxa"/>
            <w:vAlign w:val="bottom"/>
          </w:tcPr>
          <w:p>
            <w:pPr>
              <w:ind w:left="20"/>
              <w:spacing w:after="0"/>
              <w:rPr>
                <w:sz w:val="20"/>
                <w:szCs w:val="20"/>
                <w:color w:val="auto"/>
              </w:rPr>
            </w:pPr>
            <w:r>
              <w:rPr>
                <w:rFonts w:ascii="Arial" w:cs="Arial" w:eastAsia="Arial" w:hAnsi="Arial"/>
                <w:sz w:val="16"/>
                <w:szCs w:val="16"/>
                <w:color w:val="auto"/>
              </w:rPr>
              <w:t>New York</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Networks International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Networks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Plus Holdings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Premiere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TV Studios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AMC/Sundance Channel Global Networks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AMCN Properties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American Movie Classics IV Holding Corp</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Animal Control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Anime Network LLC</w:t>
            </w:r>
          </w:p>
        </w:tc>
        <w:tc>
          <w:tcPr>
            <w:tcW w:w="2020" w:type="dxa"/>
            <w:vAlign w:val="bottom"/>
          </w:tcPr>
          <w:p>
            <w:pPr>
              <w:ind w:left="20"/>
              <w:spacing w:after="0"/>
              <w:rPr>
                <w:sz w:val="20"/>
                <w:szCs w:val="20"/>
                <w:color w:val="auto"/>
              </w:rPr>
            </w:pPr>
            <w:r>
              <w:rPr>
                <w:rFonts w:ascii="Arial" w:cs="Arial" w:eastAsia="Arial" w:hAnsi="Arial"/>
                <w:sz w:val="16"/>
                <w:szCs w:val="16"/>
                <w:color w:val="auto"/>
              </w:rPr>
              <w:t>Texas</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Anthem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Badlands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Louisiana</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Badlands Productions 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Brockmire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Cobalt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Comic Scribe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Crossed Pens Development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Dark Winds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Digital Store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Dispatches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Expedition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Five Families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Five Moons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Geese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Ground Work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III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IV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Hap and Leonard Productions 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Hap and Leonard Productions III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HIDIVE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139" w:right="3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4160" w:type="dxa"/>
            <w:vAlign w:val="bottom"/>
            <w:tcBorders>
              <w:bottom w:val="single" w:sz="8" w:color="auto"/>
            </w:tcBorders>
          </w:tcPr>
          <w:p>
            <w:pPr>
              <w:ind w:left="226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Entertainment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Entertainment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Films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In Theaters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Television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Theatres Concessions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Theatres,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TV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TV Studios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TV Studios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Infinite Frontiers,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Japan Creative Contents Alliance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Kindred Spirit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Kopus Productions 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Kopus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Lodge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Lodge Productions 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Making Waves Studio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Mechanical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Monument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Moonhaven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Newfound Lake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NOS4A2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Rhode Island</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Peach Pit Properties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Peachwood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 Down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Premier Quills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Rainbow Film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Rainbow Media Enterprises, Inc.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Rainbow Media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Rectify Productions 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Rectify Productions III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Rectify Productions IV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Rectify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Red Monday Programming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RNC Holding Corporation</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RNC II Holding Corporation</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Roughhouse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Selects VOD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Sentai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Texas</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Sentai Filmworks,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Shudder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68" w:right="3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4160" w:type="dxa"/>
            <w:vAlign w:val="bottom"/>
            <w:tcBorders>
              <w:bottom w:val="single" w:sz="8" w:color="auto"/>
            </w:tcBorders>
          </w:tcPr>
          <w:p>
            <w:pPr>
              <w:ind w:left="226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Sleuth Secrets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Stalwart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Stan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Stan Productions 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Sundance Channel Originals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Sundance Film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SundanceTV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Sxion 23, LLC</w:t>
            </w:r>
          </w:p>
        </w:tc>
        <w:tc>
          <w:tcPr>
            <w:tcW w:w="4160" w:type="dxa"/>
            <w:vAlign w:val="bottom"/>
          </w:tcPr>
          <w:p>
            <w:pPr>
              <w:ind w:left="2160"/>
              <w:spacing w:after="0"/>
              <w:rPr>
                <w:sz w:val="20"/>
                <w:szCs w:val="20"/>
                <w:color w:val="auto"/>
              </w:rPr>
            </w:pPr>
            <w:r>
              <w:rPr>
                <w:rFonts w:ascii="Arial" w:cs="Arial" w:eastAsia="Arial" w:hAnsi="Arial"/>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Tales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IV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IX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VI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VII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VIII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X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XI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Unio Mystica Holding, LLC</w:t>
            </w:r>
          </w:p>
        </w:tc>
        <w:tc>
          <w:tcPr>
            <w:tcW w:w="4160" w:type="dxa"/>
            <w:vAlign w:val="bottom"/>
          </w:tcPr>
          <w:p>
            <w:pPr>
              <w:ind w:left="2160"/>
              <w:spacing w:after="0"/>
              <w:rPr>
                <w:sz w:val="20"/>
                <w:szCs w:val="20"/>
                <w:color w:val="auto"/>
              </w:rPr>
            </w:pPr>
            <w:r>
              <w:rPr>
                <w:rFonts w:ascii="Arial" w:cs="Arial" w:eastAsia="Arial" w:hAnsi="Arial"/>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Universe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Vampire Chronicles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Voom HD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WE TV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 tv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We TV Studios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Woodbury Studios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6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Matthew Blank, certify that:</w:t>
      </w:r>
    </w:p>
    <w:p>
      <w:pPr>
        <w:spacing w:after="0" w:line="171" w:lineRule="exact"/>
        <w:rPr>
          <w:sz w:val="20"/>
          <w:szCs w:val="20"/>
          <w:color w:val="auto"/>
        </w:rPr>
      </w:pPr>
    </w:p>
    <w:p>
      <w:pPr>
        <w:ind w:left="280" w:hanging="1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AMC Networks Inc.;</w:t>
      </w:r>
    </w:p>
    <w:p>
      <w:pPr>
        <w:spacing w:after="0" w:line="171" w:lineRule="exact"/>
        <w:rPr>
          <w:rFonts w:ascii="Arial" w:cs="Arial" w:eastAsia="Arial" w:hAnsi="Arial"/>
          <w:sz w:val="18"/>
          <w:szCs w:val="18"/>
          <w:color w:val="auto"/>
        </w:rPr>
      </w:pPr>
    </w:p>
    <w:p>
      <w:pPr>
        <w:ind w:left="100" w:firstLine="8"/>
        <w:spacing w:after="0" w:line="342" w:lineRule="auto"/>
        <w:tabs>
          <w:tab w:leader="none" w:pos="301"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00" w:firstLine="8"/>
        <w:spacing w:after="0" w:line="277" w:lineRule="auto"/>
        <w:tabs>
          <w:tab w:leader="none" w:pos="3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100" w:firstLine="8"/>
        <w:spacing w:after="0" w:line="263" w:lineRule="auto"/>
        <w:tabs>
          <w:tab w:leader="none" w:pos="31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920" w:hanging="164"/>
        <w:spacing w:after="0" w:line="263" w:lineRule="auto"/>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20" w:hanging="164"/>
        <w:spacing w:after="0" w:line="263" w:lineRule="auto"/>
        <w:tabs>
          <w:tab w:leader="none" w:pos="983"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20" w:hanging="164"/>
        <w:spacing w:after="0" w:line="308" w:lineRule="auto"/>
        <w:tabs>
          <w:tab w:leader="none" w:pos="978"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920" w:hanging="164"/>
        <w:spacing w:after="0" w:line="263" w:lineRule="auto"/>
        <w:tabs>
          <w:tab w:leader="none" w:pos="95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00" w:firstLine="8"/>
        <w:spacing w:after="0" w:line="308" w:lineRule="auto"/>
        <w:tabs>
          <w:tab w:leader="none" w:pos="29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hanging="164"/>
        <w:spacing w:after="0" w:line="277" w:lineRule="auto"/>
        <w:tabs>
          <w:tab w:leader="none" w:pos="9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hanging="164"/>
        <w:spacing w:after="0" w:line="277" w:lineRule="auto"/>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ugust 5, 2022</w:t>
            </w:r>
          </w:p>
        </w:tc>
        <w:tc>
          <w:tcPr>
            <w:tcW w:w="7100" w:type="dxa"/>
            <w:vAlign w:val="bottom"/>
            <w:gridSpan w:val="2"/>
          </w:tcPr>
          <w:p>
            <w:pPr>
              <w:ind w:left="2420"/>
              <w:spacing w:after="0"/>
              <w:rPr>
                <w:sz w:val="20"/>
                <w:szCs w:val="20"/>
                <w:color w:val="auto"/>
              </w:rPr>
            </w:pPr>
            <w:r>
              <w:rPr>
                <w:rFonts w:ascii="Arial" w:cs="Arial" w:eastAsia="Arial" w:hAnsi="Arial"/>
                <w:sz w:val="18"/>
                <w:szCs w:val="18"/>
                <w:color w:val="auto"/>
              </w:rPr>
              <w:t>By:  /s/ Matthew Blank</w:t>
            </w:r>
          </w:p>
        </w:tc>
      </w:tr>
      <w:tr>
        <w:trPr>
          <w:trHeight w:val="222"/>
        </w:trPr>
        <w:tc>
          <w:tcPr>
            <w:tcW w:w="3400" w:type="dxa"/>
            <w:vAlign w:val="bottom"/>
          </w:tcPr>
          <w:p>
            <w:pPr>
              <w:spacing w:after="0"/>
              <w:rPr>
                <w:sz w:val="19"/>
                <w:szCs w:val="19"/>
                <w:color w:val="auto"/>
              </w:rPr>
            </w:pPr>
          </w:p>
        </w:tc>
        <w:tc>
          <w:tcPr>
            <w:tcW w:w="3640" w:type="dxa"/>
            <w:vAlign w:val="bottom"/>
          </w:tcPr>
          <w:p>
            <w:pPr>
              <w:ind w:left="2860"/>
              <w:spacing w:after="0"/>
              <w:rPr>
                <w:sz w:val="20"/>
                <w:szCs w:val="20"/>
                <w:color w:val="auto"/>
              </w:rPr>
            </w:pPr>
            <w:r>
              <w:rPr>
                <w:rFonts w:ascii="Arial" w:cs="Arial" w:eastAsia="Arial" w:hAnsi="Arial"/>
                <w:sz w:val="18"/>
                <w:szCs w:val="18"/>
                <w:color w:val="auto"/>
              </w:rPr>
              <w:t>Matthew</w:t>
            </w:r>
          </w:p>
        </w:tc>
        <w:tc>
          <w:tcPr>
            <w:tcW w:w="3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Blank</w:t>
            </w:r>
          </w:p>
        </w:tc>
      </w:tr>
      <w:tr>
        <w:trPr>
          <w:trHeight w:val="230"/>
        </w:trPr>
        <w:tc>
          <w:tcPr>
            <w:tcW w:w="3400" w:type="dxa"/>
            <w:vAlign w:val="bottom"/>
          </w:tcPr>
          <w:p>
            <w:pPr>
              <w:spacing w:after="0"/>
              <w:rPr>
                <w:sz w:val="20"/>
                <w:szCs w:val="20"/>
                <w:color w:val="auto"/>
              </w:rPr>
            </w:pPr>
          </w:p>
        </w:tc>
        <w:tc>
          <w:tcPr>
            <w:tcW w:w="7100" w:type="dxa"/>
            <w:vAlign w:val="bottom"/>
            <w:gridSpan w:val="2"/>
          </w:tcPr>
          <w:p>
            <w:pPr>
              <w:ind w:left="2860"/>
              <w:spacing w:after="0"/>
              <w:rPr>
                <w:sz w:val="20"/>
                <w:szCs w:val="20"/>
                <w:color w:val="auto"/>
              </w:rPr>
            </w:pPr>
            <w:r>
              <w:rPr>
                <w:rFonts w:ascii="Arial" w:cs="Arial" w:eastAsia="Arial" w:hAnsi="Arial"/>
                <w:sz w:val="18"/>
                <w:szCs w:val="18"/>
                <w:color w:val="auto"/>
              </w:rPr>
              <w:t>Interim Chief Executive Officer</w:t>
            </w:r>
          </w:p>
        </w:tc>
      </w:tr>
    </w:tbl>
    <w:p>
      <w:pPr>
        <w:sectPr>
          <w:pgSz w:w="11900" w:h="16838" w:orient="portrait"/>
          <w:cols w:equalWidth="0" w:num="1">
            <w:col w:w="11340"/>
          </w:cols>
          <w:pgMar w:left="220" w:top="12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Christina Spade, certify that:</w:t>
      </w:r>
    </w:p>
    <w:p>
      <w:pPr>
        <w:spacing w:after="0" w:line="171" w:lineRule="exact"/>
        <w:rPr>
          <w:sz w:val="20"/>
          <w:szCs w:val="20"/>
          <w:color w:val="auto"/>
        </w:rPr>
      </w:pPr>
    </w:p>
    <w:p>
      <w:pPr>
        <w:ind w:left="280" w:hanging="1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AMC Networks Inc.;</w:t>
      </w:r>
    </w:p>
    <w:p>
      <w:pPr>
        <w:spacing w:after="0" w:line="171" w:lineRule="exact"/>
        <w:rPr>
          <w:rFonts w:ascii="Arial" w:cs="Arial" w:eastAsia="Arial" w:hAnsi="Arial"/>
          <w:sz w:val="18"/>
          <w:szCs w:val="18"/>
          <w:color w:val="auto"/>
        </w:rPr>
      </w:pPr>
    </w:p>
    <w:p>
      <w:pPr>
        <w:ind w:left="100" w:firstLine="8"/>
        <w:spacing w:after="0" w:line="342" w:lineRule="auto"/>
        <w:tabs>
          <w:tab w:leader="none" w:pos="301"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00" w:firstLine="8"/>
        <w:spacing w:after="0" w:line="277" w:lineRule="auto"/>
        <w:tabs>
          <w:tab w:leader="none" w:pos="3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100" w:firstLine="8"/>
        <w:spacing w:after="0" w:line="263" w:lineRule="auto"/>
        <w:tabs>
          <w:tab w:leader="none" w:pos="31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920" w:hanging="164"/>
        <w:spacing w:after="0" w:line="263" w:lineRule="auto"/>
        <w:tabs>
          <w:tab w:leader="none" w:pos="95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20" w:hanging="164"/>
        <w:spacing w:after="0" w:line="263" w:lineRule="auto"/>
        <w:tabs>
          <w:tab w:leader="none" w:pos="983"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20" w:hanging="164"/>
        <w:spacing w:after="0" w:line="308" w:lineRule="auto"/>
        <w:tabs>
          <w:tab w:leader="none" w:pos="978"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920" w:hanging="164"/>
        <w:spacing w:after="0" w:line="263" w:lineRule="auto"/>
        <w:tabs>
          <w:tab w:leader="none" w:pos="95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100" w:firstLine="8"/>
        <w:spacing w:after="0" w:line="308" w:lineRule="auto"/>
        <w:tabs>
          <w:tab w:leader="none" w:pos="29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hanging="164"/>
        <w:spacing w:after="0" w:line="277" w:lineRule="auto"/>
        <w:tabs>
          <w:tab w:leader="none" w:pos="9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hanging="164"/>
        <w:spacing w:after="0" w:line="277" w:lineRule="auto"/>
        <w:tabs>
          <w:tab w:leader="none" w:pos="95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ugust 5, 2022</w:t>
            </w:r>
          </w:p>
        </w:tc>
        <w:tc>
          <w:tcPr>
            <w:tcW w:w="7100" w:type="dxa"/>
            <w:vAlign w:val="bottom"/>
            <w:gridSpan w:val="2"/>
          </w:tcPr>
          <w:p>
            <w:pPr>
              <w:ind w:left="2420"/>
              <w:spacing w:after="0"/>
              <w:rPr>
                <w:sz w:val="20"/>
                <w:szCs w:val="20"/>
                <w:color w:val="auto"/>
              </w:rPr>
            </w:pPr>
            <w:r>
              <w:rPr>
                <w:rFonts w:ascii="Arial" w:cs="Arial" w:eastAsia="Arial" w:hAnsi="Arial"/>
                <w:sz w:val="18"/>
                <w:szCs w:val="18"/>
                <w:color w:val="auto"/>
              </w:rPr>
              <w:t>By:  /s/ Christina Spade</w:t>
            </w:r>
          </w:p>
        </w:tc>
      </w:tr>
      <w:tr>
        <w:trPr>
          <w:trHeight w:val="222"/>
        </w:trPr>
        <w:tc>
          <w:tcPr>
            <w:tcW w:w="3400" w:type="dxa"/>
            <w:vAlign w:val="bottom"/>
          </w:tcPr>
          <w:p>
            <w:pPr>
              <w:spacing w:after="0"/>
              <w:rPr>
                <w:sz w:val="19"/>
                <w:szCs w:val="19"/>
                <w:color w:val="auto"/>
              </w:rPr>
            </w:pPr>
          </w:p>
        </w:tc>
        <w:tc>
          <w:tcPr>
            <w:tcW w:w="3640" w:type="dxa"/>
            <w:vAlign w:val="bottom"/>
          </w:tcPr>
          <w:p>
            <w:pPr>
              <w:ind w:left="2860"/>
              <w:spacing w:after="0"/>
              <w:rPr>
                <w:sz w:val="20"/>
                <w:szCs w:val="20"/>
                <w:color w:val="auto"/>
              </w:rPr>
            </w:pPr>
            <w:r>
              <w:rPr>
                <w:rFonts w:ascii="Arial" w:cs="Arial" w:eastAsia="Arial" w:hAnsi="Arial"/>
                <w:sz w:val="18"/>
                <w:szCs w:val="18"/>
                <w:color w:val="auto"/>
              </w:rPr>
              <w:t>Christina</w:t>
            </w:r>
          </w:p>
        </w:tc>
        <w:tc>
          <w:tcPr>
            <w:tcW w:w="3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Spade</w:t>
            </w:r>
          </w:p>
        </w:tc>
      </w:tr>
      <w:tr>
        <w:trPr>
          <w:trHeight w:val="230"/>
        </w:trPr>
        <w:tc>
          <w:tcPr>
            <w:tcW w:w="3400" w:type="dxa"/>
            <w:vAlign w:val="bottom"/>
          </w:tcPr>
          <w:p>
            <w:pPr>
              <w:spacing w:after="0"/>
              <w:rPr>
                <w:sz w:val="20"/>
                <w:szCs w:val="20"/>
                <w:color w:val="auto"/>
              </w:rPr>
            </w:pPr>
          </w:p>
        </w:tc>
        <w:tc>
          <w:tcPr>
            <w:tcW w:w="7100" w:type="dxa"/>
            <w:vAlign w:val="bottom"/>
            <w:gridSpan w:val="2"/>
          </w:tcPr>
          <w:p>
            <w:pPr>
              <w:ind w:left="2860"/>
              <w:spacing w:after="0"/>
              <w:rPr>
                <w:sz w:val="20"/>
                <w:szCs w:val="20"/>
                <w:color w:val="auto"/>
              </w:rPr>
            </w:pPr>
            <w:r>
              <w:rPr>
                <w:rFonts w:ascii="Arial" w:cs="Arial" w:eastAsia="Arial" w:hAnsi="Arial"/>
                <w:sz w:val="18"/>
                <w:szCs w:val="18"/>
                <w:color w:val="auto"/>
              </w:rPr>
              <w:t>Chief Operating Officer and Chief Financial Officer</w:t>
            </w:r>
          </w:p>
        </w:tc>
      </w:tr>
    </w:tbl>
    <w:p>
      <w:pPr>
        <w:sectPr>
          <w:pgSz w:w="11900" w:h="16838" w:orient="portrait"/>
          <w:cols w:equalWidth="0" w:num="1">
            <w:col w:w="11340"/>
          </w:cols>
          <w:pgMar w:left="220" w:top="12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Quarterly Report on Form 10-Q for the quarter ended June 30, 2022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tcPr>
          <w:p>
            <w:pPr>
              <w:ind w:left="100"/>
              <w:spacing w:after="0"/>
              <w:rPr>
                <w:sz w:val="20"/>
                <w:szCs w:val="20"/>
                <w:color w:val="auto"/>
              </w:rPr>
            </w:pPr>
            <w:r>
              <w:rPr>
                <w:rFonts w:ascii="Arial" w:cs="Arial" w:eastAsia="Arial" w:hAnsi="Arial"/>
                <w:sz w:val="18"/>
                <w:szCs w:val="18"/>
                <w:color w:val="auto"/>
              </w:rPr>
              <w:t>August 5, 2022</w:t>
            </w:r>
          </w:p>
        </w:tc>
        <w:tc>
          <w:tcPr>
            <w:tcW w:w="3100" w:type="dxa"/>
            <w:vAlign w:val="bottom"/>
          </w:tcPr>
          <w:p>
            <w:pPr>
              <w:ind w:left="266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Blank</w:t>
            </w:r>
          </w:p>
        </w:tc>
        <w:tc>
          <w:tcPr>
            <w:tcW w:w="20" w:type="dxa"/>
            <w:vAlign w:val="bottom"/>
          </w:tcPr>
          <w:p>
            <w:pPr>
              <w:spacing w:after="0"/>
              <w:rPr>
                <w:sz w:val="20"/>
                <w:szCs w:val="20"/>
                <w:color w:val="auto"/>
              </w:rPr>
            </w:pPr>
          </w:p>
        </w:tc>
      </w:tr>
      <w:tr>
        <w:trPr>
          <w:trHeight w:val="222"/>
        </w:trPr>
        <w:tc>
          <w:tcPr>
            <w:tcW w:w="5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Matthew Blank</w:t>
            </w:r>
          </w:p>
        </w:tc>
        <w:tc>
          <w:tcPr>
            <w:tcW w:w="2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Interim Chief Executive Officer</w:t>
            </w:r>
          </w:p>
        </w:tc>
        <w:tc>
          <w:tcPr>
            <w:tcW w:w="20" w:type="dxa"/>
            <w:vAlign w:val="bottom"/>
          </w:tcPr>
          <w:p>
            <w:pPr>
              <w:spacing w:after="0"/>
              <w:rPr>
                <w:sz w:val="20"/>
                <w:szCs w:val="20"/>
                <w:color w:val="auto"/>
              </w:rPr>
            </w:pPr>
          </w:p>
        </w:tc>
      </w:tr>
      <w:tr>
        <w:trPr>
          <w:trHeight w:val="621"/>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tcPr>
          <w:p>
            <w:pPr>
              <w:ind w:left="120"/>
              <w:spacing w:after="0"/>
              <w:rPr>
                <w:sz w:val="20"/>
                <w:szCs w:val="20"/>
                <w:color w:val="auto"/>
              </w:rPr>
            </w:pPr>
            <w:r>
              <w:rPr>
                <w:rFonts w:ascii="Arial" w:cs="Arial" w:eastAsia="Arial" w:hAnsi="Arial"/>
                <w:sz w:val="18"/>
                <w:szCs w:val="18"/>
                <w:color w:val="auto"/>
              </w:rPr>
              <w:t>August 5, 2022</w:t>
            </w:r>
          </w:p>
        </w:tc>
        <w:tc>
          <w:tcPr>
            <w:tcW w:w="3100" w:type="dxa"/>
            <w:vAlign w:val="bottom"/>
          </w:tcPr>
          <w:p>
            <w:pPr>
              <w:ind w:left="266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Christina Spade</w:t>
            </w:r>
          </w:p>
        </w:tc>
        <w:tc>
          <w:tcPr>
            <w:tcW w:w="20" w:type="dxa"/>
            <w:vAlign w:val="bottom"/>
            <w:tcBorders>
              <w:bottom w:val="single" w:sz="8" w:color="auto"/>
            </w:tcBorders>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Christina Spade</w:t>
            </w:r>
          </w:p>
        </w:tc>
        <w:tc>
          <w:tcPr>
            <w:tcW w:w="20" w:type="dxa"/>
            <w:vAlign w:val="bottom"/>
          </w:tcPr>
          <w:p>
            <w:pPr>
              <w:spacing w:after="0"/>
              <w:rPr>
                <w:sz w:val="19"/>
                <w:szCs w:val="19"/>
                <w:color w:val="auto"/>
              </w:rPr>
            </w:pPr>
          </w:p>
        </w:tc>
      </w:tr>
      <w:tr>
        <w:trPr>
          <w:trHeight w:val="176"/>
        </w:trPr>
        <w:tc>
          <w:tcPr>
            <w:tcW w:w="5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rPr>
              <w:t>Chief Operating Officer and Chief Financial</w:t>
            </w:r>
          </w:p>
        </w:tc>
        <w:tc>
          <w:tcPr>
            <w:tcW w:w="20" w:type="dxa"/>
            <w:vAlign w:val="bottom"/>
          </w:tcPr>
          <w:p>
            <w:pPr>
              <w:spacing w:after="0"/>
              <w:rPr>
                <w:sz w:val="15"/>
                <w:szCs w:val="15"/>
                <w:color w:val="auto"/>
              </w:rPr>
            </w:pPr>
          </w:p>
        </w:tc>
      </w:tr>
      <w:tr>
        <w:trPr>
          <w:trHeight w:val="230"/>
        </w:trPr>
        <w:tc>
          <w:tcPr>
            <w:tcW w:w="5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Officer</w:t>
            </w:r>
          </w:p>
        </w:tc>
        <w:tc>
          <w:tcPr>
            <w:tcW w:w="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2"/>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22"/>
    </w:lvl>
  </w:abstractNum>
  <w:abstractNum w:abstractNumId="14">
    <w:nsid w:val="431BD7B7"/>
    <w:multiLevelType w:val="hybridMultilevel"/>
    <w:lvl w:ilvl="0">
      <w:lvlJc w:val="left"/>
      <w:lvlText w:val="%1"/>
      <w:numFmt w:val="decimal"/>
      <w:start w:val="32"/>
    </w:lvl>
  </w:abstractNum>
  <w:abstractNum w:abstractNumId="15">
    <w:nsid w:val="3F2DBA31"/>
    <w:multiLevelType w:val="hybridMultilevel"/>
    <w:lvl w:ilvl="0">
      <w:lvlJc w:val="left"/>
      <w:lvlText w:val="%1"/>
      <w:numFmt w:val="decimal"/>
      <w:start w:val="104"/>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2"/>
    </w:lvl>
  </w:abstractNum>
  <w:abstractNum w:abstractNumId="18">
    <w:nsid w:val="62BBD95A"/>
    <w:multiLevelType w:val="hybridMultilevel"/>
    <w:lvl w:ilvl="0">
      <w:lvlJc w:val="left"/>
      <w:lvlText w:val="%1."/>
      <w:numFmt w:val="decimal"/>
      <w:start w:val="5"/>
    </w:lvl>
    <w:lvl w:ilvl="1">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2022-08-05T15:13:42Z</dcterms:created>
  <dcterms:modified xsi:type="dcterms:W3CDTF">2022-08-05T15:13:42Z</dcterms:modified>
</cp:coreProperties>
</file>