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88265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3"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Arial" w:cs="Arial" w:eastAsia="Arial" w:hAnsi="Arial"/>
                <w:sz w:val="18"/>
                <w:szCs w:val="18"/>
                <w:b w:val="1"/>
                <w:bCs w:val="1"/>
                <w:color w:val="auto"/>
                <w:w w:val="94"/>
              </w:rPr>
              <w:t>For the transition period from</w:t>
            </w:r>
          </w:p>
        </w:tc>
        <w:tc>
          <w:tcPr>
            <w:tcW w:w="4240" w:type="dxa"/>
            <w:vAlign w:val="bottom"/>
            <w:gridSpan w:val="2"/>
          </w:tcPr>
          <w:p>
            <w:pPr>
              <w:ind w:left="60"/>
              <w:spacing w:after="0"/>
              <w:rPr>
                <w:sz w:val="20"/>
                <w:szCs w:val="20"/>
                <w:color w:val="auto"/>
              </w:rPr>
            </w:pPr>
            <w:r>
              <w:rPr>
                <w:rFonts w:ascii="Arial" w:cs="Arial" w:eastAsia="Arial" w:hAnsi="Arial"/>
                <w:sz w:val="18"/>
                <w:szCs w:val="18"/>
                <w:b w:val="1"/>
                <w:bCs w:val="1"/>
                <w:color w:val="auto"/>
              </w:rPr>
              <w:t>to</w:t>
            </w:r>
          </w:p>
        </w:tc>
      </w:tr>
      <w:tr>
        <w:trPr>
          <w:trHeight w:val="270"/>
        </w:trPr>
        <w:tc>
          <w:tcPr>
            <w:tcW w:w="2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1"/>
              </w:rPr>
              <w:t>Commission File Number: 1-35106</w:t>
            </w:r>
          </w:p>
        </w:tc>
      </w:tr>
      <w:tr>
        <w:trPr>
          <w:trHeight w:val="135"/>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71"/>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29"/>
                <w:szCs w:val="29"/>
                <w:b w:val="1"/>
                <w:bCs w:val="1"/>
                <w:color w:val="auto"/>
                <w:w w:val="94"/>
              </w:rPr>
              <w:t>AMC Networks Inc.</w:t>
            </w:r>
          </w:p>
        </w:tc>
      </w:tr>
      <w:tr>
        <w:trPr>
          <w:trHeight w:val="259"/>
        </w:trPr>
        <w:tc>
          <w:tcPr>
            <w:tcW w:w="2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320" w:type="dxa"/>
            <w:vAlign w:val="bottom"/>
            <w:gridSpan w:val="3"/>
          </w:tcPr>
          <w:p>
            <w:pPr>
              <w:jc w:val="center"/>
              <w:ind w:right="270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430"/>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Pr>
          <w:p>
            <w:pPr>
              <w:spacing w:after="0"/>
              <w:rPr>
                <w:sz w:val="24"/>
                <w:szCs w:val="24"/>
                <w:color w:val="auto"/>
              </w:rPr>
            </w:pPr>
          </w:p>
        </w:tc>
        <w:tc>
          <w:tcPr>
            <w:tcW w:w="424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27-5403694</w:t>
            </w:r>
          </w:p>
        </w:tc>
      </w:tr>
      <w:tr>
        <w:trPr>
          <w:trHeight w:val="148"/>
        </w:trPr>
        <w:tc>
          <w:tcPr>
            <w:tcW w:w="3300" w:type="dxa"/>
            <w:vAlign w:val="bottom"/>
            <w:gridSpan w:val="2"/>
          </w:tcPr>
          <w:p>
            <w:pPr>
              <w:jc w:val="center"/>
              <w:ind w:left="12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80" w:type="dxa"/>
            <w:vAlign w:val="bottom"/>
          </w:tcPr>
          <w:p>
            <w:pPr>
              <w:spacing w:after="0"/>
              <w:rPr>
                <w:sz w:val="12"/>
                <w:szCs w:val="12"/>
                <w:color w:val="auto"/>
              </w:rPr>
            </w:pPr>
          </w:p>
        </w:tc>
        <w:tc>
          <w:tcPr>
            <w:tcW w:w="4240" w:type="dxa"/>
            <w:vAlign w:val="bottom"/>
            <w:gridSpan w:val="2"/>
          </w:tcPr>
          <w:p>
            <w:pPr>
              <w:jc w:val="center"/>
              <w:ind w:left="7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00" w:type="dxa"/>
            <w:vAlign w:val="bottom"/>
            <w:gridSpan w:val="2"/>
          </w:tcPr>
          <w:p>
            <w:pPr>
              <w:jc w:val="center"/>
              <w:ind w:left="1219"/>
              <w:spacing w:after="0"/>
              <w:rPr>
                <w:sz w:val="20"/>
                <w:szCs w:val="20"/>
                <w:color w:val="auto"/>
              </w:rPr>
            </w:pPr>
            <w:r>
              <w:rPr>
                <w:rFonts w:ascii="Arial" w:cs="Arial" w:eastAsia="Arial" w:hAnsi="Arial"/>
                <w:sz w:val="14"/>
                <w:szCs w:val="14"/>
                <w:b w:val="1"/>
                <w:bCs w:val="1"/>
                <w:color w:val="auto"/>
                <w:w w:val="94"/>
              </w:rPr>
              <w:t>incorporation or organization)</w:t>
            </w:r>
          </w:p>
        </w:tc>
        <w:tc>
          <w:tcPr>
            <w:tcW w:w="2080" w:type="dxa"/>
            <w:vAlign w:val="bottom"/>
          </w:tcPr>
          <w:p>
            <w:pPr>
              <w:spacing w:after="0"/>
              <w:rPr>
                <w:sz w:val="16"/>
                <w:szCs w:val="16"/>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89"/>
              </w:rPr>
              <w:t>11 Penn Plaza,</w:t>
            </w: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5"/>
        </w:trPr>
        <w:tc>
          <w:tcPr>
            <w:tcW w:w="3300" w:type="dxa"/>
            <w:vAlign w:val="bottom"/>
            <w:gridSpan w:val="2"/>
          </w:tcPr>
          <w:p>
            <w:pPr>
              <w:ind w:left="1460"/>
              <w:spacing w:after="0"/>
              <w:rPr>
                <w:sz w:val="20"/>
                <w:szCs w:val="20"/>
                <w:color w:val="auto"/>
              </w:rPr>
            </w:pPr>
            <w:r>
              <w:rPr>
                <w:rFonts w:ascii="Arial" w:cs="Arial" w:eastAsia="Arial" w:hAnsi="Arial"/>
                <w:sz w:val="18"/>
                <w:szCs w:val="18"/>
                <w:b w:val="1"/>
                <w:bCs w:val="1"/>
                <w:color w:val="auto"/>
              </w:rPr>
              <w:t>New York, NY</w:t>
            </w:r>
          </w:p>
        </w:tc>
        <w:tc>
          <w:tcPr>
            <w:tcW w:w="2080" w:type="dxa"/>
            <w:vAlign w:val="bottom"/>
          </w:tcPr>
          <w:p>
            <w:pPr>
              <w:spacing w:after="0"/>
              <w:rPr>
                <w:sz w:val="19"/>
                <w:szCs w:val="19"/>
                <w:color w:val="auto"/>
              </w:rPr>
            </w:pPr>
          </w:p>
        </w:tc>
        <w:tc>
          <w:tcPr>
            <w:tcW w:w="424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10001</w:t>
            </w:r>
          </w:p>
        </w:tc>
      </w:tr>
      <w:tr>
        <w:trPr>
          <w:trHeight w:val="186"/>
        </w:trPr>
        <w:tc>
          <w:tcPr>
            <w:tcW w:w="53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2"/>
          </w:tcPr>
          <w:p>
            <w:pPr>
              <w:jc w:val="center"/>
              <w:ind w:right="719"/>
              <w:spacing w:after="0"/>
              <w:rPr>
                <w:sz w:val="20"/>
                <w:szCs w:val="20"/>
                <w:color w:val="auto"/>
              </w:rPr>
            </w:pPr>
            <w:r>
              <w:rPr>
                <w:rFonts w:ascii="Arial" w:cs="Arial" w:eastAsia="Arial" w:hAnsi="Arial"/>
                <w:sz w:val="18"/>
                <w:szCs w:val="18"/>
                <w:b w:val="1"/>
                <w:bCs w:val="1"/>
                <w:color w:val="auto"/>
                <w:w w:val="90"/>
              </w:rPr>
              <w:t>(212) 324-8500</w:t>
            </w:r>
          </w:p>
        </w:tc>
        <w:tc>
          <w:tcPr>
            <w:tcW w:w="1920" w:type="dxa"/>
            <w:vAlign w:val="bottom"/>
          </w:tcPr>
          <w:p>
            <w:pPr>
              <w:spacing w:after="0"/>
              <w:rPr>
                <w:sz w:val="24"/>
                <w:szCs w:val="24"/>
                <w:color w:val="auto"/>
              </w:rPr>
            </w:pPr>
          </w:p>
        </w:tc>
      </w:tr>
      <w:tr>
        <w:trPr>
          <w:trHeight w:val="175"/>
        </w:trPr>
        <w:tc>
          <w:tcPr>
            <w:tcW w:w="2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78"/>
        </w:trPr>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tcPr>
          <w:p>
            <w:pPr>
              <w:jc w:val="center"/>
              <w:ind w:left="511"/>
              <w:spacing w:after="0"/>
              <w:rPr>
                <w:sz w:val="20"/>
                <w:szCs w:val="20"/>
                <w:color w:val="auto"/>
              </w:rPr>
            </w:pPr>
            <w:r>
              <w:rPr>
                <w:rFonts w:ascii="Arial" w:cs="Arial" w:eastAsia="Arial" w:hAnsi="Arial"/>
                <w:sz w:val="16"/>
                <w:szCs w:val="16"/>
                <w:b w:val="1"/>
                <w:bCs w:val="1"/>
                <w:color w:val="auto"/>
                <w:w w:val="91"/>
              </w:rPr>
              <w:t>Trading Symbol(s)</w:t>
            </w:r>
          </w:p>
        </w:tc>
        <w:tc>
          <w:tcPr>
            <w:tcW w:w="4240" w:type="dxa"/>
            <w:vAlign w:val="bottom"/>
            <w:gridSpan w:val="2"/>
          </w:tcPr>
          <w:p>
            <w:pPr>
              <w:ind w:left="12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6"/>
        </w:trPr>
        <w:tc>
          <w:tcPr>
            <w:tcW w:w="3300" w:type="dxa"/>
            <w:vAlign w:val="bottom"/>
            <w:gridSpan w:val="2"/>
          </w:tcPr>
          <w:p>
            <w:pPr>
              <w:jc w:val="center"/>
              <w:spacing w:after="0"/>
              <w:rPr>
                <w:sz w:val="20"/>
                <w:szCs w:val="20"/>
                <w:color w:val="auto"/>
              </w:rPr>
            </w:pPr>
            <w:r>
              <w:rPr>
                <w:rFonts w:ascii="Arial" w:cs="Arial" w:eastAsia="Arial" w:hAnsi="Arial"/>
                <w:sz w:val="16"/>
                <w:szCs w:val="16"/>
                <w:color w:val="auto"/>
                <w:w w:val="90"/>
              </w:rPr>
              <w:t>Class A Common Stock, par value $0.01 per share</w:t>
            </w:r>
          </w:p>
        </w:tc>
        <w:tc>
          <w:tcPr>
            <w:tcW w:w="2080" w:type="dxa"/>
            <w:vAlign w:val="bottom"/>
          </w:tcPr>
          <w:p>
            <w:pPr>
              <w:jc w:val="center"/>
              <w:ind w:left="511"/>
              <w:spacing w:after="0"/>
              <w:rPr>
                <w:sz w:val="20"/>
                <w:szCs w:val="20"/>
                <w:color w:val="auto"/>
              </w:rPr>
            </w:pPr>
            <w:r>
              <w:rPr>
                <w:rFonts w:ascii="Arial" w:cs="Arial" w:eastAsia="Arial" w:hAnsi="Arial"/>
                <w:sz w:val="16"/>
                <w:szCs w:val="16"/>
                <w:color w:val="auto"/>
              </w:rPr>
              <w:t>AMCX</w:t>
            </w:r>
          </w:p>
        </w:tc>
        <w:tc>
          <w:tcPr>
            <w:tcW w:w="4240" w:type="dxa"/>
            <w:vAlign w:val="bottom"/>
            <w:gridSpan w:val="2"/>
          </w:tcPr>
          <w:p>
            <w:pPr>
              <w:ind w:left="1460"/>
              <w:spacing w:after="0"/>
              <w:rPr>
                <w:sz w:val="20"/>
                <w:szCs w:val="20"/>
                <w:color w:val="auto"/>
              </w:rPr>
            </w:pPr>
            <w:r>
              <w:rPr>
                <w:rFonts w:ascii="Arial" w:cs="Arial" w:eastAsia="Arial" w:hAnsi="Arial"/>
                <w:sz w:val="16"/>
                <w:szCs w:val="16"/>
                <w:color w:val="auto"/>
              </w:rPr>
              <w:t>The  NASDAQ  Stock Market LLC</w:t>
            </w:r>
          </w:p>
        </w:tc>
      </w:tr>
      <w:tr>
        <w:trPr>
          <w:trHeight w:val="128"/>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r>
    </w:tbl>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7"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1" w:lineRule="exact"/>
        <w:rPr>
          <w:sz w:val="24"/>
          <w:szCs w:val="24"/>
          <w:color w:val="auto"/>
        </w:rPr>
      </w:pPr>
    </w:p>
    <w:p>
      <w:pPr>
        <w:ind w:right="28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0"/>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34"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2"/>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October 28, 2022:</w:t>
            </w:r>
          </w:p>
        </w:tc>
        <w:tc>
          <w:tcPr>
            <w:tcW w:w="3800" w:type="dxa"/>
            <w:vAlign w:val="bottom"/>
          </w:tcPr>
          <w:p>
            <w:pPr>
              <w:spacing w:after="0"/>
              <w:rPr>
                <w:sz w:val="24"/>
                <w:szCs w:val="24"/>
                <w:color w:val="auto"/>
              </w:rPr>
            </w:pPr>
          </w:p>
        </w:tc>
      </w:tr>
      <w:tr>
        <w:trPr>
          <w:trHeight w:val="243"/>
        </w:trPr>
        <w:tc>
          <w:tcPr>
            <w:tcW w:w="7440" w:type="dxa"/>
            <w:vAlign w:val="bottom"/>
          </w:tcPr>
          <w:p>
            <w:pPr>
              <w:ind w:left="140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31,495,577</w:t>
            </w:r>
          </w:p>
        </w:tc>
      </w:tr>
      <w:tr>
        <w:trPr>
          <w:trHeight w:val="21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7360" w:type="dxa"/>
            <w:vAlign w:val="bottom"/>
            <w:gridSpan w:val="9"/>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9"/>
            <w:vMerge w:val="continue"/>
          </w:tcPr>
          <w:p>
            <w:pPr>
              <w:spacing w:after="0"/>
              <w:rPr>
                <w:sz w:val="14"/>
                <w:szCs w:val="14"/>
                <w:color w:val="auto"/>
              </w:rPr>
            </w:pPr>
          </w:p>
        </w:tc>
        <w:tc>
          <w:tcPr>
            <w:tcW w:w="7360" w:type="dxa"/>
            <w:vAlign w:val="bottom"/>
            <w:gridSpan w:val="9"/>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sz w:val="20"/>
                <w:szCs w:val="20"/>
                <w:color w:val="auto"/>
              </w:rPr>
            </w:pPr>
            <w:r>
              <w:rPr>
                <w:rFonts w:ascii="Arial" w:cs="Arial" w:eastAsia="Arial" w:hAnsi="Arial"/>
                <w:sz w:val="18"/>
                <w:szCs w:val="18"/>
                <w:color w:val="0000FF"/>
              </w:rPr>
              <w:t>Item 1. Financial Statements (unaudited)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Income</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14"/>
          </w:tcPr>
          <w:p>
            <w:pPr>
              <w:spacing w:after="0"/>
              <w:rPr>
                <w:sz w:val="20"/>
                <w:szCs w:val="20"/>
                <w:color w:val="auto"/>
              </w:rPr>
            </w:pPr>
            <w:r>
              <w:rPr>
                <w:rFonts w:ascii="Arial" w:cs="Arial" w:eastAsia="Arial" w:hAnsi="Arial"/>
                <w:sz w:val="18"/>
                <w:szCs w:val="18"/>
                <w:color w:val="0000FF"/>
                <w:w w:val="88"/>
              </w:rPr>
              <w:t>Condensed Consolidated Statements of Comprehensive Income</w:t>
            </w: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22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Cash Flows</w:t>
            </w:r>
          </w:p>
        </w:tc>
        <w:tc>
          <w:tcPr>
            <w:tcW w:w="5540" w:type="dxa"/>
            <w:vAlign w:val="bottom"/>
            <w:gridSpan w:val="3"/>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Item 4.</w:t>
            </w:r>
          </w:p>
        </w:tc>
        <w:tc>
          <w:tcPr>
            <w:tcW w:w="180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88"/>
              </w:rPr>
              <w:t>Controls and Procedures</w:t>
            </w:r>
          </w:p>
        </w:tc>
        <w:tc>
          <w:tcPr>
            <w:tcW w:w="2580" w:type="dxa"/>
            <w:vAlign w:val="bottom"/>
            <w:tcBorders>
              <w:top w:val="single" w:sz="8" w:color="0000FF"/>
            </w:tcBorders>
            <w:gridSpan w:val="9"/>
          </w:tcPr>
          <w:p>
            <w:pPr>
              <w:spacing w:after="0"/>
              <w:rPr>
                <w:sz w:val="18"/>
                <w:szCs w:val="18"/>
                <w:color w:val="auto"/>
              </w:rPr>
            </w:pP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rPr>
              <w:t>PART II. OTHER INFORMATION</w:t>
            </w:r>
          </w:p>
        </w:tc>
        <w:tc>
          <w:tcPr>
            <w:tcW w:w="76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1.</w:t>
            </w:r>
          </w:p>
        </w:tc>
        <w:tc>
          <w:tcPr>
            <w:tcW w:w="136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88"/>
              </w:rPr>
              <w:t>Legal Proceedings</w:t>
            </w:r>
          </w:p>
        </w:tc>
        <w:tc>
          <w:tcPr>
            <w:tcW w:w="834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2.</w:t>
            </w:r>
          </w:p>
        </w:tc>
        <w:tc>
          <w:tcPr>
            <w:tcW w:w="438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9700" w:type="dxa"/>
            <w:vAlign w:val="bottom"/>
            <w:gridSpan w:val="15"/>
          </w:tcPr>
          <w:p>
            <w:pPr>
              <w:ind w:left="20"/>
              <w:spacing w:after="0"/>
              <w:rPr>
                <w:sz w:val="20"/>
                <w:szCs w:val="20"/>
                <w:color w:val="auto"/>
              </w:rPr>
            </w:pPr>
            <w:r>
              <w:rPr>
                <w:rFonts w:ascii="Arial" w:cs="Arial" w:eastAsia="Arial" w:hAnsi="Arial"/>
                <w:sz w:val="18"/>
                <w:szCs w:val="18"/>
                <w:color w:val="0000FF"/>
              </w:rPr>
              <w:t>Exhibits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18"/>
          </w:tcPr>
          <w:p>
            <w:pPr>
              <w:spacing w:after="0"/>
              <w:rPr>
                <w:sz w:val="20"/>
                <w:szCs w:val="20"/>
                <w:color w:val="auto"/>
              </w:rPr>
            </w:pPr>
            <w:r>
              <w:rPr>
                <w:rFonts w:ascii="Arial" w:cs="Arial" w:eastAsia="Arial" w:hAnsi="Arial"/>
                <w:sz w:val="18"/>
                <w:szCs w:val="18"/>
                <w:b w:val="1"/>
                <w:bCs w:val="1"/>
                <w:color w:val="0000FF"/>
              </w:rPr>
              <w:t>SIGNATURES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tbl>
      <w:tblPr>
        <w:tblLayout w:type="fixed"/>
        <w:tblInd w:w="0" w:type="dxa"/>
        <w:tblCellMar>
          <w:top w:w="0" w:type="dxa"/>
          <w:left w:w="0" w:type="dxa"/>
          <w:bottom w:w="0" w:type="dxa"/>
          <w:right w:w="0" w:type="dxa"/>
        </w:tblCellMar>
      </w:tblPr>
      <w:tr>
        <w:trPr>
          <w:trHeight w:val="184"/>
        </w:trPr>
        <w:tc>
          <w:tcPr>
            <w:tcW w:w="7600" w:type="dxa"/>
            <w:vAlign w:val="bottom"/>
          </w:tcPr>
          <w:p>
            <w:pPr>
              <w:jc w:val="center"/>
              <w:ind w:left="3579"/>
              <w:spacing w:after="0"/>
              <w:rPr>
                <w:sz w:val="20"/>
                <w:szCs w:val="20"/>
                <w:color w:val="auto"/>
              </w:rPr>
            </w:pPr>
            <w:r>
              <w:rPr>
                <w:rFonts w:ascii="Arial" w:cs="Arial" w:eastAsia="Arial" w:hAnsi="Arial"/>
                <w:sz w:val="16"/>
                <w:szCs w:val="16"/>
                <w:b w:val="1"/>
                <w:bCs w:val="1"/>
                <w:color w:val="auto"/>
              </w:rPr>
              <w:t>AMC NETWORKS INC. AND SUBSIDIARIES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00" w:type="dxa"/>
            <w:vAlign w:val="bottom"/>
          </w:tcPr>
          <w:p>
            <w:pPr>
              <w:jc w:val="center"/>
              <w:ind w:left="3579"/>
              <w:spacing w:after="0" w:line="175" w:lineRule="exact"/>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00" w:type="dxa"/>
            <w:vAlign w:val="bottom"/>
          </w:tcPr>
          <w:p>
            <w:pPr>
              <w:jc w:val="center"/>
              <w:ind w:left="3559"/>
              <w:spacing w:after="0" w:line="162" w:lineRule="exact"/>
              <w:rPr>
                <w:sz w:val="20"/>
                <w:szCs w:val="20"/>
                <w:color w:val="auto"/>
              </w:rPr>
            </w:pPr>
            <w:r>
              <w:rPr>
                <w:rFonts w:ascii="Arial" w:cs="Arial" w:eastAsia="Arial" w:hAnsi="Arial"/>
                <w:sz w:val="16"/>
                <w:szCs w:val="16"/>
                <w:b w:val="1"/>
                <w:bCs w:val="1"/>
                <w:color w:val="auto"/>
                <w:w w:val="89"/>
              </w:rPr>
              <w:t>(in thousands, except per share amounts)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tcPr>
          <w:p>
            <w:pPr>
              <w:jc w:val="center"/>
              <w:ind w:left="3559"/>
              <w:spacing w:after="0"/>
              <w:rPr>
                <w:sz w:val="20"/>
                <w:szCs w:val="20"/>
                <w:color w:val="auto"/>
              </w:rPr>
            </w:pPr>
            <w:r>
              <w:rPr>
                <w:rFonts w:ascii="Arial" w:cs="Arial" w:eastAsia="Arial" w:hAnsi="Arial"/>
                <w:sz w:val="16"/>
                <w:szCs w:val="16"/>
                <w:b w:val="1"/>
                <w:bCs w:val="1"/>
                <w:color w:val="auto"/>
                <w:w w:val="91"/>
              </w:rPr>
              <w:t>(unaudited)</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99"/>
        </w:trPr>
        <w:tc>
          <w:tcPr>
            <w:tcW w:w="7600" w:type="dxa"/>
            <w:vAlign w:val="bottom"/>
          </w:tcPr>
          <w:p>
            <w:pPr>
              <w:ind w:left="350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790,930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892,221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trade (less allowance for doubtful accounts of $8,549 and $8,030)</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815,444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Current portion of program rights,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10,068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414,640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282,453</w:t>
            </w:r>
          </w:p>
        </w:tc>
        <w:tc>
          <w:tcPr>
            <w:tcW w:w="0" w:type="dxa"/>
            <w:vAlign w:val="bottom"/>
          </w:tcPr>
          <w:p>
            <w:pPr>
              <w:spacing w:after="0"/>
              <w:rPr>
                <w:sz w:val="1"/>
                <w:szCs w:val="1"/>
                <w:color w:val="auto"/>
              </w:rPr>
            </w:pPr>
          </w:p>
        </w:tc>
      </w:tr>
      <w:tr>
        <w:trPr>
          <w:trHeight w:val="206"/>
        </w:trPr>
        <w:tc>
          <w:tcPr>
            <w:tcW w:w="7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1,915,038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2,000,186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$328,638 and $286,133</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225,791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2,109,542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1,731,838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399,434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666,619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709,344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109,301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125,866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435,464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545,153</w:t>
            </w:r>
          </w:p>
        </w:tc>
        <w:tc>
          <w:tcPr>
            <w:tcW w:w="0" w:type="dxa"/>
            <w:vAlign w:val="bottom"/>
          </w:tcPr>
          <w:p>
            <w:pPr>
              <w:spacing w:after="0"/>
              <w:rPr>
                <w:sz w:val="1"/>
                <w:szCs w:val="1"/>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5,813,498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5,748,946</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173,207</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309,144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340,407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program rights obligations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307,054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265,071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167,071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of lease obligations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36,596</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1,058,085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170,900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218,321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2,804,720</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128,832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151,839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163,600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165,860</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4,491,521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4,562,425</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272,483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283,849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A Common Stock, $0.01 par value, 360,000 shares authorized, 66,077 and 65,485 shares issued and 31,484</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30,892 shares outstanding, respectively</w:t>
            </w: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w w:val="99"/>
              </w:rPr>
              <w:t>Class B Common Stock, $0.01 par value, 90,000 shares authorized, 11,484 shares issued and outstanding</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347,204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347,971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2,098,047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(1,419,882)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(175,818)</w:t>
            </w:r>
          </w:p>
        </w:tc>
        <w:tc>
          <w:tcPr>
            <w:tcW w:w="0" w:type="dxa"/>
            <w:vAlign w:val="bottom"/>
          </w:tcPr>
          <w:p>
            <w:pPr>
              <w:spacing w:after="0"/>
              <w:rPr>
                <w:sz w:val="1"/>
                <w:szCs w:val="1"/>
                <w:color w:val="auto"/>
              </w:rPr>
            </w:pPr>
          </w:p>
        </w:tc>
      </w:tr>
      <w:tr>
        <w:trPr>
          <w:trHeight w:val="206"/>
        </w:trPr>
        <w:tc>
          <w:tcPr>
            <w:tcW w:w="7600" w:type="dxa"/>
            <w:vAlign w:val="bottom"/>
          </w:tcPr>
          <w:p>
            <w:pPr>
              <w:ind w:left="680"/>
              <w:spacing w:after="0"/>
              <w:rPr>
                <w:sz w:val="20"/>
                <w:szCs w:val="20"/>
                <w:color w:val="auto"/>
              </w:rPr>
            </w:pPr>
            <w:r>
              <w:rPr>
                <w:rFonts w:ascii="Arial" w:cs="Arial" w:eastAsia="Arial" w:hAnsi="Arial"/>
                <w:sz w:val="16"/>
                <w:szCs w:val="16"/>
                <w:color w:val="auto"/>
              </w:rPr>
              <w:t>Total AMC Networks stockholders' equity</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1,002,430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851,088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51,584</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1,049,494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902,672</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5,813,498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5,748,946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5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2,132,025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2,273,899</w:t>
            </w: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Technical and operating (excluding depreciation and amortization)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997,677</w:t>
            </w:r>
          </w:p>
        </w:tc>
      </w:tr>
      <w:tr>
        <w:trPr>
          <w:trHeight w:val="229"/>
        </w:trPr>
        <w:tc>
          <w:tcPr>
            <w:tcW w:w="55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207,972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670,444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610,164</w:t>
            </w: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w:t>
            </w: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Impairment and other charges</w:t>
            </w: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158,973</w:t>
            </w: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r>
      <w:tr>
        <w:trPr>
          <w:trHeight w:val="223"/>
        </w:trPr>
        <w:tc>
          <w:tcPr>
            <w:tcW w:w="55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531,166</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622,440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1,653,468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1,847,609</w:t>
            </w:r>
          </w:p>
        </w:tc>
      </w:tr>
      <w:tr>
        <w:trPr>
          <w:trHeight w:val="223"/>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426,290</w:t>
            </w: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(97,674)</w:t>
            </w:r>
          </w:p>
        </w:tc>
      </w:tr>
      <w:tr>
        <w:trPr>
          <w:trHeight w:val="229"/>
        </w:trPr>
        <w:tc>
          <w:tcPr>
            <w:tcW w:w="55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7,614</w:t>
            </w: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r>
      <w:tr>
        <w:trPr>
          <w:trHeight w:val="229"/>
        </w:trPr>
        <w:tc>
          <w:tcPr>
            <w:tcW w:w="5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Miscellaneous, net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19,634</w:t>
            </w:r>
          </w:p>
        </w:tc>
      </w:tr>
      <w:tr>
        <w:trPr>
          <w:trHeight w:val="223"/>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Income from operations before income taxes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333,790</w:t>
            </w: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(77,980)</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255,810</w:t>
            </w: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Net income attributable to AMC Networks'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84,666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233,557</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5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income per share attributable to AMC Networks' stockholders: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16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42,308</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43,332</w:t>
            </w:r>
          </w:p>
        </w:tc>
      </w:tr>
    </w:tbl>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93"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6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255,810</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(32,282)</w:t>
            </w:r>
          </w:p>
        </w:tc>
      </w:tr>
      <w:tr>
        <w:trPr>
          <w:trHeight w:val="230"/>
        </w:trPr>
        <w:tc>
          <w:tcPr>
            <w:tcW w:w="5660" w:type="dxa"/>
            <w:vAlign w:val="bottom"/>
          </w:tcPr>
          <w:p>
            <w:pPr>
              <w:ind w:left="680"/>
              <w:spacing w:after="0"/>
              <w:rPr>
                <w:sz w:val="20"/>
                <w:szCs w:val="20"/>
                <w:color w:val="auto"/>
              </w:rPr>
            </w:pPr>
            <w:r>
              <w:rPr>
                <w:rFonts w:ascii="Arial" w:cs="Arial" w:eastAsia="Arial" w:hAnsi="Arial"/>
                <w:sz w:val="18"/>
                <w:szCs w:val="18"/>
                <w:color w:val="auto"/>
              </w:rPr>
              <w:t>Unrealized gain on interest rate swaps</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23"/>
        </w:trPr>
        <w:tc>
          <w:tcPr>
            <w:tcW w:w="5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before income taxes</w:t>
            </w: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(30,454)</w:t>
            </w:r>
          </w:p>
        </w:tc>
      </w:tr>
      <w:tr>
        <w:trPr>
          <w:trHeight w:val="230"/>
        </w:trPr>
        <w:tc>
          <w:tcPr>
            <w:tcW w:w="5660" w:type="dxa"/>
            <w:vAlign w:val="bottom"/>
          </w:tcPr>
          <w:p>
            <w:pPr>
              <w:ind w:left="6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3"/>
        </w:trPr>
        <w:tc>
          <w:tcPr>
            <w:tcW w:w="5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 of income taxes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(30,884)</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224,926</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(21,318)</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203,608</w:t>
            </w: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Class A</w:t>
            </w: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Common</w:t>
            </w:r>
          </w:p>
        </w:tc>
        <w:tc>
          <w:tcPr>
            <w:tcW w:w="2380" w:type="dxa"/>
            <w:vAlign w:val="bottom"/>
            <w:gridSpan w:val="8"/>
          </w:tcPr>
          <w:p>
            <w:pPr>
              <w:ind w:left="40"/>
              <w:spacing w:after="0" w:line="149" w:lineRule="exact"/>
              <w:rPr>
                <w:sz w:val="20"/>
                <w:szCs w:val="20"/>
                <w:color w:val="auto"/>
              </w:rPr>
            </w:pPr>
            <w:r>
              <w:rPr>
                <w:rFonts w:ascii="Arial" w:cs="Arial" w:eastAsia="Arial" w:hAnsi="Arial"/>
                <w:sz w:val="14"/>
                <w:szCs w:val="14"/>
                <w:b w:val="1"/>
                <w:bCs w:val="1"/>
                <w:color w:val="auto"/>
              </w:rPr>
              <w:t>Common   Paid-in   Accumulated</w:t>
            </w:r>
          </w:p>
        </w:tc>
        <w:tc>
          <w:tcPr>
            <w:tcW w:w="90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7"/>
                <w:szCs w:val="17"/>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$ 341,403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2,285,664</w:t>
            </w:r>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(243,292)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964,668</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48,778</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1,013,446</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2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Net income attributable to AMC Networks’</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84,666</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84,666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84,666</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883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 to noncontrolling member</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(52,706)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(52,706)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(54,896)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7,050</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$ 347,204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2,370,330</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(295,998)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1,002,430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47,064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1,049,494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70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Common</w:t>
            </w:r>
          </w:p>
        </w:tc>
        <w:tc>
          <w:tcPr>
            <w:tcW w:w="2380" w:type="dxa"/>
            <w:vAlign w:val="bottom"/>
            <w:gridSpan w:val="8"/>
          </w:tcPr>
          <w:p>
            <w:pPr>
              <w:ind w:left="20"/>
              <w:spacing w:after="0" w:line="145" w:lineRule="exact"/>
              <w:rPr>
                <w:sz w:val="20"/>
                <w:szCs w:val="20"/>
                <w:color w:val="auto"/>
              </w:rPr>
            </w:pPr>
            <w:r>
              <w:rPr>
                <w:rFonts w:ascii="Arial" w:cs="Arial" w:eastAsia="Arial" w:hAnsi="Arial"/>
                <w:sz w:val="14"/>
                <w:szCs w:val="14"/>
                <w:b w:val="1"/>
                <w:bCs w:val="1"/>
                <w:color w:val="auto"/>
              </w:rPr>
              <w:t>Common   Paid-in   Accumulated</w:t>
            </w:r>
          </w:p>
        </w:tc>
        <w:tc>
          <w:tcPr>
            <w:tcW w:w="88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2"/>
                <w:szCs w:val="12"/>
                <w:color w:val="auto"/>
              </w:rPr>
            </w:pPr>
          </w:p>
        </w:tc>
        <w:tc>
          <w:tcPr>
            <w:tcW w:w="8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$ 330,593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1,970,357</w:t>
            </w:r>
          </w:p>
        </w:tc>
        <w:tc>
          <w:tcPr>
            <w:tcW w:w="8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(148,167)</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733,669</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49,873</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783,542</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2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110,651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110,651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110,651</w:t>
            </w:r>
          </w:p>
        </w:tc>
        <w:tc>
          <w:tcPr>
            <w:tcW w:w="0" w:type="dxa"/>
            <w:vAlign w:val="bottom"/>
          </w:tcPr>
          <w:p>
            <w:pPr>
              <w:spacing w:after="0"/>
              <w:rPr>
                <w:sz w:val="1"/>
                <w:szCs w:val="1"/>
                <w:color w:val="auto"/>
              </w:rPr>
            </w:pPr>
          </w:p>
        </w:tc>
      </w:tr>
      <w:tr>
        <w:trPr>
          <w:trHeight w:val="194"/>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2,856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2,856</w:t>
            </w:r>
          </w:p>
        </w:tc>
        <w:tc>
          <w:tcPr>
            <w:tcW w:w="0" w:type="dxa"/>
            <w:vAlign w:val="bottom"/>
          </w:tcPr>
          <w:p>
            <w:pPr>
              <w:spacing w:after="0"/>
              <w:rPr>
                <w:sz w:val="1"/>
                <w:szCs w:val="1"/>
                <w:color w:val="auto"/>
              </w:rPr>
            </w:pPr>
          </w:p>
        </w:tc>
      </w:tr>
      <w:tr>
        <w:trPr>
          <w:trHeight w:val="188"/>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(17,459)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$ 340,033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2,081,008</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(164,899)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837,028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51,571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888,599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4"/>
                <w:szCs w:val="1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Networks</w:t>
            </w:r>
          </w:p>
        </w:tc>
        <w:tc>
          <w:tcPr>
            <w:tcW w:w="10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060" w:type="dxa"/>
            <w:vAlign w:val="bottom"/>
            <w:gridSpan w:val="4"/>
            <w:vMerge w:val="continue"/>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7"/>
                <w:szCs w:val="17"/>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$ 347,971</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2,098,047</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(175,818)</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851,088</w:t>
            </w:r>
          </w:p>
        </w:tc>
        <w:tc>
          <w:tcPr>
            <w:tcW w:w="60" w:type="dxa"/>
            <w:vAlign w:val="bottom"/>
          </w:tcPr>
          <w:p>
            <w:pPr>
              <w:spacing w:after="0"/>
              <w:rPr>
                <w:sz w:val="15"/>
                <w:szCs w:val="15"/>
                <w:color w:val="auto"/>
              </w:rPr>
            </w:pPr>
          </w:p>
        </w:tc>
        <w:tc>
          <w:tcPr>
            <w:tcW w:w="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51,584</w:t>
            </w:r>
          </w:p>
        </w:tc>
        <w:tc>
          <w:tcPr>
            <w:tcW w:w="60" w:type="dxa"/>
            <w:vAlign w:val="bottom"/>
          </w:tcPr>
          <w:p>
            <w:pPr>
              <w:spacing w:after="0"/>
              <w:rPr>
                <w:sz w:val="15"/>
                <w:szCs w:val="15"/>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902,672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3220" w:type="dxa"/>
            <w:vAlign w:val="bottom"/>
            <w:tcBorders>
              <w:right w:val="single" w:sz="8" w:color="CCEEFF"/>
            </w:tcBorders>
            <w:shd w:val="clear" w:color="auto" w:fill="CCEEFF"/>
          </w:tcPr>
          <w:p>
            <w:pPr>
              <w:ind w:left="20"/>
              <w:spacing w:after="0" w:line="115" w:lineRule="exact"/>
              <w:rPr>
                <w:sz w:val="20"/>
                <w:szCs w:val="20"/>
                <w:color w:val="auto"/>
              </w:rPr>
            </w:pPr>
            <w:r>
              <w:rPr>
                <w:rFonts w:ascii="Arial" w:cs="Arial" w:eastAsia="Arial" w:hAnsi="Arial"/>
                <w:sz w:val="13"/>
                <w:szCs w:val="13"/>
                <w:color w:val="auto"/>
              </w:rPr>
              <w:t>Net income attributable to AMC Networks’</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272,283</w:t>
            </w:r>
          </w:p>
        </w:tc>
        <w:tc>
          <w:tcPr>
            <w:tcW w:w="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272,283</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272,283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2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5,192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5,192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2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 net of tax</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(3,366)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2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(120,180)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(120,180)</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23,862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23,862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23,862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2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(21,563)</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(21,557)</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$ 347,204</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2,370,330</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(295,998)</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1,002,430</w:t>
            </w:r>
          </w:p>
        </w:tc>
        <w:tc>
          <w:tcPr>
            <w:tcW w:w="60" w:type="dxa"/>
            <w:vAlign w:val="bottom"/>
          </w:tcPr>
          <w:p>
            <w:pPr>
              <w:spacing w:after="0"/>
              <w:rPr>
                <w:sz w:val="15"/>
                <w:szCs w:val="15"/>
                <w:color w:val="auto"/>
              </w:rPr>
            </w:pPr>
          </w:p>
        </w:tc>
        <w:tc>
          <w:tcPr>
            <w:tcW w:w="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47,064</w:t>
            </w:r>
          </w:p>
        </w:tc>
        <w:tc>
          <w:tcPr>
            <w:tcW w:w="60" w:type="dxa"/>
            <w:vAlign w:val="bottom"/>
          </w:tcPr>
          <w:p>
            <w:pPr>
              <w:spacing w:after="0"/>
              <w:rPr>
                <w:sz w:val="15"/>
                <w:szCs w:val="15"/>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9"/>
              </w:rPr>
              <w:t>1,049,494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Networks</w:t>
            </w:r>
          </w:p>
        </w:tc>
        <w:tc>
          <w:tcPr>
            <w:tcW w:w="20" w:type="dxa"/>
            <w:vAlign w:val="bottom"/>
          </w:tcPr>
          <w:p>
            <w:pPr>
              <w:spacing w:after="0"/>
              <w:rPr>
                <w:sz w:val="12"/>
                <w:szCs w:val="12"/>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Noncontrolling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2"/>
                <w:szCs w:val="12"/>
                <w:color w:val="auto"/>
              </w:rPr>
            </w:pPr>
          </w:p>
        </w:tc>
        <w:tc>
          <w:tcPr>
            <w:tcW w:w="6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96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$ 323,425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1,847,451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 (1,419,882)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26,296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643,101</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260" w:type="dxa"/>
            <w:vAlign w:val="bottom"/>
            <w:tcBorders>
              <w:right w:val="single" w:sz="8" w:color="CCEEFF"/>
            </w:tcBorders>
            <w:gridSpan w:val="2"/>
            <w:shd w:val="clear" w:color="auto" w:fill="CCEEFF"/>
          </w:tcPr>
          <w:p>
            <w:pPr>
              <w:ind w:left="20"/>
              <w:spacing w:after="0" w:line="123"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233,557</w:t>
            </w:r>
          </w:p>
        </w:tc>
        <w:tc>
          <w:tcPr>
            <w:tcW w:w="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233,557</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233,557</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2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2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7,134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member</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Transfer from redeemable noncontrolling interest</w:t>
            </w:r>
          </w:p>
        </w:tc>
        <w:tc>
          <w:tcPr>
            <w:tcW w:w="10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18,367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(29,949)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(29,949)</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(30,884)</w:t>
            </w:r>
          </w:p>
        </w:tc>
        <w:tc>
          <w:tcPr>
            <w:tcW w:w="0" w:type="dxa"/>
            <w:vAlign w:val="bottom"/>
          </w:tcPr>
          <w:p>
            <w:pPr>
              <w:spacing w:after="0"/>
              <w:rPr>
                <w:sz w:val="1"/>
                <w:szCs w:val="1"/>
                <w:color w:val="auto"/>
              </w:rPr>
            </w:pPr>
          </w:p>
        </w:tc>
      </w:tr>
      <w:tr>
        <w:trPr>
          <w:trHeight w:val="182"/>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39,163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39,163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39,163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180"/>
              <w:spacing w:after="0"/>
              <w:rPr>
                <w:sz w:val="20"/>
                <w:szCs w:val="20"/>
                <w:color w:val="auto"/>
              </w:rPr>
            </w:pPr>
            <w:r>
              <w:rPr>
                <w:rFonts w:ascii="Arial" w:cs="Arial" w:eastAsia="Arial" w:hAnsi="Arial"/>
                <w:sz w:val="14"/>
                <w:szCs w:val="14"/>
                <w:color w:val="auto"/>
                <w:w w:val="95"/>
              </w:rPr>
              <w:t>(32,350)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(32,343)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(32,343)</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26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$ 340,033</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2,081,008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 (1,419,882)</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(164,899)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837,028</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51,571</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888,599</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7920" w:type="dxa"/>
            <w:vAlign w:val="bottom"/>
          </w:tcPr>
          <w:p>
            <w:pPr>
              <w:ind w:left="3920"/>
              <w:spacing w:after="0"/>
              <w:rPr>
                <w:sz w:val="20"/>
                <w:szCs w:val="20"/>
                <w:color w:val="auto"/>
              </w:rPr>
            </w:pPr>
            <w:r>
              <w:rPr>
                <w:rFonts w:ascii="Arial" w:cs="Arial" w:eastAsia="Arial" w:hAnsi="Arial"/>
                <w:sz w:val="16"/>
                <w:szCs w:val="16"/>
                <w:b w:val="1"/>
                <w:bCs w:val="1"/>
                <w:color w:val="auto"/>
              </w:rPr>
              <w:t>AMC NETWORKS INC. AND SUBSIDIARIES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81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7920" w:type="dxa"/>
            <w:vAlign w:val="bottom"/>
          </w:tcPr>
          <w:p>
            <w:pPr>
              <w:ind w:left="4620"/>
              <w:spacing w:after="0"/>
              <w:rPr>
                <w:sz w:val="20"/>
                <w:szCs w:val="20"/>
                <w:color w:val="auto"/>
              </w:rPr>
            </w:pPr>
            <w:r>
              <w:rPr>
                <w:rFonts w:ascii="Arial" w:cs="Arial" w:eastAsia="Arial" w:hAnsi="Arial"/>
                <w:sz w:val="16"/>
                <w:szCs w:val="16"/>
                <w:b w:val="1"/>
                <w:bCs w:val="1"/>
                <w:color w:val="auto"/>
              </w:rPr>
              <w:t>(in thousands) / (unaudited)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3"/>
        </w:trPr>
        <w:tc>
          <w:tcPr>
            <w:tcW w:w="7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7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Net income including noncontrolling interests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290,446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255,810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79,556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71,261</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Impairment and other charges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16,055</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Share-based compensation expenses related to equity classified awards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23,862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39,163</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restructuring and other related charges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Amortization of program rights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610,099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601,640</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carriage fees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16,138</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Unrealized foreign currency transaction gain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(10,025)</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w:t>
            </w:r>
          </w:p>
        </w:tc>
      </w:tr>
      <w:tr>
        <w:trPr>
          <w:trHeight w:val="230"/>
        </w:trPr>
        <w:tc>
          <w:tcPr>
            <w:tcW w:w="7920" w:type="dxa"/>
            <w:vAlign w:val="bottom"/>
          </w:tcPr>
          <w:p>
            <w:pPr>
              <w:ind w:left="66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22,074</w:t>
            </w: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Bad debt expense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46,292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31,765</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investments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(3,429)</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38,514</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(62,799)</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Program rights and obligations,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(1,065,937)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(967,172)</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66,822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6,837</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carriage fees,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(29,207)</w:t>
            </w:r>
          </w:p>
        </w:tc>
      </w:tr>
      <w:tr>
        <w:trPr>
          <w:trHeight w:val="213"/>
        </w:trPr>
        <w:tc>
          <w:tcPr>
            <w:tcW w:w="79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12,099</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43,984</w:t>
            </w:r>
          </w:p>
        </w:tc>
      </w:tr>
      <w:tr>
        <w:trPr>
          <w:trHeight w:val="193"/>
        </w:trPr>
        <w:tc>
          <w:tcPr>
            <w:tcW w:w="7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(29,969)</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Return of capital from investees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acquisition of a business, net of cash acquired</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(19,072)</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Acquisition of investments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(28,397)</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on distribution of business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(7,052)</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Loans to investees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 received on loan to investee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13"/>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Proceeds from sale of investments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95,370</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30,880</w:t>
            </w:r>
          </w:p>
        </w:tc>
      </w:tr>
      <w:tr>
        <w:trPr>
          <w:trHeight w:val="193"/>
        </w:trPr>
        <w:tc>
          <w:tcPr>
            <w:tcW w:w="7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issuance of long-term debt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986,000</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long-term debt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(25,313)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(1,015,000)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Deemed repurchases of restricted stock units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(32,343)</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Proceeds from stock option exercises</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9,795</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2,701</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(14,906)</w:t>
            </w:r>
          </w:p>
        </w:tc>
      </w:tr>
      <w:tr>
        <w:trPr>
          <w:trHeight w:val="213"/>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Purchase of noncontrolling interests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(66,619)</w:t>
            </w:r>
          </w:p>
        </w:tc>
      </w:tr>
      <w:tr>
        <w:trPr>
          <w:trHeight w:val="206"/>
        </w:trPr>
        <w:tc>
          <w:tcPr>
            <w:tcW w:w="7920" w:type="dxa"/>
            <w:vAlign w:val="bottom"/>
          </w:tcPr>
          <w:p>
            <w:pPr>
              <w:spacing w:after="0"/>
              <w:rPr>
                <w:sz w:val="20"/>
                <w:szCs w:val="20"/>
                <w:color w:val="auto"/>
              </w:rPr>
            </w:pPr>
            <w:r>
              <w:rPr>
                <w:rFonts w:ascii="Arial" w:cs="Arial" w:eastAsia="Arial" w:hAnsi="Arial"/>
                <w:sz w:val="16"/>
                <w:szCs w:val="16"/>
                <w:color w:val="auto"/>
              </w:rPr>
              <w:t>Net increase (decrease) in cash and cash equivalents from operations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(72,240)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8,245</w:t>
            </w: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(25,804)</w:t>
            </w: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892,221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888,526</w:t>
            </w:r>
          </w:p>
        </w:tc>
      </w:tr>
      <w:tr>
        <w:trPr>
          <w:trHeight w:val="237"/>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790,930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870,967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Operations: </w:t>
      </w:r>
      <w:r>
        <w:rPr>
          <w:rFonts w:ascii="Arial" w:cs="Arial" w:eastAsia="Arial" w:hAnsi="Arial"/>
          <w:sz w:val="18"/>
          <w:szCs w:val="18"/>
          <w:color w:val="auto"/>
        </w:rPr>
        <w:t>Includes our programming services and AMC Broadcasting &amp; Technology. Our programming services consist of our five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programming networks, our streaming services, our AMC Studios operation and IFC Films. Our national programming networks are AMC, WE tv, BBC AMERICA, IFC, and SundanceTV. Our streaming services consist of our global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spacing w:after="0" w:line="86"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our production services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2021 contained in the Company's Annual Report on Form 10-K ("2021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were made to the prior period amounts to conform to the current period presentation.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2022, other than contracts for which the Company has applied the practical expedients, the aggregate amount of transaction price allocated to future performance obligations was not material to our consolidated revenues.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 2021</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Accounts receivable (including long-term receivables within 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925,137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1,106,225</w:t>
            </w:r>
          </w:p>
        </w:tc>
      </w:tr>
      <w:tr>
        <w:trPr>
          <w:trHeight w:val="230"/>
        </w:trPr>
        <w:tc>
          <w:tcPr>
            <w:tcW w:w="7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Prepaid expenses and other 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69,351</w:t>
            </w:r>
          </w:p>
        </w:tc>
      </w:tr>
      <w:tr>
        <w:trPr>
          <w:trHeight w:val="229"/>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29,323</w:t>
            </w:r>
          </w:p>
        </w:tc>
      </w:tr>
      <w:tr>
        <w:trPr>
          <w:trHeight w:val="229"/>
        </w:trPr>
        <w:tc>
          <w:tcPr>
            <w:tcW w:w="7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short-term (Deferred revenue)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167,071</w:t>
            </w: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Contract liabilities, long-term (Deferred revenue included in Other liabilities)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31,832</w:t>
            </w:r>
          </w:p>
        </w:tc>
      </w:tr>
    </w:tbl>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recognized for the nine months ended September 30, 2022 and 2021 relating to the contract liability at December 31, 2021 and 2020 was $63.1 million and $24.4 million,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between basic and diluted weighted average common shares outstanding: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840" w:type="dxa"/>
            <w:vAlign w:val="bottom"/>
            <w:gridSpan w:val="4"/>
          </w:tcPr>
          <w:p>
            <w:pPr>
              <w:ind w:left="120"/>
              <w:spacing w:after="0"/>
              <w:rPr>
                <w:sz w:val="20"/>
                <w:szCs w:val="20"/>
                <w:color w:val="auto"/>
              </w:rPr>
            </w:pPr>
            <w:r>
              <w:rPr>
                <w:rFonts w:ascii="Arial" w:cs="Arial" w:eastAsia="Arial" w:hAnsi="Arial"/>
                <w:sz w:val="16"/>
                <w:szCs w:val="16"/>
                <w:b w:val="1"/>
                <w:bCs w:val="1"/>
                <w:color w:val="auto"/>
                <w:w w:val="99"/>
              </w:rPr>
              <w:t>Three Months Ended September 30,</w:t>
            </w:r>
          </w:p>
        </w:tc>
        <w:tc>
          <w:tcPr>
            <w:tcW w:w="276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42,308</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stock units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of September 30, 2022 and September 30, 2021, 0.9 million and 0.3 million, respectively, of restricted stock units have been excluded from diluted weighted average common shares outstanding, as their impact would have been anti-dilutive.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Board of Directors previously authorized a program to repurchase up to $1.5 billion of its outstanding shares of common stock (the "Stock Repurchase Program"). The Stock Repurchase Program has no pre-established closing date and may be suspended or discontinued at any time. For the three and nine months ended September 30, 2022 and 2021, the Company did not repurchase any shares of its Class A Common Stock. As of September 30, 2022, the Company had $135.3 million of authorization remaining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and Other Charges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impairment and other charges for the three and nine months ended September 30, 2022 or the three months ended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Impairment and other charges for the nine months ended September 30, 2021 were $159.0 million.</w:t>
      </w:r>
    </w:p>
    <w:p>
      <w:pPr>
        <w:spacing w:after="0" w:line="104" w:lineRule="exact"/>
        <w:rPr>
          <w:sz w:val="20"/>
          <w:szCs w:val="20"/>
          <w:color w:val="auto"/>
        </w:rPr>
      </w:pPr>
    </w:p>
    <w:p>
      <w:pPr>
        <w:jc w:val="both"/>
        <w:ind w:firstLine="445"/>
        <w:spacing w:after="0" w:line="236" w:lineRule="auto"/>
        <w:rPr>
          <w:sz w:val="20"/>
          <w:szCs w:val="20"/>
          <w:color w:val="auto"/>
        </w:rPr>
      </w:pPr>
      <w:r>
        <w:rPr>
          <w:rFonts w:ascii="Arial" w:cs="Arial" w:eastAsia="Arial" w:hAnsi="Arial"/>
          <w:sz w:val="18"/>
          <w:szCs w:val="18"/>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The Settlement Agreement provided for a cash payment of $200 million (the “Settlement Payment”) to the Plaintiffs and future revenue sharing related to certain future streaming exhibition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With regard to the Settlement Payment, the Company recorded a charge of $143.0 million during the second quarter of 2021,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included in Impairment and other charges in consideration for the extinguishment of Plaintiffs’ rights to any compensation in connection with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Dead </w:t>
      </w:r>
      <w:r>
        <w:rPr>
          <w:rFonts w:ascii="Arial" w:cs="Arial" w:eastAsia="Arial" w:hAnsi="Arial"/>
          <w:sz w:val="18"/>
          <w:szCs w:val="18"/>
          <w:color w:val="auto"/>
        </w:rPr>
        <w:t>and any related programs and the dismissal of the actions with prejudice, which amount was net of $57.0 million of ordinary course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participations.</w:t>
      </w:r>
    </w:p>
    <w:p>
      <w:pPr>
        <w:spacing w:after="0" w:line="8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("25/7 Media") following the spin-off.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restructuring and other related charges for the three and nine months ended September 30, 2022.</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Restructuring and other related charges of $0.8 million and $9.5 million for the three and nine months ended September 30, 2021, respectively, consisted of $0.8 million and $5.2 million at AMCNI related to severance costs and the termination of distribution in certain international territories for three and nine months ended September 30, 2021, respectively, and $4.3 million of severance costs associated with the restructuring plan announced in November 2020 for the nine months ended September 30, 2021.</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Three Months Ended</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center"/>
              <w:ind w:right="113"/>
              <w:spacing w:after="0"/>
              <w:rPr>
                <w:sz w:val="20"/>
                <w:szCs w:val="20"/>
                <w:color w:val="auto"/>
              </w:rPr>
            </w:pPr>
            <w:r>
              <w:rPr>
                <w:rFonts w:ascii="Arial" w:cs="Arial" w:eastAsia="Arial" w:hAnsi="Arial"/>
                <w:sz w:val="16"/>
                <w:szCs w:val="16"/>
                <w:b w:val="1"/>
                <w:bCs w:val="1"/>
                <w:color w:val="auto"/>
                <w:w w:val="91"/>
              </w:rPr>
              <w:t>September 30,</w:t>
            </w:r>
          </w:p>
        </w:tc>
      </w:tr>
      <w:tr>
        <w:trPr>
          <w:trHeight w:val="23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5,273</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460" w:right="218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9"/>
              </w:rPr>
              <w:t>September 30, 2022</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20" w:type="dxa"/>
            <w:vAlign w:val="bottom"/>
          </w:tcPr>
          <w:p>
            <w:pPr>
              <w:spacing w:after="0"/>
              <w:rPr>
                <w:sz w:val="14"/>
                <w:szCs w:val="14"/>
                <w:color w:val="auto"/>
              </w:rPr>
            </w:pPr>
          </w:p>
        </w:tc>
        <w:tc>
          <w:tcPr>
            <w:tcW w:w="1780" w:type="dxa"/>
            <w:vAlign w:val="bottom"/>
            <w:gridSpan w:val="2"/>
          </w:tcPr>
          <w:p>
            <w:pPr>
              <w:ind w:left="28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299,048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431,416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730,464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1,142,628</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207,016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284,482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81,112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899,127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980,239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1,679,996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2,122,867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2,109,542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2,122,867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December 31, 2021</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20" w:type="dxa"/>
            <w:vAlign w:val="bottom"/>
          </w:tcPr>
          <w:p>
            <w:pPr>
              <w:spacing w:after="0"/>
              <w:rPr>
                <w:sz w:val="14"/>
                <w:szCs w:val="14"/>
                <w:color w:val="auto"/>
              </w:rPr>
            </w:pPr>
          </w:p>
        </w:tc>
        <w:tc>
          <w:tcPr>
            <w:tcW w:w="1780" w:type="dxa"/>
            <w:vAlign w:val="bottom"/>
            <w:gridSpan w:val="2"/>
          </w:tcPr>
          <w:p>
            <w:pPr>
              <w:ind w:left="28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185,228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127,470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312,698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739,506</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61,923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209,986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164,474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Amortization of owned and licensed program rights, included in Technical and operating expenses in the condensed consolidated statements of income,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140" w:type="dxa"/>
            <w:vAlign w:val="bottom"/>
          </w:tcPr>
          <w:p>
            <w:pPr>
              <w:spacing w:after="0"/>
              <w:rPr>
                <w:sz w:val="18"/>
                <w:szCs w:val="18"/>
                <w:color w:val="auto"/>
              </w:rPr>
            </w:pPr>
          </w:p>
        </w:tc>
        <w:tc>
          <w:tcPr>
            <w:tcW w:w="412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1"/>
              </w:rPr>
              <w:t>Nine Months Ended September 30, 2022</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33,728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35,534</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69,262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128,072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82,850</w:t>
            </w:r>
          </w:p>
        </w:tc>
        <w:tc>
          <w:tcPr>
            <w:tcW w:w="18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210,922</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131,350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143,947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29,838</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369,339</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399,177</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46,325</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166,884</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213,209</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157,910</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452,189</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610,099</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140" w:type="dxa"/>
            <w:vAlign w:val="bottom"/>
          </w:tcPr>
          <w:p>
            <w:pPr>
              <w:spacing w:after="0"/>
              <w:rPr>
                <w:sz w:val="18"/>
                <w:szCs w:val="18"/>
                <w:color w:val="auto"/>
              </w:rPr>
            </w:pPr>
          </w:p>
        </w:tc>
        <w:tc>
          <w:tcPr>
            <w:tcW w:w="412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1"/>
              </w:rPr>
              <w:t>Nine Months Ended September 30, 2021</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112,620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12,912</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125,532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197,447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25,049</w:t>
            </w:r>
          </w:p>
        </w:tc>
        <w:tc>
          <w:tcPr>
            <w:tcW w:w="18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222,496</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123,181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142,760</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65,464</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313,680</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379,144</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132,199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136,093</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268,292</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262,911</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338,729</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601,640</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6"/>
          <w:szCs w:val="16"/>
          <w:color w:val="auto"/>
        </w:rPr>
        <w:t>For programming rights predominantly monetized individually or as a group, 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There were no significant program rights write-offs included in technical and operating expense for the three and nine months ended September 30, 2022 or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holds several investments in and loans to non-consolidated entities which are included in Other assets in the condensed consolidated balance sheet. Equity method investments were $79.0 million and $93.7 million at September 30, 2022 and December 31, 2021,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 of income.</w:t>
      </w:r>
    </w:p>
    <w:p>
      <w:pPr>
        <w:spacing w:after="0" w:line="44"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In April 2022, the Company sold its interest in a marketable equity security for $9.9 million. No gains or losses were recorded on marketable equity securities for the three months ended September 30, 2022 and $4.1 million of gains were recorded for the nine months ended September 30, 2022. There were losses of $0.8 million and $8.6 million on marketable equity securities for the three and nine months ended September 30, 2021, respectively. There were no investments in marketable equity securities at September 30, 2022 and $5.8 million of investments in marketable equity securities at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classifies investments without readily determinable fair values that are not accounted for under the equity method as non-marketable equity securities. During the third quarter of 2022, the Company made a $5.0 million investment in a targeted streaming service. Investments in non-marketable equity securities were $42.7 million and $37.7 million at September 30, 2022 and December 31, 2021, respectively. The changes in value as a result of observable price changes, if any, are recorded in miscellaneous,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Domestic Operations</w:t>
            </w:r>
          </w:p>
        </w:tc>
        <w:tc>
          <w:tcPr>
            <w:tcW w:w="260" w:type="dxa"/>
            <w:vAlign w:val="bottom"/>
          </w:tcPr>
          <w:p>
            <w:pPr>
              <w:spacing w:after="0"/>
              <w:rPr>
                <w:sz w:val="16"/>
                <w:szCs w:val="16"/>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6"/>
                <w:szCs w:val="16"/>
                <w:color w:val="auto"/>
              </w:rPr>
            </w:pPr>
          </w:p>
        </w:tc>
        <w:tc>
          <w:tcPr>
            <w:tcW w:w="1380" w:type="dxa"/>
            <w:vAlign w:val="bottom"/>
            <w:vMerge w:val="restart"/>
          </w:tcPr>
          <w:p>
            <w:pPr>
              <w:jc w:val="right"/>
              <w:ind w:right="6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355,874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709,344</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Purchase accounting adjustments</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"second component" goodwill</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(40,631)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(40,631)</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666,619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2022 and December 31, 2021, accumulated impairment charges in the International and Other segment totaled $123.1 million.</w:t>
      </w:r>
    </w:p>
    <w:p>
      <w:pPr>
        <w:spacing w:after="0" w:line="14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purchase accounting adjustments of $1.1 million to the carrying amount of goodwill in Domestic Operations relate to the acquisition of Sentai Holdings, a global supplier of anime content, including its anime-focused HIDIVE subscription streaming service, for which the allocation of goodwill is preliminary and is based on current estimates and currently available information, and is subject to revision based on final allocation of the purchase price to identifiable assets and liabilities acquired.</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$1.0 million in 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2022</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5"/>
              </w:rPr>
              <w:t>Estimated Useful</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Arial" w:cs="Arial" w:eastAsia="Arial" w:hAnsi="Arial"/>
                <w:sz w:val="16"/>
                <w:szCs w:val="16"/>
                <w:b w:val="1"/>
                <w:bCs w:val="1"/>
                <w:color w:val="auto"/>
              </w:rPr>
              <w:t>Lives</w:t>
            </w: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622,495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(357,809)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264,686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340,284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794,329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(434,145)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360,184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1"/>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 2021</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649,543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(354,673)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294,870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826,876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(427,442)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399,434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Aggregate amortization expense for amortizable intangible assets for the three months ended September 30, 2022 and 2021 was $10.2 million and $10.2 million, respectively, and for the nine months ended September 30, 2022 and 2021 was $31.2 million and $29.1 million, respectively. Estimated aggregate amortization expense for intangible assets subject to amortization for each of the following five years 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70"/>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9. Accrued Liabilities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440"/>
              <w:spacing w:after="0"/>
              <w:rPr>
                <w:sz w:val="20"/>
                <w:szCs w:val="20"/>
                <w:color w:val="auto"/>
              </w:rPr>
            </w:pPr>
            <w:r>
              <w:rPr>
                <w:rFonts w:ascii="Arial" w:cs="Arial" w:eastAsia="Arial" w:hAnsi="Arial"/>
                <w:sz w:val="18"/>
                <w:szCs w:val="18"/>
                <w:color w:val="auto"/>
              </w:rPr>
              <w:t>Accrued liabilities consist of the following:</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7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Participations and residuals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137,626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73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440"/>
              <w:spacing w:after="0"/>
              <w:rPr>
                <w:sz w:val="20"/>
                <w:szCs w:val="20"/>
                <w:color w:val="auto"/>
              </w:rPr>
            </w:pPr>
            <w:r>
              <w:rPr>
                <w:rFonts w:ascii="Arial" w:cs="Arial" w:eastAsia="Arial" w:hAnsi="Arial"/>
                <w:sz w:val="18"/>
                <w:szCs w:val="18"/>
                <w:color w:val="auto"/>
              </w:rPr>
              <w:t>The Company's long-term debt consists of the following:</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40"/>
        </w:trPr>
        <w:tc>
          <w:tcPr>
            <w:tcW w:w="20" w:type="dxa"/>
            <w:vAlign w:val="bottom"/>
            <w:tcBorders>
              <w:top w:val="single" w:sz="8" w:color="auto"/>
            </w:tcBorders>
            <w:shd w:val="clear" w:color="auto" w:fill="CCEEFF"/>
          </w:tcPr>
          <w:p>
            <w:pPr>
              <w:spacing w:after="0"/>
              <w:rPr>
                <w:sz w:val="20"/>
                <w:szCs w:val="20"/>
                <w:color w:val="auto"/>
              </w:rPr>
            </w:pPr>
          </w:p>
        </w:tc>
        <w:tc>
          <w:tcPr>
            <w:tcW w:w="7300" w:type="dxa"/>
            <w:vAlign w:val="bottom"/>
            <w:tcBorders>
              <w:top w:val="single" w:sz="8" w:color="auto"/>
            </w:tcBorders>
            <w:gridSpan w:val="2"/>
            <w:shd w:val="clear" w:color="auto" w:fill="CCEEFF"/>
          </w:tcPr>
          <w:p>
            <w:pPr>
              <w:spacing w:after="0" w:line="239"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200" w:type="dxa"/>
            <w:vAlign w:val="bottom"/>
            <w:tcBorders>
              <w:top w:val="single" w:sz="8" w:color="auto"/>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649,688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5.00% Notes due April 2024</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4.75% Notes due August 2025</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4.25% Notes due February 2029</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Unamortized discount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2,818,934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2,838,470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Noncurrent portion of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2,785,184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140" w:right="240" w:hanging="484"/>
        <w:spacing w:after="0" w:line="277" w:lineRule="auto"/>
        <w:tabs>
          <w:tab w:leader="none" w:pos="11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September 30, 2022. Total undrawn revolver commitments are available to be drawn for general corporate purposes of the Company.</w:t>
      </w:r>
    </w:p>
    <w:p>
      <w:pPr>
        <w:spacing w:after="0" w:line="62"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During the nine months ended September 30, 2022, the Company repaid a total of $25.3 million of the principal amount of the Term Loan A Facility in accordance with the terms of the agreement.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condensed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Arial" w:cs="Arial" w:eastAsia="Arial" w:hAnsi="Arial"/>
                <w:sz w:val="16"/>
                <w:szCs w:val="16"/>
                <w:b w:val="1"/>
                <w:bCs w:val="1"/>
                <w:color w:val="auto"/>
              </w:rPr>
              <w:t>Balance Sheet Location</w:t>
            </w:r>
          </w:p>
        </w:tc>
        <w:tc>
          <w:tcPr>
            <w:tcW w:w="24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2022</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2021</w:t>
            </w:r>
          </w:p>
        </w:tc>
      </w:tr>
      <w:tr>
        <w:trPr>
          <w:trHeight w:val="186"/>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109,301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125,866</w:t>
            </w: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137,946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Current portion of lease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32,929</w:t>
            </w:r>
          </w:p>
        </w:tc>
      </w:tr>
      <w:tr>
        <w:trPr>
          <w:trHeight w:val="229"/>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Current portion of lease obligations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36,596</w:t>
            </w:r>
          </w:p>
        </w:tc>
      </w:tr>
      <w:tr>
        <w:trPr>
          <w:trHeight w:val="209"/>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Lease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128,319</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Lease obligations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151,839</w:t>
            </w:r>
          </w:p>
        </w:tc>
      </w:tr>
      <w:tr>
        <w:trPr>
          <w:trHeight w:val="250"/>
        </w:trPr>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4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September 30, 2022 and December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320" w:type="dxa"/>
            <w:vAlign w:val="bottom"/>
            <w:tcBorders>
              <w:top w:val="single" w:sz="8" w:color="auto"/>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w w:val="91"/>
              </w:rPr>
              <w:t>At September 30, 2022:</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r>
      <w:tr>
        <w:trPr>
          <w:trHeight w:val="185"/>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10,045</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3"/>
        </w:trPr>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320" w:type="dxa"/>
            <w:vAlign w:val="bottom"/>
            <w:tcBorders>
              <w:bottom w:val="single" w:sz="8" w:color="auto"/>
            </w:tcBorders>
            <w:shd w:val="clear" w:color="auto" w:fill="CCEEFF"/>
          </w:tcPr>
          <w:p>
            <w:pPr>
              <w:jc w:val="center"/>
              <w:ind w:right="699"/>
              <w:spacing w:after="0"/>
              <w:rPr>
                <w:sz w:val="20"/>
                <w:szCs w:val="20"/>
                <w:color w:val="auto"/>
              </w:rPr>
            </w:pPr>
            <w:r>
              <w:rPr>
                <w:rFonts w:ascii="Arial" w:cs="Arial" w:eastAsia="Arial" w:hAnsi="Arial"/>
                <w:sz w:val="16"/>
                <w:szCs w:val="16"/>
                <w:b w:val="1"/>
                <w:bCs w:val="1"/>
                <w:color w:val="auto"/>
                <w:w w:val="92"/>
              </w:rPr>
              <w:t>At December 31, 2021: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10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Liabilities</w:t>
            </w:r>
          </w:p>
        </w:tc>
        <w:tc>
          <w:tcPr>
            <w:tcW w:w="4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5,911</w:t>
            </w:r>
          </w:p>
        </w:tc>
      </w:tr>
    </w:tbl>
    <w:p>
      <w:pPr>
        <w:spacing w:after="0" w:line="18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(comprised of money market funds) and marketable securities are classified within Level I of the fair value hierarchy because they are valued using quoted market prices.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At September 30, 2022 and December 31, 2021, the Company did not have any material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September 30, 2022</w:t>
            </w: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Carrying</w:t>
            </w:r>
          </w:p>
        </w:tc>
        <w:tc>
          <w:tcPr>
            <w:tcW w:w="340" w:type="dxa"/>
            <w:vAlign w:val="bottom"/>
          </w:tcPr>
          <w:p>
            <w:pPr>
              <w:spacing w:after="0"/>
              <w:rPr>
                <w:sz w:val="16"/>
                <w:szCs w:val="16"/>
                <w:color w:val="auto"/>
              </w:rPr>
            </w:pPr>
          </w:p>
        </w:tc>
        <w:tc>
          <w:tcPr>
            <w:tcW w:w="156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Amount</w:t>
            </w:r>
          </w:p>
        </w:tc>
        <w:tc>
          <w:tcPr>
            <w:tcW w:w="340" w:type="dxa"/>
            <w:vAlign w:val="bottom"/>
          </w:tcPr>
          <w:p>
            <w:pPr>
              <w:spacing w:after="0"/>
              <w:rPr>
                <w:sz w:val="18"/>
                <w:szCs w:val="18"/>
                <w:color w:val="auto"/>
              </w:rPr>
            </w:pPr>
          </w:p>
        </w:tc>
        <w:tc>
          <w:tcPr>
            <w:tcW w:w="1560" w:type="dxa"/>
            <w:vAlign w:val="bottom"/>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641,260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623,700</w:t>
            </w: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r>
      <w:tr>
        <w:trPr>
          <w:trHeight w:val="229"/>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793,645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714,000</w:t>
            </w: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745,000</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2,818,934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2,462,700</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December 31, 2021</w:t>
            </w: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6"/>
                <w:szCs w:val="16"/>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540" w:type="dxa"/>
            <w:vAlign w:val="bottom"/>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4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664,581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670,781</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403,500</w:t>
            </w:r>
          </w:p>
        </w:tc>
      </w:tr>
      <w:tr>
        <w:trPr>
          <w:trHeight w:val="23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792,098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818,000</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997,500</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2,838,470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2,889,781</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80" w:type="dxa"/>
            <w:vAlign w:val="bottom"/>
            <w:gridSpan w:val="2"/>
          </w:tcPr>
          <w:p>
            <w:pPr>
              <w:ind w:left="1460"/>
              <w:spacing w:after="0"/>
              <w:rPr>
                <w:sz w:val="20"/>
                <w:szCs w:val="20"/>
                <w:color w:val="auto"/>
              </w:rPr>
            </w:pPr>
            <w:r>
              <w:rPr>
                <w:rFonts w:ascii="Arial" w:cs="Arial" w:eastAsia="Arial" w:hAnsi="Arial"/>
                <w:sz w:val="16"/>
                <w:szCs w:val="16"/>
                <w:b w:val="1"/>
                <w:bCs w:val="1"/>
                <w:color w:val="auto"/>
              </w:rPr>
              <w:t>Balance Sheet Location</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December 31, 2021</w:t>
            </w:r>
          </w:p>
        </w:tc>
      </w:tr>
      <w:tr>
        <w:trPr>
          <w:trHeight w:val="172"/>
        </w:trPr>
        <w:tc>
          <w:tcPr>
            <w:tcW w:w="33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9"/>
              </w:rPr>
              <w:t>Derivatives not designated as hedging</w:t>
            </w:r>
          </w:p>
        </w:tc>
        <w:tc>
          <w:tcPr>
            <w:tcW w:w="4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instruments:</w:t>
            </w:r>
          </w:p>
        </w:tc>
        <w:tc>
          <w:tcPr>
            <w:tcW w:w="4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Current portion of program rights obligations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4,225</w:t>
            </w:r>
          </w:p>
        </w:tc>
      </w:tr>
    </w:tbl>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of gains and losses related to the Company's derivative financial instruments not designated as hedging instruments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Location of Gain or (Loss) Recognized in Earnings on</w:t>
            </w:r>
          </w:p>
        </w:tc>
        <w:tc>
          <w:tcPr>
            <w:tcW w:w="100" w:type="dxa"/>
            <w:vAlign w:val="bottom"/>
          </w:tcPr>
          <w:p>
            <w:pPr>
              <w:spacing w:after="0"/>
              <w:rPr>
                <w:sz w:val="16"/>
                <w:szCs w:val="16"/>
                <w:color w:val="auto"/>
              </w:rPr>
            </w:pPr>
          </w:p>
        </w:tc>
        <w:tc>
          <w:tcPr>
            <w:tcW w:w="5460" w:type="dxa"/>
            <w:vAlign w:val="bottom"/>
            <w:gridSpan w:val="10"/>
            <w:vMerge w:val="restart"/>
          </w:tcPr>
          <w:p>
            <w:pPr>
              <w:jc w:val="right"/>
              <w:ind w:right="455"/>
              <w:spacing w:after="0"/>
              <w:rPr>
                <w:sz w:val="20"/>
                <w:szCs w:val="20"/>
                <w:color w:val="auto"/>
              </w:rPr>
            </w:pPr>
            <w:r>
              <w:rPr>
                <w:rFonts w:ascii="Arial" w:cs="Arial" w:eastAsia="Arial" w:hAnsi="Arial"/>
                <w:sz w:val="16"/>
                <w:szCs w:val="16"/>
                <w:b w:val="1"/>
                <w:bCs w:val="1"/>
                <w:color w:val="auto"/>
                <w:w w:val="99"/>
              </w:rPr>
              <w:t>Amount of Gain or (Loss) Recognized in Earnings on Derivatives</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4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8"/>
                <w:szCs w:val="18"/>
                <w:color w:val="auto"/>
              </w:rPr>
            </w:pPr>
          </w:p>
        </w:tc>
        <w:tc>
          <w:tcPr>
            <w:tcW w:w="5460" w:type="dxa"/>
            <w:vAlign w:val="bottom"/>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64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gridSpan w:val="4"/>
          </w:tcPr>
          <w:p>
            <w:pPr>
              <w:jc w:val="right"/>
              <w:ind w:right="75"/>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36"/>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Foreign currency</w:t>
            </w:r>
          </w:p>
        </w:tc>
        <w:tc>
          <w:tcPr>
            <w:tcW w:w="3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derivatives</w:t>
            </w:r>
          </w:p>
        </w:tc>
        <w:tc>
          <w:tcPr>
            <w:tcW w:w="4040" w:type="dxa"/>
            <w:vAlign w:val="bottom"/>
            <w:tcBorders>
              <w:bottom w:val="single" w:sz="8" w:color="CCEEFF"/>
            </w:tcBorders>
            <w:gridSpan w:val="2"/>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89"/>
              </w:rPr>
              <w:t>Miscellaneous, net</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08"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For the three and nine months ended September 30, 2022, income tax expense was $28.5 million and $103.1 million, respectively, representing an effective tax rate of 24% and 26%, respectively. The items resulting in variances from the federal statutory rate of 21% for the three and nine months ended September 30, 2022 primarily consist of state and local income tax</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expense, tax expense for an increase in the valuation allowance for foreign taxes and tax expense related to non-deductible compensation.</w:t>
      </w:r>
    </w:p>
    <w:p>
      <w:pPr>
        <w:spacing w:after="0" w:line="90"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17"/>
          <w:szCs w:val="17"/>
          <w:color w:val="auto"/>
        </w:rPr>
        <w:t>For the three and nine months ended September 30, 2021, income tax expense was $40.7 million and $78.0 million, respectively, representing an effective tax rate of 26% and 23%, respectively, as compared to the federal statutory rate of 21%. For the three and nine months ended September 30, 2021, the effective tax rate differs from the federal statutory rate due primarily to state and local income tax expense, tax expense related to non-deductible compensation and tax expense for an increase in valuation allowances for foreign taxes and U.S. foreign tax credits, partially offset by a discrete tax benefit for excess tax benefits related to stock compensation and a tax benefit from foreign operations.</w:t>
      </w:r>
    </w:p>
    <w:p>
      <w:pPr>
        <w:spacing w:after="0" w:line="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September 30, 2022, the Company had foreign tax credit carry forwards of approximately $44.7 million, expiring on various dates from 2022 through 2032. These carryforwards have been reduced by a valuation allowance of $44.7 million as it is more likely than not that these carry forwards will not be realized. For the nine months ended September 30, 2022, $1.0 million relating to amortization of tax deductible second component goodwill was realized as a reduction in tax liability (as determined on a 'with-and-without' approach).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As of September 30, 2022, the Company's contractual obligations not reflected on the Company's condensed consolidated balance sheet decreased $93.2 million, as compared to December 31, 2021, to $970.2 million. The decrease primarily relates to payments for program rights.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A trial of the two remaining claims is currently scheduled for February 2023. The Company believes the two remaining claims in the case for breach of contract are without merit and is continuing to defend against them. At this time, no determination can be made as to the ultimate outcome of this litigation or the potential liability, if any, on the part of the Company.</w:t>
      </w:r>
    </w:p>
    <w:p>
      <w:pPr>
        <w:spacing w:after="0" w:line="6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Equity Plans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August 2022, AMC Networks granted 193,237 restricted stock units ("RSUs") under the AMC Networks Inc. Amended and Restated 2016 Employee Stock Plan to an executive officer. The RSUs vest ratably over a three-year period.</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June 2022, AMC Networks granted 47,398 RSUs under the 2011 Stock Plan for Non-Employee Directors to non-employee directors that vested on the date of grant.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March 2022, AMC Networks granted 628,508 RSUs to certain executive officers and employees under the AMC Networks Inc. Amended and Restated 2016 Employee Stock Plan. The RSUs vest ratably over a three-year period.</w:t>
      </w:r>
    </w:p>
    <w:p>
      <w:pPr>
        <w:spacing w:after="0" w:line="6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During the three months ended September 30, 2022, 102,145 RSUs of AMC Networks Class A Common Stock previously issued to an executive officer vested. On the vesting date, 52,145 RSUs were surrendered to the Company to cover the required statutory tax withholding obligations and 50,000 RSU new shares of AMC Networks Class A Common Stock were issued. During the nine months ended September 30, 2022, 718,236 RSUs and 344,157 performance restricted stock units ("PRSUs") of AMC Networks Class A Common Stock previously issued to employees of the Company vested. On the vesting date, 314,531 RSUs and 155,103 PRSUs were surrendered to the Company to cover the required statutory tax withholding obligations and 403,705 RSU and 189,054 PRSU new shares of AMC Networks Class A Common Stock were issued. Units are surrendered to satisfy the employees' statutory minimum tax withholding obligations for the applicable income and other employment tax. All units surrendered during the nine months ended September 30, 2022 had an aggregate value of $21.6 million, which has been reflected as a financing activity in the condensed consolidated statement of cash flows for the nine months ended September 30, 2022.</w:t>
      </w:r>
    </w:p>
    <w:p>
      <w:pPr>
        <w:spacing w:after="0" w:line="7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Share-based compensation expenses included in selling, general and administrative expenses were $7.1 million and $23.9 million for the three and nine months ended September 30, 2022, respectively and $9.5 million and $39.2 million for the three and nine months ended September 30, 2021, respectively.</w:t>
      </w:r>
    </w:p>
    <w:p>
      <w:pPr>
        <w:spacing w:after="0" w:line="76"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September 30, 2022, there was $34.9 million of total unrecognized share-based compensation cost related to outstanding unvested share-based awards. The unrecognized compensation cost is expected to be recognized over a weighted-average remaining period of approximately 2.2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Redeemable Noncontrolling Interests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activity related to redeemable noncontrolling interest for the nine months ended September 30, 2022 and 2021:</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5700" w:type="dxa"/>
            <w:vAlign w:val="bottom"/>
          </w:tcPr>
          <w:p>
            <w:pPr>
              <w:ind w:left="4320"/>
              <w:spacing w:after="0"/>
              <w:rPr>
                <w:sz w:val="20"/>
                <w:szCs w:val="20"/>
                <w:color w:val="auto"/>
              </w:rPr>
            </w:pPr>
            <w:r>
              <w:rPr>
                <w:rFonts w:ascii="Arial" w:cs="Arial" w:eastAsia="Arial" w:hAnsi="Arial"/>
                <w:sz w:val="16"/>
                <w:szCs w:val="16"/>
                <w:b w:val="1"/>
                <w:bCs w:val="1"/>
                <w:color w:val="auto"/>
                <w:w w:val="91"/>
              </w:rPr>
              <w:t>Nine Months Ended</w:t>
            </w:r>
          </w:p>
        </w:tc>
      </w:tr>
      <w:tr>
        <w:trPr>
          <w:trHeight w:val="210"/>
        </w:trPr>
        <w:tc>
          <w:tcPr>
            <w:tcW w:w="5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700" w:type="dxa"/>
            <w:vAlign w:val="bottom"/>
          </w:tcPr>
          <w:p>
            <w:pPr>
              <w:ind w:left="4340"/>
              <w:spacing w:after="0"/>
              <w:rPr>
                <w:sz w:val="20"/>
                <w:szCs w:val="20"/>
                <w:color w:val="auto"/>
              </w:rPr>
            </w:pPr>
            <w:r>
              <w:rPr>
                <w:rFonts w:ascii="Arial" w:cs="Arial" w:eastAsia="Arial" w:hAnsi="Arial"/>
                <w:sz w:val="16"/>
                <w:szCs w:val="16"/>
                <w:b w:val="1"/>
                <w:bCs w:val="1"/>
                <w:color w:val="auto"/>
                <w:w w:val="89"/>
              </w:rPr>
              <w:t>September 30,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December 31, 2021</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earnings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Distributions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ind w:left="1347" w:hanging="1347"/>
        <w:spacing w:after="0"/>
        <w:tabs>
          <w:tab w:leader="none" w:pos="1347" w:val="left"/>
        </w:tabs>
        <w:numPr>
          <w:ilvl w:val="0"/>
          <w:numId w:val="6"/>
        </w:numPr>
        <w:rPr>
          <w:rFonts w:ascii="Arial" w:cs="Arial" w:eastAsia="Arial" w:hAnsi="Arial"/>
          <w:sz w:val="17"/>
          <w:szCs w:val="17"/>
          <w:color w:val="auto"/>
        </w:rPr>
      </w:pPr>
      <w:r>
        <w:rPr>
          <w:rFonts w:ascii="Arial" w:cs="Arial" w:eastAsia="Arial" w:hAnsi="Arial"/>
          <w:sz w:val="17"/>
          <w:szCs w:val="17"/>
          <w:color w:val="auto"/>
        </w:rPr>
        <w:t>283,849</w:t>
      </w:r>
    </w:p>
    <w:p>
      <w:pPr>
        <w:spacing w:after="0" w:line="34" w:lineRule="exact"/>
        <w:rPr>
          <w:rFonts w:ascii="Arial" w:cs="Arial" w:eastAsia="Arial" w:hAnsi="Arial"/>
          <w:sz w:val="17"/>
          <w:szCs w:val="17"/>
          <w:color w:val="auto"/>
        </w:rPr>
      </w:pPr>
    </w:p>
    <w:p>
      <w:pPr>
        <w:ind w:left="1447"/>
        <w:spacing w:after="0"/>
        <w:rPr>
          <w:rFonts w:ascii="Arial" w:cs="Arial" w:eastAsia="Arial" w:hAnsi="Arial"/>
          <w:sz w:val="17"/>
          <w:szCs w:val="17"/>
          <w:color w:val="auto"/>
        </w:rPr>
      </w:pPr>
      <w:r>
        <w:rPr>
          <w:rFonts w:ascii="Arial" w:cs="Arial" w:eastAsia="Arial" w:hAnsi="Arial"/>
          <w:sz w:val="17"/>
          <w:szCs w:val="17"/>
          <w:color w:val="auto"/>
        </w:rPr>
        <w:t>12,971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-5857240</wp:posOffset>
            </wp:positionH>
            <wp:positionV relativeFrom="paragraph">
              <wp:posOffset>21590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(24,866)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-5857240</wp:posOffset>
            </wp:positionH>
            <wp:positionV relativeFrom="paragraph">
              <wp:posOffset>14605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1347" w:hanging="1347"/>
        <w:spacing w:after="0"/>
        <w:tabs>
          <w:tab w:leader="none" w:pos="1347" w:val="left"/>
        </w:tabs>
        <w:numPr>
          <w:ilvl w:val="0"/>
          <w:numId w:val="7"/>
        </w:numPr>
        <w:rPr>
          <w:rFonts w:ascii="Arial" w:cs="Arial" w:eastAsia="Arial" w:hAnsi="Arial"/>
          <w:sz w:val="17"/>
          <w:szCs w:val="17"/>
          <w:color w:val="auto"/>
        </w:rPr>
      </w:pPr>
      <w:r>
        <w:rPr>
          <w:rFonts w:ascii="Arial" w:cs="Arial" w:eastAsia="Arial" w:hAnsi="Arial"/>
          <w:sz w:val="17"/>
          <w:szCs w:val="17"/>
          <w:color w:val="auto"/>
        </w:rPr>
        <w:t>272,483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1285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7"/>
        <w:spacing w:after="0"/>
        <w:rPr>
          <w:sz w:val="20"/>
          <w:szCs w:val="20"/>
          <w:color w:val="auto"/>
        </w:rPr>
      </w:pPr>
      <w:r>
        <w:rPr>
          <w:rFonts w:ascii="Arial" w:cs="Arial" w:eastAsia="Arial" w:hAnsi="Arial"/>
          <w:sz w:val="16"/>
          <w:szCs w:val="16"/>
          <w:b w:val="1"/>
          <w:bCs w:val="1"/>
          <w:color w:val="auto"/>
        </w:rPr>
        <w:t>Nine Months Ended</w:t>
      </w:r>
    </w:p>
    <w:p>
      <w:pPr>
        <w:ind w:left="327"/>
        <w:spacing w:after="0"/>
        <w:rPr>
          <w:sz w:val="20"/>
          <w:szCs w:val="20"/>
          <w:color w:val="auto"/>
        </w:rPr>
      </w:pPr>
      <w:r>
        <w:rPr>
          <w:rFonts w:ascii="Arial" w:cs="Arial" w:eastAsia="Arial" w:hAnsi="Arial"/>
          <w:sz w:val="16"/>
          <w:szCs w:val="16"/>
          <w:b w:val="1"/>
          <w:bCs w:val="1"/>
          <w:color w:val="auto"/>
        </w:rPr>
        <w:t>September 30, 2021</w:t>
      </w:r>
    </w:p>
    <w:p>
      <w:pPr>
        <w:spacing w:after="0" w:line="8" w:lineRule="exact"/>
        <w:rPr>
          <w:sz w:val="20"/>
          <w:szCs w:val="20"/>
          <w:color w:val="auto"/>
        </w:rPr>
      </w:pPr>
    </w:p>
    <w:p>
      <w:pPr>
        <w:sectPr>
          <w:pgSz w:w="11900" w:h="16838" w:orient="portrait"/>
          <w:cols w:equalWidth="0" w:num="2">
            <w:col w:w="8513" w:space="720"/>
            <w:col w:w="2007"/>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9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15,119</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r>
      <w:tr>
        <w:trPr>
          <w:trHeight w:val="229"/>
        </w:trPr>
        <w:tc>
          <w:tcPr>
            <w:tcW w:w="9220" w:type="dxa"/>
            <w:vAlign w:val="bottom"/>
          </w:tcPr>
          <w:p>
            <w:pPr>
              <w:ind w:left="360"/>
              <w:spacing w:after="0"/>
              <w:rPr>
                <w:sz w:val="20"/>
                <w:szCs w:val="20"/>
                <w:color w:val="auto"/>
              </w:rPr>
            </w:pPr>
            <w:r>
              <w:rPr>
                <w:rFonts w:ascii="Arial" w:cs="Arial" w:eastAsia="Arial" w:hAnsi="Arial"/>
                <w:sz w:val="18"/>
                <w:szCs w:val="18"/>
                <w:color w:val="auto"/>
              </w:rPr>
              <w:t>Distribution related to spin-off transaction</w:t>
            </w: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(8,040)</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to noncontrolling interest</w:t>
            </w:r>
          </w:p>
        </w:tc>
        <w:tc>
          <w:tcPr>
            <w:tcW w:w="7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291,447</w:t>
            </w:r>
          </w:p>
        </w:tc>
      </w:tr>
      <w:tr>
        <w:trPr>
          <w:trHeight w:val="20"/>
        </w:trPr>
        <w:tc>
          <w:tcPr>
            <w:tcW w:w="9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connection with the spin-off of the live comedy venue and talent management businesses of Levity Entertainment Group, LLC (see Note 4), $8.0 million of redeemable noncontrolling interests was distributed to the noncontrolling partners. In addition, as part of the transaction, the preexisting put rights of the noncontrolling interest holders were terminated. Accordingly, the remaining $18.4 million of noncontrolling interests was transferred from Redeemable noncontrolling interests to Noncontrolling interests in the condensed consolidated balance sheet.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Non-redeemable Noncontrolling Interests</w:t>
      </w:r>
    </w:p>
    <w:p>
      <w:pPr>
        <w:spacing w:after="0" w:line="12"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In April 2022, 25/7 Media entered into a purchase agreement to acquire the remaining 50% interest of a consolidated subsidiary. Under the terms of the agreement, 25/7 Media agreed to pay up to $7.1 million, of which $2.5 million was paid in cash upon closing and an additional $4.6 million represents an earn-out that is contingent on the subsidiary exceeding specified profitability targets. Upon the effective date of the transaction, the estimated fair value of the purchase price, based on the weighted average probability of such profitability targets being met, was $4.4 million (net of tax of $0.9 million). The carrying amount of the noncontrolling interest was eliminated and the excess of consideration transferred was recorded as additional-paid-in capital in the condensed consolidated statement of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Company and its related parties enter into transactions with each other in the ordinary course of business. Revenues, net from related parties amounted to $1.3 million and $1.2 million for the three months ended September 30, 2022 and 2021, respectively, and $3.8 million and $3.7 million for the nine months ended September 30, 2022 and 2021, respectively. Amounts charged to the Company, included in selling, general and administrative expenses, pursuant to transactions with its related parties amounted to $3.3 million and $0.5 million for the three months ended September 30, 2022 and 2021, respectively, and $4.6 million and $1.5 million for the nine months ended September 30, 2022 and 2021, respectively.</w:t>
      </w:r>
    </w:p>
    <w:p>
      <w:pPr>
        <w:spacing w:after="0" w:line="68"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disclosed in Note 20 of the Company’s 2021 Annual Report on Form 10-K, from time to time the Company enters into arrangements with 605, LLC. James L. Dolan, the Non-Executive Chairman and a director of the Company, and his spouse, Kristin A. Dolan, a director of the Company, own 50% of 605, LLC. Kristin A. Dolan is also the founder and Chief Executive Officer of 605, LLC. 605, LLC provides audience measurement and data analytics services to the Company and its subsidiaries pursuant to a Master Services Agreement dated February 8, 2019 (the “Master Services Agreement").</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August 1, 2022, the Audit Committee authorized the Company to enter into a Statement of Work for Strategic Analytic Services (the “Statement of Work”) with 605, LLC under the Master Services Agreement. The fees payable to 605, LLC by the Company for these services are $10.5 million payable in five installments with the first payment made upon execution of the agreement. The initial term of the Statement of Work is August 1, 2022 to December 31, 2022, which term is automatically extended to June 30, 2023 unless terminated by either party on 30 days’ notice prior to December 31, 2022.</w:t>
      </w:r>
    </w:p>
    <w:p>
      <w:pPr>
        <w:spacing w:after="0" w:line="80"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Under the Statement of Work, 605, LLC will engage in a strategic, research, market, business and financial assessment of the Company and its business partnering with the Company’s management team. 605, LLC will utilize their expertise, including assessment of extensive real-time business intelligence and consumer research, to enable potential further acceleration of the Company’s long-term growth and value creation. Among the analytic services to be provided by 605, LLC are situation analysis, customer experience, data utilization, addressing the market, content strategy and overview, sales strategy, pricing analysis, customer profiles, content (by offering), marketing strategy and financial analysis.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45"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20320</wp:posOffset>
            </wp:positionV>
            <wp:extent cx="21774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2021</w:t>
            </w: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Operating lease additions</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7,527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29,078</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Contingent consideration for purchase of noncontrolling interests</w:t>
            </w:r>
          </w:p>
        </w:tc>
        <w:tc>
          <w:tcPr>
            <w:tcW w:w="1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Data:</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Cash interest paid</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105,827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99,890</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 net</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September 30,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349,338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52,765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402,103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82,101</w:t>
            </w:r>
          </w:p>
        </w:tc>
        <w:tc>
          <w:tcPr>
            <w:tcW w:w="0" w:type="dxa"/>
            <w:vAlign w:val="bottom"/>
          </w:tcPr>
          <w:p>
            <w:pPr>
              <w:spacing w:after="0"/>
              <w:rPr>
                <w:sz w:val="1"/>
                <w:szCs w:val="1"/>
                <w:color w:val="auto"/>
              </w:rPr>
            </w:pPr>
          </w:p>
        </w:tc>
      </w:tr>
      <w:tr>
        <w:trPr>
          <w:trHeight w:val="223"/>
        </w:trPr>
        <w:tc>
          <w:tcPr>
            <w:tcW w:w="466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484,204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197,639</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681,843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206,701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194,305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September 30,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324,644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62,848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387,492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197,938</w:t>
            </w:r>
          </w:p>
        </w:tc>
        <w:tc>
          <w:tcPr>
            <w:tcW w:w="0" w:type="dxa"/>
            <w:vAlign w:val="bottom"/>
          </w:tcPr>
          <w:p>
            <w:pPr>
              <w:spacing w:after="0"/>
              <w:rPr>
                <w:sz w:val="1"/>
                <w:szCs w:val="1"/>
                <w:color w:val="auto"/>
              </w:rPr>
            </w:pPr>
          </w:p>
        </w:tc>
      </w:tr>
      <w:tr>
        <w:trPr>
          <w:trHeight w:val="223"/>
        </w:trPr>
        <w:tc>
          <w:tcPr>
            <w:tcW w:w="466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585,430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225,336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682,746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810,766</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188,326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(loss)</w:t>
            </w:r>
          </w:p>
        </w:tc>
        <w:tc>
          <w:tcPr>
            <w:tcW w:w="5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Nine Months Ended September 30,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1,040,110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169,879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1,209,989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278,085</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1,231,583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1,488,074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643,951</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1,814,034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2,132,025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478,557</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79,556</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635,409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(89,887)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601,031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8"/>
        </w:trPr>
        <w:tc>
          <w:tcPr>
            <w:tcW w:w="4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Nine Months Ended September 30, 2021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986,532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188,800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1,175,332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414,269</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1,284,324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1,589,601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684,298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1,895,730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2,273,899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426,290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39,163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158,973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713,307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Inter-segment eliminations are primarily licensing revenues recognized between the Domestic Operations and International and Other segments.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326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Domestic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(8,567)</w:t>
            </w: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23"/>
        </w:trPr>
        <w:tc>
          <w:tcPr>
            <w:tcW w:w="4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326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Nine Months Ended September 30,</w:t>
            </w:r>
          </w:p>
        </w:tc>
      </w:tr>
      <w:tr>
        <w:trPr>
          <w:trHeight w:val="236"/>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569,996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655,427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1,761,430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1,844,901</w:t>
            </w: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295,460</w:t>
            </w:r>
          </w:p>
        </w:tc>
      </w:tr>
      <w:tr>
        <w:trPr>
          <w:trHeight w:val="230"/>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133,538</w:t>
            </w:r>
          </w:p>
        </w:tc>
      </w:tr>
      <w:tr>
        <w:trPr>
          <w:trHeight w:val="248"/>
        </w:trPr>
        <w:tc>
          <w:tcPr>
            <w:tcW w:w="4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2,132,025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2,273,899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One distributor within the Domestic Operations segment accounted for approximately 10% of consolidated revenues, net for the nine months ended September 30, 2022.</w:t>
      </w: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 2021</w:t>
            </w:r>
          </w:p>
        </w:tc>
      </w:tr>
      <w:tr>
        <w:trPr>
          <w:trHeight w:val="226"/>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192,503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210,252</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w:t>
            </w:r>
          </w:p>
        </w:tc>
      </w:tr>
      <w:tr>
        <w:trPr>
          <w:trHeight w:val="230"/>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r>
      <w:tr>
        <w:trPr>
          <w:trHeight w:val="248"/>
        </w:trPr>
        <w:tc>
          <w:tcPr>
            <w:tcW w:w="7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4"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launch our streaming services in countries outside of the United States;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 including increases in inflation rates and recession risk;</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laws or treaties relating to taxation, or the interpretation thereof, in the United States or in the countries in which we operate;</w:t>
      </w:r>
    </w:p>
    <w:p>
      <w:pPr>
        <w:spacing w:after="0" w:line="74" w:lineRule="exact"/>
        <w:rPr>
          <w:rFonts w:ascii="Arial" w:cs="Arial" w:eastAsia="Arial" w:hAnsi="Arial"/>
          <w:sz w:val="17"/>
          <w:szCs w:val="17"/>
          <w:color w:val="auto"/>
        </w:rPr>
      </w:pPr>
    </w:p>
    <w:p>
      <w:pPr>
        <w:ind w:left="820" w:right="6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8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820" w:right="2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ind w:left="820" w:right="620" w:hanging="326"/>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2021 Annual Report on Form 10-K (the "2021 Form 10-K"), as filed with the Securities and Exchange Commission ("SEC").</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or MD&amp;A, is a supplement to and should be read in conjunction with the unaudited condensed consolidated financial statements and notes thereto included elsewhere herein and our 2021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the three and nine months ended September 30, 2021. Our discussion is presented on both a consolidated and segment basis. Our two segments are: (i) Domestic Operations and (ii) International and Other.</w:t>
      </w:r>
    </w:p>
    <w:p>
      <w:pPr>
        <w:spacing w:after="0" w:line="76"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 discussion of our financial condition as of September 30, 2022, as well as an analysis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for the nine months ended September 30, 2022 and 2021. The discussion of our financial condition and liquidity includes summaries of (i) our primary sources of liquidity and (ii) our contractual obligations that existed at September 30, 2022 as compared to December 31, 2021.</w:t>
      </w:r>
    </w:p>
    <w:p>
      <w:pPr>
        <w:spacing w:after="0" w:line="4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12" w:lineRule="exact"/>
        <w:rPr>
          <w:sz w:val="20"/>
          <w:szCs w:val="20"/>
          <w:color w:val="auto"/>
        </w:rPr>
      </w:pPr>
    </w:p>
    <w:p>
      <w:pPr>
        <w:jc w:val="both"/>
        <w:ind w:right="20" w:firstLine="445"/>
        <w:spacing w:after="0" w:line="229"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(loss) ("AOI")</w:t>
      </w:r>
      <w:r>
        <w:rPr>
          <w:rFonts w:ascii="Arial" w:cs="Arial" w:eastAsia="Arial" w:hAnsi="Arial"/>
          <w:sz w:val="23"/>
          <w:szCs w:val="23"/>
          <w:color w:val="auto"/>
          <w:vertAlign w:val="superscript"/>
        </w:rPr>
        <w:t>1</w:t>
      </w:r>
      <w:r>
        <w:rPr>
          <w:rFonts w:ascii="Arial" w:cs="Arial" w:eastAsia="Arial" w:hAnsi="Arial"/>
          <w:sz w:val="18"/>
          <w:szCs w:val="18"/>
          <w:color w:val="auto"/>
        </w:rPr>
        <w:t>,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54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587,389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682,746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1,814,034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1,895,730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389,384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5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5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32,365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478,557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5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Adjusted Operating Income (Loss)</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Domestic Operations</w:t>
            </w:r>
          </w:p>
        </w:tc>
        <w:tc>
          <w:tcPr>
            <w:tcW w:w="18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206,701</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231,076</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635,409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723,749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80" w:lineRule="exact"/>
        <w:rPr>
          <w:sz w:val="20"/>
          <w:szCs w:val="20"/>
          <w:color w:val="auto"/>
        </w:rPr>
      </w:pPr>
    </w:p>
    <w:p>
      <w:pPr>
        <w:ind w:right="80" w:firstLine="8"/>
        <w:spacing w:after="0" w:line="201" w:lineRule="auto"/>
        <w:tabs>
          <w:tab w:leader="none" w:pos="103" w:val="left"/>
        </w:tabs>
        <w:numPr>
          <w:ilvl w:val="0"/>
          <w:numId w:val="10"/>
        </w:numPr>
        <w:rPr>
          <w:rFonts w:ascii="Arial" w:cs="Arial" w:eastAsia="Arial" w:hAnsi="Arial"/>
          <w:sz w:val="23"/>
          <w:szCs w:val="23"/>
          <w:color w:val="auto"/>
          <w:vertAlign w:val="superscript"/>
        </w:rPr>
      </w:pPr>
      <w:r>
        <w:rPr>
          <w:rFonts w:ascii="Arial" w:cs="Arial" w:eastAsia="Arial" w:hAnsi="Arial"/>
          <w:sz w:val="14"/>
          <w:szCs w:val="14"/>
          <w:color w:val="auto"/>
        </w:rPr>
        <w:t>Adjusted Operating Income (Loss), is a non-GAAP financial measure. See the "Non-GAAP Financial Measures" section on page 34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254"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Operations: </w:t>
      </w:r>
      <w:r>
        <w:rPr>
          <w:rFonts w:ascii="Arial" w:cs="Arial" w:eastAsia="Arial" w:hAnsi="Arial"/>
          <w:sz w:val="18"/>
          <w:szCs w:val="18"/>
          <w:color w:val="auto"/>
        </w:rPr>
        <w:t>Includes our programming services and AMC Broadcasting &amp; Technology. Our programming services consist of our five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programming networks, our streaming services, our AMC Studios operation and IFC Films. Our national programming networks are AMC, WE tv, BBC AMERICA, IFC, and SundanceTV. Our streaming services consist of our global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spacing w:after="0" w:line="86"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our production services business.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Domestic Operations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Subscription revenue includes fees paid by distributors and consumers for our programming networks and streaming services.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typically based on a per subscriber fee and are generally paid by distributors and consumers on a monthly basis. Content licensing revenue is earned from the licensing of original programming for digital, foreign and home video distribution and is recognized upon availability or distribution by the licensee.</w:t>
      </w:r>
    </w:p>
    <w:p>
      <w:pPr>
        <w:spacing w:after="0" w:line="7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expenses, included in technical and operating expenses, represent the largest expenses of the Domestic Operations segment and primarily consists of amortization of programming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expect a continued increase in our investment in original programming. There may be significant changes in the level of our technical and operating expenses due to the level of our content investment spend and the related amortization of content acquisition and/or original programming costs. Program rights that are monetized as a group are amortized based on projected usage, typically resulting in an accelerated amortization pattern and, to a lesser extent, program rights that are monetized individually are amortized based on the individual-film-forecast-computation method.</w:t>
      </w:r>
    </w:p>
    <w:p>
      <w:pPr>
        <w:spacing w:after="0" w:line="5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events or changes in circumstances indicate that the fair value of a film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i w:val="1"/>
          <w:iCs w:val="1"/>
          <w:u w:val="single" w:color="auto"/>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and 25/7 Media.</w:t>
      </w:r>
    </w:p>
    <w:p>
      <w:pPr>
        <w:spacing w:after="0" w:line="11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nine months ended September 30, 2022, distribution revenues represented 82% of the revenues of the International and Other segment. Distribution revenue primarily includes subscription fees paid by distributors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w:t>
      </w:r>
    </w:p>
    <w:p>
      <w:pPr>
        <w:spacing w:after="0" w:line="5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Programming expenses, program operating costs and production costs incurred to produce content for third parties are included in technical and operating expenses, and represent the largest expense of the International and Other segment. Programming expenses primarily consist of amortization of acquired content, costs of dubbing and sub-titling of programs, production costs, and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events or changes in circumstances indicate that the fair value of a film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Corporate / Inter-segment Eliminations</w:t>
      </w:r>
    </w:p>
    <w:p>
      <w:pPr>
        <w:spacing w:after="0" w:line="11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Capital and credit market disruptions, as well as other events such as the COVID-19 pandemic, inflation, international conflict and recession, could cause economic downturns, which may lead to lower demand for our products, such as lower demand for television advertising and a decrease in the number of subscribers receiving our programming services. Events such as these may adversely impact our results of operations, cash flows and financial position.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continues to monitor the ongoing impact of the COVID-19 pandemic on all aspects of its business. The Company cannot reasonably predict the continuing impact of the COVID-19 pandemic, including the extent of any adverse impact on our business, results of operations and financial condition, which will depend on, among other things, whether there is a resurgence in cases, the impact of governmental regulations that have been, and may in the future be, imposed in response to the pandemic, the effectiveness of actions taken to contain or mitigate outbreaks, the acceptance,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6"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an interest, which may be significant, in such entity. The noncontrolling owner's interest in the operating results of consolidated subsidiaries are reflected in net income attributable to noncontrolling interests in our consolidated statements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2022 and 2021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360" w:type="dxa"/>
            <w:vAlign w:val="bottom"/>
            <w:gridSpan w:val="6"/>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402,103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387,492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1,209,989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1,175,332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197,938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396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585,430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1,589,601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810,766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2,273,899</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360"/>
              <w:spacing w:after="0" w:line="176" w:lineRule="exact"/>
              <w:rPr>
                <w:sz w:val="20"/>
                <w:szCs w:val="20"/>
                <w:color w:val="auto"/>
              </w:rPr>
            </w:pPr>
            <w:r>
              <w:rPr>
                <w:rFonts w:ascii="Arial" w:cs="Arial" w:eastAsia="Arial" w:hAnsi="Arial"/>
                <w:sz w:val="18"/>
                <w:szCs w:val="18"/>
                <w:color w:val="auto"/>
                <w:w w:val="93"/>
              </w:rPr>
              <w:t>Technical and operating (excluding depreciation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600"/>
              <w:spacing w:after="0"/>
              <w:rPr>
                <w:sz w:val="20"/>
                <w:szCs w:val="20"/>
                <w:color w:val="auto"/>
              </w:rPr>
            </w:pPr>
            <w:r>
              <w:rPr>
                <w:rFonts w:ascii="Arial" w:cs="Arial" w:eastAsia="Arial" w:hAnsi="Arial"/>
                <w:sz w:val="18"/>
                <w:szCs w:val="18"/>
                <w:color w:val="auto"/>
              </w:rPr>
              <w:t>and amortization)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293,459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378,264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903,468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997,677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71,261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other charges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622,440</w:t>
            </w:r>
          </w:p>
        </w:tc>
        <w:tc>
          <w:tcPr>
            <w:tcW w:w="1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1,653,468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1,847,609</w:t>
            </w:r>
          </w:p>
        </w:tc>
        <w:tc>
          <w:tcPr>
            <w:tcW w:w="1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188,326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426,290</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ind w:left="80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19,634</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159,231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333,790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118,487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255,810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55"/>
        </w:trPr>
        <w:tc>
          <w:tcPr>
            <w:tcW w:w="3960" w:type="dxa"/>
            <w:vAlign w:val="bottom"/>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84,666</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110,651</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272,283</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233,557</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96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Subscription revenues increased 7.6% in our Domestic Operations segment primarily due to an increase in streaming revenues, partially offset by a decline in affiliate revenue. Subscription revenues decreased 16.0% in our International and Other segment primarily due to the unfavorable impact of foreign currency translation at AMCNI. Subscription revenues may vary from quarter to quarter based on the impact of renewals of affiliation agreements and the level of subscribers to our services.</w:t>
      </w:r>
    </w:p>
    <w:p>
      <w:pPr>
        <w:spacing w:after="0" w:line="6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Content licensing and other revenues decreased 63.4% in our Domestic Operations segment primarily due to the timing and availability of deliveries in the quarter, including the delivery of fewer episodes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both of which were strong contributors in the prior year. Content licensing and other revenues decreased 30.2%</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18"/>
          <w:szCs w:val="18"/>
          <w:color w:val="auto"/>
        </w:rPr>
        <w:t>in our International and Other segment primarily due to the timing of productions at 25/7 Media. Content licensing revenues vary from quarter to quarter based on the timing and availability of our programming to distributors.</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Advertising revenues decreased 9.9% in our Domestic Operations segment primarily due to lower linear ratings, softer scatter and direct response markets and fewer original hours in the third quarter, partially offset by digital and advanced advertising revenue growth. Advertising revenues decreased 31.4% in our International and Other segment primarily due to the impact of the planned wind-down of two channels in the U.K., the unfavorable impact of foreign currency translation, and softer ratings in the U.K. Most of our advertising revenues vary based on the timing of our original programming series and the popularity of our programming as measured by Nielsen.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Subscription revenues increased 5.4% in our Domestic Operations segment primarily due to an increase in streaming revenues, partially offset by a decline in affiliate revenue. Excluding the one-time beneficial impact of a distribution agreement renewal in the prior year, subscription revenues increased 6.9% in our Domestic Operations segment. Subscription revenues decreased 10.0% in our International and Other segment primarily due to the unfavorable impact of foreign currency translation at AMCNI.</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Content licensing and other revenues decreased 35.7% in our Domestic Operations segment primarily due to the timing and availability of deliveries in the period, including the delivery of fewer episodes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both of which were strong contributors in the prior year. Content licensing and other revenues decreased 18.9% in our International and Other segment primarily due to the timing of productions at 25/7 Media.</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Advertising revenues decreased 4.7% in our Domestic Operations segment primarily due to lower linear ratings, partially offset by continued digital and advanced advertising revenue growth and higher upfront pricing. Advertising revenues decreased 15.6% in our International and Other segment, primarily due to the unfavorable impact of foreign currency translation and the impact of the planned wind-down of two channels in the U.K.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components of technical and operating expenses primarily include the amortization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Technical and operating expenses (excluding depreciation and amortization) decreased 21.4% in our Domestic Operations segment primarily due to a decrease in program rights amortization due to delivery of fewer episodes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xml:space="preserve"> Technical and operating expenses (excluding depreciation and amortization) decreased 24.3% in our International and Other segment primarily due to timing of productions at 25/7 Media and the favorable impact of foreign currency translation.</w:t>
      </w:r>
    </w:p>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may be significant changes in the level of our technical and operating expenses from quarter to quarter and year to year due to original programming costs and/or content acquisition costs. As additional competition for programming increases, costs for content acquisition and original programming may increase.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Technical and operating expenses (excluding depreciation and amortization) decreased 8.1% in our Domestic Operations segment primarily due to a decrease in other direct programming costs, partially offset by an increase in program rights amortization. Technical and operating expenses (excluding depreciation and amortization) decreased 14.7% in our International and Other segment primarily due to timing of productions at 25/7 Media and the favorable impact of foreign currency translation.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components of selling, general and administrative expenses primarily include sales, marketing and advertising expenses, administrative costs and costs of non-production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(including share-based compensation expenses) decreased 2.8% in our Domestic Operations segment primarily due to lower marketing and subscriber acquisition expenses related to our streaming services and linear networks, and decreased 9.9% in our International and other segment primarily due to the favorable impact of foreign currency translation.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(including share-based compensation expenses) increased 17.1% in our Domestic Operations segment primarily due to higher marketing and subscriber acquisition expenses related to our streaming services and linear networks, and decreased 7.1% in our International and other segment primarily related to the favorable impact of foreign currency translation and a decrease in administrative expenses at 25/7 Media.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expenses include depreciation of fixed assets and amortization of finite-lived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Depreciation and amortization expense increased in Corporate due to higher depreciation of equipment and in our Domestic Operations segment due to the amortization of finite-lived intangible assets acquired in connection with the acquisition of Sentai Holdings in the fourth quarter of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Depreciation and amortization expense increased in Corporate due to higher depreciation of equipment and in our Domestic Operations segment due to the amortization of finite-lived intangible assets acquired in connection with the acquisition of Sentai Holdings in the fourth quarter of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 and other charges for the three and nine months ended September 30, 2022.</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impairment and other charges for the three months ended September 30, 2021. Impairment and other charges for the nine months ended September 30, 2021 were $159.0 million.</w:t>
      </w:r>
    </w:p>
    <w:p>
      <w:pPr>
        <w:spacing w:after="0" w:line="35" w:lineRule="exact"/>
        <w:rPr>
          <w:sz w:val="20"/>
          <w:szCs w:val="20"/>
          <w:color w:val="auto"/>
        </w:rPr>
      </w:pPr>
    </w:p>
    <w:p>
      <w:pPr>
        <w:jc w:val="both"/>
        <w:ind w:left="80" w:firstLine="567"/>
        <w:spacing w:after="0" w:line="236" w:lineRule="auto"/>
        <w:rPr>
          <w:sz w:val="20"/>
          <w:szCs w:val="20"/>
          <w:color w:val="auto"/>
        </w:rPr>
      </w:pPr>
      <w:r>
        <w:rPr>
          <w:rFonts w:ascii="Arial" w:cs="Arial" w:eastAsia="Arial" w:hAnsi="Arial"/>
          <w:sz w:val="18"/>
          <w:szCs w:val="18"/>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The Settlement Agreement provided for a cash payment of $200 million (the “Settlement Payment”) to the Plaintiffs and future revenue sharing related to certain future streaming exhibition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xml:space="preserve">. With regard to the Settlement Payment, the Company recorded a charge of $143.0 million in the second quarter of 2021, included in Impairment and other charges in consideration for the extinguishment of Plaintiffs’ rights to any compensation in connection with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Dead </w:t>
      </w:r>
      <w:r>
        <w:rPr>
          <w:rFonts w:ascii="Arial" w:cs="Arial" w:eastAsia="Arial" w:hAnsi="Arial"/>
          <w:sz w:val="18"/>
          <w:szCs w:val="18"/>
          <w:color w:val="auto"/>
        </w:rPr>
        <w:t>and any related programs and the dismissal of the actions with prejudice, which amount is net of $57.0 million of ordinary course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participations.</w:t>
      </w:r>
    </w:p>
    <w:p>
      <w:pPr>
        <w:spacing w:after="0" w:line="86" w:lineRule="exact"/>
        <w:rPr>
          <w:sz w:val="20"/>
          <w:szCs w:val="20"/>
          <w:color w:val="auto"/>
        </w:rPr>
      </w:pPr>
    </w:p>
    <w:p>
      <w:pPr>
        <w:jc w:val="both"/>
        <w:ind w:left="80" w:firstLine="567"/>
        <w:spacing w:after="0" w:line="239" w:lineRule="auto"/>
        <w:rPr>
          <w:sz w:val="20"/>
          <w:szCs w:val="20"/>
          <w:color w:val="auto"/>
        </w:rPr>
      </w:pPr>
      <w:r>
        <w:rPr>
          <w:rFonts w:ascii="Arial" w:cs="Arial" w:eastAsia="Arial" w:hAnsi="Arial"/>
          <w:sz w:val="18"/>
          <w:szCs w:val="18"/>
          <w:color w:val="auto"/>
        </w:rPr>
        <w:t>The remaining $16.1 million for the nine months ended September 30, 2021 related to the Company's March 2021 spin-off of the live comedy venue and talent management businesses ("LiveCo") of Levity Entertainment Group, LLC. In connection with the transaction, the Company effectively exchanged all of its rights and interests in LiveCo for the release of our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("25/7 Media") following the spin-off.</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related charges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restructuring and other related charges for the three and nine months ended September 30, 2022.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Restructuring and other related charges of $0.8 million for the three months ended September 30, 2021 are associated with severance costs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AMCNI.</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Restructuring and other related charges of $9.5 million for the nine months ended September 30, 2021 consisted of $4.3 million of severance costs associated with the restructuring plan announced in November 2020 and $5.2 million at AMCNI related to severance costs and the termination of distribution in certain international territories.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operating income was primarily attributable to a decrease in revenues, net of $128.9 million and an increase in depreciation and amortization expenses of $6.3 million, partially offset by decreases in technical and operating expenses of $84.8 million and selling, general and administrative expenses of $12.0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increase in operating income was primarily attributable to decreases in impairment and other charges, technical and operating expenses, and restructuring and other related charges of $159.0 million, $94.2 million and $9.5 million, respectively, partially offset by a decrease in revenues of $141.9 million and increases in selling, general and administrative expenses of $60.3 million and depreciation and amortization expenses of $8.3 million.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interest expense, net was primarily due to higher interest rates on our Term Loan A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decrease in interest expense, net was primarily due to lower average daily balances and the refinancing of a portion of our outstanding Senior Notes at a lower interest rate in the first nine months of 2021, partially offset by higher interest rates on our Term Loan A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extinguishment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loss on extinguishment of debt for the three and nine months ended September 30, 2022.</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we redeemed (i) the remaining $400 million principal amount of our 4.75% senior notes due December 2022 and (ii) $600 million principal amount of our 5.00% senior notes due April 2024. In connection with the redemptions, we incurred a loss on extinguishment of debt for the quarter ended March 31, 2021 of $22.1 million representing a redemption premium on the 5.00% senior notes due 2024, and the write-off of a portion of the unamortized discount and deferred financing costs related to both issuances.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Miscellaneous,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miscellaneous, net was primarily related to increased losses on derivative financial instruments and an unfavorable variance in the foreign currency remeasurement of monetary assets and liabilities (principally intercompany loans) that are denominated in currencies other than the underlying functional currency of the applicable entity, partially offset by the impact of higher losses on certain marketable equity securities in the prior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miscellaneous, net was primarily related to the impact of a $12.3 million gain recorded in the prior year in connection with the Company's acquisition of the remaining 50% interest in an equity method investment. The remaining decrease primarily relates to an unfavorable variance in the foreign currency remeasurement of monetary assets and liabilities (principally intercompany loans) that are denominated in currencies other than the underlying functional currency of the applicable entity and increased losses in connection with derivative financial instruments, partially offset by the impact of higher net gains from the sale of certain marketable equity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months ended September 30, 2022, income tax expense was $28.5 million representing an effective tax rate of 24%. The items resulting in variances from the federal statutory rate of 21% primarily consist of state and local income tax expense, tax expense for an increase in the valuation allowance for foreign taxes and tax expense related to non-deducible compensation. For the three months ended September 30, 2021, income tax expense was $40.7 million representing an effective tax rate of 26%. The effective tax rate differs from the federal statutory rate of 21% primarily due to state and local income tax expense, tax expense related to non-deductible compensation and tax expense for an increase in valuation allowances for foreign taxes and U.S. foreign tax credits, partially offset by a discrete tax benefit for excess tax benefits related to stock compensation and a tax benefit from foreign operations.</w:t>
      </w:r>
    </w:p>
    <w:p>
      <w:pPr>
        <w:spacing w:after="0" w:line="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nine months ended September 30, 2022, income tax expense was $103.1 million representing an effective tax rate of 26%. The items resulting in variances from the federal statutory rate of 21% primarily consist of state and local income tax expense, tax expense for an increase in the valuation allowance for foreign taxes and tax expense related to non-deductible compensation. For the nine months ended September 30, 2021, income tax expense was $78.0 million representing an effective tax rate of 23%. The effective tax rate differs from the federal statutory rate of 21% primarily due to state and local income tax expense, tax expense related to non-deductible compensation and tax expense for an increase in valuation allowances for foreign taxes and U.S. foreign tax credits, partially offset by a discrete tax benefit for excess tax benefits related to stock compensation and a tax benefit from foreign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left="500"/>
        <w:spacing w:after="0"/>
        <w:rPr>
          <w:sz w:val="20"/>
          <w:szCs w:val="20"/>
          <w:color w:val="auto"/>
        </w:rPr>
      </w:pPr>
      <w:r>
        <w:rPr>
          <w:rFonts w:ascii="Arial" w:cs="Arial" w:eastAsia="Arial" w:hAnsi="Arial"/>
          <w:sz w:val="18"/>
          <w:szCs w:val="18"/>
          <w:b w:val="1"/>
          <w:bCs w:val="1"/>
          <w:color w:val="auto"/>
        </w:rPr>
        <w:t>Segment Results of Operations</w:t>
      </w:r>
    </w:p>
    <w:p>
      <w:pPr>
        <w:spacing w:after="0" w:line="10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380" w:type="dxa"/>
            <w:vAlign w:val="bottom"/>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349,338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324,644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1,040,110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986,532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158,120</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297,792</w:t>
            </w:r>
          </w:p>
        </w:tc>
        <w:tc>
          <w:tcPr>
            <w:tcW w:w="1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400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482,764</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1,231,583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1,284,324</w:t>
            </w:r>
          </w:p>
        </w:tc>
        <w:tc>
          <w:tcPr>
            <w:tcW w:w="1200" w:type="dxa"/>
            <w:vAlign w:val="bottom"/>
            <w:gridSpan w:val="2"/>
          </w:tcPr>
          <w:p>
            <w:pPr>
              <w:jc w:val="right"/>
              <w:ind w:right="10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199,982</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611,406</w:t>
            </w:r>
          </w:p>
        </w:tc>
        <w:tc>
          <w:tcPr>
            <w:tcW w:w="1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00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587,389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682,746</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1,814,034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1,895,730</w:t>
            </w:r>
          </w:p>
        </w:tc>
        <w:tc>
          <w:tcPr>
            <w:tcW w:w="1200" w:type="dxa"/>
            <w:vAlign w:val="bottom"/>
            <w:gridSpan w:val="2"/>
          </w:tcPr>
          <w:p>
            <w:pPr>
              <w:jc w:val="right"/>
              <w:ind w:right="10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4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Technical and operating (excluding depreciation and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amortization)</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(303,868)</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(720,558)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(784,228)</w:t>
            </w:r>
          </w:p>
        </w:tc>
        <w:tc>
          <w:tcPr>
            <w:tcW w:w="1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(b)</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(149,951)</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(394,337)</w:t>
            </w:r>
          </w:p>
        </w:tc>
        <w:tc>
          <w:tcPr>
            <w:tcW w:w="1200" w:type="dxa"/>
            <w:vAlign w:val="bottom"/>
            <w:gridSpan w:val="2"/>
          </w:tcPr>
          <w:p>
            <w:pPr>
              <w:jc w:val="right"/>
              <w:ind w:right="148"/>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2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700" w:hanging="188"/>
        <w:spacing w:after="0"/>
        <w:tabs>
          <w:tab w:leader="none" w:pos="7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Technical and operating excludes cloud computing amortization</w:t>
      </w:r>
    </w:p>
    <w:p>
      <w:pPr>
        <w:spacing w:after="0" w:line="41" w:lineRule="exact"/>
        <w:rPr>
          <w:rFonts w:ascii="Arial" w:cs="Arial" w:eastAsia="Arial" w:hAnsi="Arial"/>
          <w:sz w:val="14"/>
          <w:szCs w:val="14"/>
          <w:color w:val="auto"/>
        </w:rPr>
      </w:pPr>
    </w:p>
    <w:p>
      <w:pPr>
        <w:ind w:left="720" w:hanging="208"/>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Selling, general and administrative excludes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Subscription revenues increased primarily due to a 41.0% increase in streaming revenues driven by streaming subscriber growth, partially offset by a mid single-digit decline in affiliate revenue. Affiliate revenue decreased due to declines in the linear subscriber universe, partially offset by contractual affiliate rate increases. Aggregate paid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our streaming services increased 44% to 11.1 million at September 30, 2022 compared to September 30, 2021.</w:t>
      </w:r>
    </w:p>
    <w:p>
      <w:pPr>
        <w:spacing w:after="0" w:line="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Content licensing and other revenues decreased primarily due to the timing and availability of deliveries in the quarter, including the delivery of fewer episodes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both of which were strong contributors in the prior year.</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Advertising revenues decreased primarily due to lower linear ratings, softer scatter and direct response markets and fewer original hours in the third quarter, partially offset by digital and advanced advertising revenue growth.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Subscription revenues increased primarily due to a 33.5% increase in streaming revenues driven by streaming subscriber growth, partially offset by a mid single-digit decline in affiliate revenue. Affiliate revenue decreased due to declines in the linear subscriber universe, partially offset by contractual affiliate rate increases. Excluding the one-time beneficial impact of a distribution agreement renewal in the prior year, subscription revenues increased 6.9%, including an increase in streaming revenues of 39.6%.</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Content licensing and other revenues decreased primarily due to the timing and availability of deliveries in the period, including the delivery of fewer episodes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both of which were strong contributors in the prior year.</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Advertising revenues decreased primarily due to lower linear ratings, partially offset by continued digital and advanced advertising revenue growth and higher upfront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4" w:lineRule="exact"/>
        <w:rPr>
          <w:sz w:val="20"/>
          <w:szCs w:val="20"/>
          <w:color w:val="auto"/>
        </w:rPr>
      </w:pPr>
    </w:p>
    <w:p>
      <w:pPr>
        <w:ind w:right="120" w:firstLine="8"/>
        <w:spacing w:after="0" w:line="201" w:lineRule="auto"/>
        <w:tabs>
          <w:tab w:leader="none" w:pos="94"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A paid subscription is defined as a subscription to a direct-to-consumer service or a subscription received through distributor arrangements, in which we receive a fee for the distribution of our streaming services, and includes an estimate of subscribers converting to paying status in the subsequent period based on historical conversion percentages.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Technical and operating expenses (excluding depreciation and amortization) decreased primarily due to a decrease in program rights amortization due to delivery of fewer episodes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0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Technical and operating expenses (excluding depreciation and amortization) decreased primarily due to a decrease in other direct programming costs, partially offset by an increase in program rights amortization.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Selling, general and administrative expenses (excluding share-based compensation expenses) decreased primarily due to lower marketing and subscriber acquisition expenses related to our streaming services and linear networks, partially offset by higher employee related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Selling, general and administrative expenses (excluding share-based compensation expenses) increased primarily due to higher marketing and subscriber acquisition expenses related to our streaming services and linear networks, as well as higher employee related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The decrease in segment adjusted operating income was primarily attributable to a decrease in revenues, net of $95.4 million, partially offset by decreases in technical and operating expenses of $65.1 million and selling, general and administrative expenses of $3.2 million.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0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decrease in segment adjusted operating income was primarily attributable to a decrease in revenues, net of $81.7 million and an increase in selling, general and administrative expenses of $77.5 million, partially offset by a decrease in technical and operating expenses of $63.7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320" w:type="dxa"/>
            <w:vAlign w:val="bottom"/>
            <w:gridSpan w:val="6"/>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left="154"/>
              <w:spacing w:after="0"/>
              <w:rPr>
                <w:sz w:val="20"/>
                <w:szCs w:val="20"/>
                <w:color w:val="auto"/>
              </w:rPr>
            </w:pPr>
            <w:r>
              <w:rPr>
                <w:rFonts w:ascii="Arial" w:cs="Arial" w:eastAsia="Arial" w:hAnsi="Arial"/>
                <w:sz w:val="18"/>
                <w:szCs w:val="18"/>
                <w:color w:val="auto"/>
                <w:w w:val="87"/>
              </w:rPr>
              <w:t>52,765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62,848</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w w:val="91"/>
              </w:rPr>
              <w:t>(16.0)%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169,879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87"/>
              </w:rPr>
              <w:t>29,124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41,738</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127,692</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39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260" w:type="dxa"/>
            <w:vAlign w:val="bottom"/>
          </w:tcPr>
          <w:p>
            <w:pPr>
              <w:spacing w:after="0"/>
              <w:rPr>
                <w:sz w:val="19"/>
                <w:szCs w:val="19"/>
                <w:color w:val="auto"/>
              </w:rPr>
            </w:pPr>
          </w:p>
        </w:tc>
        <w:tc>
          <w:tcPr>
            <w:tcW w:w="880" w:type="dxa"/>
            <w:vAlign w:val="bottom"/>
          </w:tcPr>
          <w:p>
            <w:pPr>
              <w:jc w:val="center"/>
              <w:ind w:left="154"/>
              <w:spacing w:after="0"/>
              <w:rPr>
                <w:sz w:val="20"/>
                <w:szCs w:val="20"/>
                <w:color w:val="auto"/>
              </w:rPr>
            </w:pPr>
            <w:r>
              <w:rPr>
                <w:rFonts w:ascii="Arial" w:cs="Arial" w:eastAsia="Arial" w:hAnsi="Arial"/>
                <w:sz w:val="18"/>
                <w:szCs w:val="18"/>
                <w:color w:val="auto"/>
                <w:w w:val="87"/>
              </w:rPr>
              <w:t>81,889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104,586</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316,492</w:t>
            </w:r>
          </w:p>
        </w:tc>
        <w:tc>
          <w:tcPr>
            <w:tcW w:w="1180" w:type="dxa"/>
            <w:vAlign w:val="bottom"/>
            <w:gridSpan w:val="2"/>
          </w:tcPr>
          <w:p>
            <w:pPr>
              <w:jc w:val="right"/>
              <w:ind w:right="108"/>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87"/>
              </w:rPr>
              <w:t>17,381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25,354</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72,892</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396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60" w:type="dxa"/>
            <w:vAlign w:val="bottom"/>
          </w:tcPr>
          <w:p>
            <w:pPr>
              <w:spacing w:after="0"/>
              <w:rPr>
                <w:sz w:val="19"/>
                <w:szCs w:val="19"/>
                <w:color w:val="auto"/>
              </w:rPr>
            </w:pPr>
          </w:p>
        </w:tc>
        <w:tc>
          <w:tcPr>
            <w:tcW w:w="880" w:type="dxa"/>
            <w:vAlign w:val="bottom"/>
          </w:tcPr>
          <w:p>
            <w:pPr>
              <w:jc w:val="center"/>
              <w:ind w:left="154"/>
              <w:spacing w:after="0"/>
              <w:rPr>
                <w:sz w:val="20"/>
                <w:szCs w:val="20"/>
                <w:color w:val="auto"/>
              </w:rPr>
            </w:pPr>
            <w:r>
              <w:rPr>
                <w:rFonts w:ascii="Arial" w:cs="Arial" w:eastAsia="Arial" w:hAnsi="Arial"/>
                <w:sz w:val="18"/>
                <w:szCs w:val="18"/>
                <w:color w:val="auto"/>
                <w:w w:val="87"/>
              </w:rPr>
              <w:t>99,270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129,940</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389,384</w:t>
            </w:r>
          </w:p>
        </w:tc>
        <w:tc>
          <w:tcPr>
            <w:tcW w:w="1180" w:type="dxa"/>
            <w:vAlign w:val="bottom"/>
            <w:gridSpan w:val="2"/>
          </w:tcPr>
          <w:p>
            <w:pPr>
              <w:jc w:val="right"/>
              <w:ind w:right="108"/>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Technical and operating (excluding depreciation and</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2"/>
              </w:rPr>
              <w:t>(58,528)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(77,333)</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(227,437)</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134"/>
              <w:spacing w:after="0"/>
              <w:rPr>
                <w:sz w:val="20"/>
                <w:szCs w:val="20"/>
                <w:color w:val="auto"/>
              </w:rPr>
            </w:pPr>
            <w:r>
              <w:rPr>
                <w:rFonts w:ascii="Arial" w:cs="Arial" w:eastAsia="Arial" w:hAnsi="Arial"/>
                <w:sz w:val="18"/>
                <w:szCs w:val="18"/>
                <w:color w:val="auto"/>
                <w:w w:val="92"/>
              </w:rPr>
              <w:t>(27,432)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(30,498)</w:t>
            </w:r>
          </w:p>
        </w:tc>
        <w:tc>
          <w:tcPr>
            <w:tcW w:w="12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(91,170)</w:t>
            </w:r>
          </w:p>
        </w:tc>
        <w:tc>
          <w:tcPr>
            <w:tcW w:w="118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87"/>
              </w:rPr>
              <w:t>13,310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2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1"/>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4"/>
          <w:szCs w:val="14"/>
          <w:color w:val="auto"/>
        </w:rPr>
        <w:t>(a) Selling, general and administrative excludes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-92710</wp:posOffset>
            </wp:positionV>
            <wp:extent cx="1525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-92710</wp:posOffset>
            </wp:positionV>
            <wp:extent cx="15087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revenues decreased primarily due to the unfavorable impact of foreign currency translation at AMCNI.</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Content licensing and other revenues decreased primarily due to the timing of productions at 25/7 Media.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jc w:val="both"/>
        <w:ind w:firstLine="648"/>
        <w:spacing w:after="0" w:line="261" w:lineRule="auto"/>
        <w:rPr>
          <w:sz w:val="20"/>
          <w:szCs w:val="20"/>
          <w:color w:val="auto"/>
        </w:rPr>
      </w:pPr>
      <w:r>
        <w:rPr>
          <w:rFonts w:ascii="Arial" w:cs="Arial" w:eastAsia="Arial" w:hAnsi="Arial"/>
          <w:sz w:val="18"/>
          <w:szCs w:val="18"/>
          <w:color w:val="auto"/>
        </w:rPr>
        <w:t>Advertising revenues decreased primarily due to the the impact of the planned wind-down of two channels in the U.K., the unfavorable impact of foreign currency translation at AMCNI, and softer ratings in the U.K.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revenues decreased primarily due to the unfavorable impact of foreign currency translation at AMCNI.</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Content licensing and other revenues decreased primarily due to the timing of productions at 25/7 Media.</w:t>
      </w:r>
    </w:p>
    <w:p>
      <w:pPr>
        <w:spacing w:after="0" w:line="10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Advertising revenues decreased primarily due to the unfavorable impact of foreign currency translation and the impact of the planned wind-down of two channels in the U.K.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Technical and operating expenses (excluding depreciation and amortization) decreased due to timing of productions at 25/7 Media and the favorable impact of foreign currency translation at AMCNI.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Technical and operating expenses (excluding depreciation and amortization) decreased due to timing of productions at 25/7 Media and the favorable impact of foreign currency translation at AMCNI.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general and administrative expenses (excluding share-based compensation expenses) decreased primarily due to the favorable impact of foreign currency translation at AMCNI.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(excluding share-based compensation expenses) decreased primarily due to the favorable impact of foreign currency translation at AMCNI and a decrease in administrative expenses at 25/7 Media related to the March 2021 spin off of the comedy venues, partially offset by higher advertising and marketing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2022 vs. 2021</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decrease in segment adjusted operating income was primarily attributable to a decrease in revenues, net of $30.7 million, partially offset by decreases in technical and operating expenses of $18.8 million and selling, general and administrative expenses of $3.1 million.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2022 vs. 2021</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The decrease in segment adjusted operating income was primarily attributable to a decrease in revenues, net of $54.5 million, partially offset by decreases in technical and operating expenses of $33.5 million and selling, general and administrative expenses of $5.7 million.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Inter-segment Elimination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Corporate and Inter-segment Eliminations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2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180" w:type="dxa"/>
            <w:vAlign w:val="bottom"/>
            <w:gridSpan w:val="6"/>
          </w:tcPr>
          <w:p>
            <w:pPr>
              <w:jc w:val="center"/>
              <w:ind w:right="159"/>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5"/>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2"/>
              </w:rPr>
              <w:t>(16,901)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2"/>
              </w:rPr>
              <w:t>(11,215)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3"/>
              </w:rPr>
              <w:t>Technical and operating (excluding depreciation and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line="243" w:lineRule="exact"/>
              <w:rPr>
                <w:sz w:val="20"/>
                <w:szCs w:val="20"/>
                <w:color w:val="auto"/>
              </w:rPr>
            </w:pPr>
            <w:r>
              <w:rPr>
                <w:rFonts w:ascii="Arial" w:cs="Arial" w:eastAsia="Arial" w:hAnsi="Arial"/>
                <w:sz w:val="18"/>
                <w:szCs w:val="18"/>
                <w:color w:val="auto"/>
              </w:rPr>
              <w:t>amortization)</w:t>
            </w:r>
            <w:r>
              <w:rPr>
                <w:rFonts w:ascii="Arial" w:cs="Arial" w:eastAsia="Arial" w:hAnsi="Arial"/>
                <w:sz w:val="23"/>
                <w:szCs w:val="23"/>
                <w:color w:val="auto"/>
                <w:vertAlign w:val="superscript"/>
              </w:rPr>
              <w:t>(a)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center"/>
              <w:ind w:left="96"/>
              <w:spacing w:after="0"/>
              <w:rPr>
                <w:sz w:val="20"/>
                <w:szCs w:val="20"/>
                <w:color w:val="auto"/>
              </w:rPr>
            </w:pPr>
            <w:r>
              <w:rPr>
                <w:rFonts w:ascii="Arial" w:cs="Arial" w:eastAsia="Arial" w:hAnsi="Arial"/>
                <w:sz w:val="18"/>
                <w:szCs w:val="18"/>
                <w:color w:val="auto"/>
                <w:w w:val="87"/>
              </w:rPr>
              <w:t>11,295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center"/>
              <w:ind w:left="74"/>
              <w:spacing w:after="0"/>
              <w:rPr>
                <w:sz w:val="20"/>
                <w:szCs w:val="20"/>
                <w:color w:val="auto"/>
              </w:rPr>
            </w:pPr>
            <w:r>
              <w:rPr>
                <w:rFonts w:ascii="Arial" w:cs="Arial" w:eastAsia="Arial" w:hAnsi="Arial"/>
                <w:sz w:val="18"/>
                <w:szCs w:val="18"/>
                <w:color w:val="auto"/>
                <w:w w:val="87"/>
              </w:rPr>
              <w:t>13,988</w:t>
            </w:r>
          </w:p>
        </w:tc>
        <w:tc>
          <w:tcPr>
            <w:tcW w:w="1200" w:type="dxa"/>
            <w:vAlign w:val="bottom"/>
            <w:gridSpan w:val="2"/>
          </w:tcPr>
          <w:p>
            <w:pPr>
              <w:jc w:val="right"/>
              <w:ind w:right="99"/>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(b)</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color w:val="auto"/>
                <w:w w:val="92"/>
              </w:rPr>
              <w:t>(84,281)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92"/>
              </w:rPr>
              <w:t>(83,992)</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2"/>
              </w:rPr>
              <w:t>(89,887)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92"/>
              </w:rPr>
              <w:t>(81,219)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700" w:hanging="188"/>
        <w:spacing w:after="0"/>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Technical and operating excludes cloud computing amortization</w:t>
      </w:r>
    </w:p>
    <w:p>
      <w:pPr>
        <w:spacing w:after="0" w:line="41" w:lineRule="exact"/>
        <w:rPr>
          <w:rFonts w:ascii="Arial" w:cs="Arial" w:eastAsia="Arial" w:hAnsi="Arial"/>
          <w:sz w:val="14"/>
          <w:szCs w:val="14"/>
          <w:color w:val="auto"/>
        </w:rPr>
      </w:pPr>
    </w:p>
    <w:p>
      <w:pPr>
        <w:ind w:left="720" w:hanging="208"/>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Selling, general and administrative excludes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Revenues, net</w:t>
      </w:r>
    </w:p>
    <w:p>
      <w:pPr>
        <w:spacing w:after="0" w:line="10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 eliminations are primarily related to inter-segment licensing revenues recognized between the Domestic Operations and International and Other segments.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Technical and operating eliminations are primarily related to inter-segment programming amortization recognized between the Domestic Operations and International and Other segments.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0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Selling, general and administrative expenses for the three months ended September 30, 2022 compared to 2021 decreased primarily due to lower long-term incentive compensation.</w:t>
      </w:r>
    </w:p>
    <w:p>
      <w:pPr>
        <w:spacing w:after="0" w:line="10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Selling, general and administrative expenses for the nine months ended September 30, 2022 compared to 2021 increased primarily due to an increase in expenses associated with technology investments.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operating income (loss) to AOI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September 30, 2022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150,677</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206,701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194,305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2"/>
              </w:rPr>
              <w:t>Three Months Ended September 30, 2021</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188,326</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1"/>
              </w:rPr>
              <w:t>Nine Months Ended September 30, 2022</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478,557</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79,556</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635,409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(89,887)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601,031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3"/>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426,290</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39,163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9,534</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158,973</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713,307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primary source of cash typically includes cash flow from operations. Sources of cash also include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6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Board of Directors previously authorized a program to repurchase up to $1.5 billion of our outstanding shares of common stock (the "Stock Repurchase Program"). The Stock Repurchase Program has no pre-established closing date and may be suspended or discontinued at any time. For the three and nine months ended September 30, 2022, we did not repurchase any</w:t>
      </w:r>
    </w:p>
    <w:p>
      <w:pPr>
        <w:sectPr>
          <w:pgSz w:w="11900" w:h="16838" w:orient="portrait"/>
          <w:cols w:equalWidth="0" w:num="1">
            <w:col w:w="11240"/>
          </w:cols>
          <w:pgMar w:left="320" w:top="10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type w:val="continuous"/>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of our Class A common stock. As of September 30, 2022, we had $135.3 million of authorization remaining for repurchase under the Stock Repurchase Program.</w:t>
      </w:r>
    </w:p>
    <w:p>
      <w:pPr>
        <w:spacing w:after="0" w:line="62"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Our principal uses of cash include the production, acquisition and promotion of programming, technology investments, debt service and payments for income taxes. We continue to increase our investment in original programming, the funding of which generally occurs six to nine months in advance of a program's airing.</w:t>
      </w:r>
    </w:p>
    <w:p>
      <w:pPr>
        <w:spacing w:after="0" w:line="6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of September 30, 2022, our consolidated cash and cash equivalents balance of $790.9 million includes approximately $294.6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5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6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2021 Form 10-K.</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revolving credit facility was not drawn upon at September 30, 2022.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September 30, 2022.</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is a summary of cash flows provided by (used in) operating, investing and financing activities for the periods indicated:</w:t>
      </w:r>
    </w:p>
    <w:p>
      <w:pPr>
        <w:spacing w:after="0" w:line="210"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20320</wp:posOffset>
            </wp:positionV>
            <wp:extent cx="2297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0"/>
              </w:rPr>
              <w:t>36,591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43,984</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Cash (used in) provided by investing activities</w:t>
            </w:r>
          </w:p>
        </w:tc>
        <w:tc>
          <w:tcPr>
            <w:tcW w:w="400" w:type="dxa"/>
            <w:vAlign w:val="bottom"/>
          </w:tcPr>
          <w:p>
            <w:pPr>
              <w:spacing w:after="0"/>
              <w:rPr>
                <w:sz w:val="19"/>
                <w:szCs w:val="19"/>
                <w:color w:val="auto"/>
              </w:rPr>
            </w:pPr>
          </w:p>
        </w:tc>
        <w:tc>
          <w:tcPr>
            <w:tcW w:w="1320" w:type="dxa"/>
            <w:vAlign w:val="bottom"/>
          </w:tcPr>
          <w:p>
            <w:pPr>
              <w:jc w:val="center"/>
              <w:ind w:left="572"/>
              <w:spacing w:after="0"/>
              <w:rPr>
                <w:sz w:val="20"/>
                <w:szCs w:val="20"/>
                <w:color w:val="auto"/>
              </w:rPr>
            </w:pPr>
            <w:r>
              <w:rPr>
                <w:rFonts w:ascii="Arial" w:cs="Arial" w:eastAsia="Arial" w:hAnsi="Arial"/>
                <w:sz w:val="18"/>
                <w:szCs w:val="18"/>
                <w:color w:val="auto"/>
                <w:w w:val="92"/>
              </w:rPr>
              <w:t>(28,623)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30,880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w w:val="92"/>
              </w:rPr>
              <w:t>(80,208)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(66,619)</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from operations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2"/>
              </w:rPr>
              <w:t>(72,240)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r>
      <w:tr>
        <w:trPr>
          <w:trHeight w:val="21"/>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20" w:firstLine="445"/>
        <w:spacing w:after="0" w:line="270" w:lineRule="auto"/>
        <w:rPr>
          <w:sz w:val="20"/>
          <w:szCs w:val="20"/>
          <w:color w:val="auto"/>
        </w:rPr>
      </w:pPr>
      <w:r>
        <w:rPr>
          <w:rFonts w:ascii="Arial" w:cs="Arial" w:eastAsia="Arial" w:hAnsi="Arial"/>
          <w:sz w:val="17"/>
          <w:szCs w:val="17"/>
          <w:color w:val="auto"/>
        </w:rPr>
        <w:t>Net cash provided by operating activities amounted to $36.6 million for the nine months ended September 30, 2022 and primarily resulted from net income before amortization of program rights, depreciation and amortization, and other non-cash items of $1,069.8 million, partially offset by payments for program rights of $1,065.9 million. Changes in all other assets and liabilities resulted in a net cash inflow of $32.7 million.</w:t>
      </w:r>
    </w:p>
    <w:p>
      <w:pPr>
        <w:spacing w:after="0" w:line="69"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Net cash provided by operating activities amounted to $44.0 million for the nine months ended September 30, 2021 and primarily resulted from net income before amortization of program rights, depreciation and amortization, and other non-cash items of $1,050.9 million, partially offset by payments for program rights of $967.2 million. Changes in all other assets and liabilities resulted in net cash outflow of $39.7 million.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Net cash used in investing activities amounted to $28.6 million for the nine months ended September 30, 2022, and primarily consisted of capital expenditures of $33.5 million and an additional investment in an equity security of $5.0 million, partially offset by proceeds from the sale of a marketable equity security of $9.9 million.</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Net cash provided by investing activities for the nine months ended September 30, 2021 was $30.9 million and included proceeds received from the sale of an investment of $95.4 million and the collection of a loan for $20.0 million, partially offset by the acquisition of equity securities of $28.4 million, payments for the acquisition of a business of $19.1 million, and capital expenditures of $30.0 million. All other changes in investing activities resulted in an decrease of $7.0 million.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Net cash used in financing activities amounted to $80.2 million for the nine months ended September 30, 2022 and consisted of distributions to noncontrolling interests of $28.2 million, principal payments on the Term Loan A Facility of $25.3 million, taxes paid in lieu of shares issued for equity-based compensation of $21.6 million, principal payments on finance leases of $2.6 million, and the purchase of noncontrolling interests of $2.5 million.</w:t>
      </w:r>
    </w:p>
    <w:p>
      <w:pPr>
        <w:spacing w:after="0" w:line="4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used in financing activities amounted to $66.6 million for the nine months ended September 30, 2021 and primarily consisted of principal payments, net of proceeds, on long-term debt (including the redemption of $400 million of 4.75% Notes due December 2022 and $600 million of 5.00% Notes due April 2024) of $29.0 million, taxes paid in lieu of shares issued for equity-based compensation of $32.3 million, distributions to noncontrolling interests of $14.9 million, and payments on finance leases of $2.9 million, partially offset by proceeds from the exercise of stock options of $9.8 million and contributions from noncontrolling interests of $2.7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September 30, 2022, our contractual obligations not reflected on the condensed consolidated balance sheet decreased $93.2 million, as compared to December 31, 2021, to $970.2 million. The decrease primarily relates to payments for program rights.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Debt of AMC Networks as of September 30, 2022 included $400.0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right="131"/>
              <w:spacing w:after="0"/>
              <w:rPr>
                <w:sz w:val="20"/>
                <w:szCs w:val="20"/>
                <w:color w:val="auto"/>
              </w:rPr>
            </w:pPr>
            <w:r>
              <w:rPr>
                <w:rFonts w:ascii="Arial" w:cs="Arial" w:eastAsia="Arial" w:hAnsi="Arial"/>
                <w:sz w:val="16"/>
                <w:szCs w:val="16"/>
                <w:b w:val="1"/>
                <w:bCs w:val="1"/>
                <w:color w:val="auto"/>
                <w:w w:val="91"/>
              </w:rPr>
              <w:t>Nine Months Ended September 30, 2022</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 September 30, 2021</w:t>
            </w:r>
          </w:p>
        </w:tc>
        <w:tc>
          <w:tcPr>
            <w:tcW w:w="0" w:type="dxa"/>
            <w:vAlign w:val="bottom"/>
          </w:tcPr>
          <w:p>
            <w:pPr>
              <w:spacing w:after="0"/>
              <w:rPr>
                <w:sz w:val="1"/>
                <w:szCs w:val="1"/>
                <w:color w:val="auto"/>
              </w:rPr>
            </w:pPr>
          </w:p>
        </w:tc>
      </w:tr>
      <w:tr>
        <w:trPr>
          <w:trHeight w:val="399"/>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1,513,831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1,572,327</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1,104,348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1,211,830</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365,942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467,752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297,357</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422,489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415,950</w:t>
            </w:r>
          </w:p>
        </w:tc>
        <w:tc>
          <w:tcPr>
            <w:tcW w:w="0" w:type="dxa"/>
            <w:vAlign w:val="bottom"/>
          </w:tcPr>
          <w:p>
            <w:pPr>
              <w:spacing w:after="0"/>
              <w:rPr>
                <w:sz w:val="1"/>
                <w:szCs w:val="1"/>
                <w:color w:val="auto"/>
              </w:rPr>
            </w:pPr>
          </w:p>
        </w:tc>
      </w:tr>
      <w:tr>
        <w:trPr>
          <w:trHeight w:val="81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89"/>
              </w:rPr>
              <w:t>September 30, 2022</w:t>
            </w:r>
          </w:p>
        </w:tc>
        <w:tc>
          <w:tcPr>
            <w:tcW w:w="240" w:type="dxa"/>
            <w:vAlign w:val="bottom"/>
          </w:tcPr>
          <w:p>
            <w:pPr>
              <w:spacing w:after="0"/>
              <w:rPr>
                <w:sz w:val="24"/>
                <w:szCs w:val="24"/>
                <w:color w:val="auto"/>
              </w:rPr>
            </w:pPr>
          </w:p>
        </w:tc>
        <w:tc>
          <w:tcPr>
            <w:tcW w:w="3720" w:type="dxa"/>
            <w:vAlign w:val="bottom"/>
            <w:gridSpan w:val="4"/>
          </w:tcPr>
          <w:p>
            <w:pPr>
              <w:jc w:val="right"/>
              <w:ind w:right="123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124,774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1,242,724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4,297,423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3,875,345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4,010,028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3,633,383</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216,308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816,767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671,041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3,081,490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3,067,962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2021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significant accounting policies since December 31, 2021.</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discuss our critical accounting estimates in Item 7, "Management's Discussion and Analysis of Financial Condition and Results of Operations," in our 2021 Form 10-K. There have been no significant changes in our critical accounting estimates since December 31, 2021.</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Based on the level of interest rates prevailing at September 30, 2022, the carrying value of our fixed rate debt of $2.18 billion was more than its fair value of $1.84 billion by approximately $338.7 million. The fair value of these financial instruments is estimated based on reference to quoted market prices for these or comparable securities. A hypothetical 100 basis point decrease in interest rates prevailing at September 30, 2022 would increase the estimated fair value of our fixed rate debt by approximately $63.5 million to approximately $1.90 billion.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For the nine months ended September 30, 2022, we did not have any interest rate swap contracts outstanding.</w:t>
      </w:r>
    </w:p>
    <w:p>
      <w:pPr>
        <w:spacing w:after="0" w:line="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2022, we had $2.8 billion of debt outstanding (excluding finance leases), of which $0.6 billion is outstanding under our loan facility and is subject to variable interest rates. A hypothetical 100 basis point increase in interest rates prevailing at September 30, 2022 would increase our annual interest expense by approximately $6.5 million. The interest rate paid on approximately 77% of our debt (excluding finance leases) as of September 30, 2022 is fixed.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losses of $1.0 million and $0.1 million for the three and nine months ended September 30, 2022, respectively, and a $0.4 million loss and a $6.1 million gain for the three and nine months ended September 30, 2021, respectively, related to foreign currency transactions. Such amounts are included in miscellaneous, net in the condensed consolidated statements of income.</w:t>
      </w:r>
    </w:p>
    <w:p>
      <w:pPr>
        <w:spacing w:after="0" w:line="5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September 30, 2022,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three months ended September 30, 2022,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15, Commitments and Contingencies to the condensed consolidated financial statements included in this Quarterly Report on Form 10-Q for a description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For the nine months ended September 30, 2022, the Company did not repurchase any of its Class A common stock. As of September 30, 2022, the Company had $135.3 million of authorization remaining for repurchase under the Stock Repurchase Program.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Index to Exhibits.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w:t>
      </w:r>
    </w:p>
    <w:p>
      <w:pPr>
        <w:ind w:left="1020"/>
        <w:spacing w:after="0"/>
        <w:rPr>
          <w:sz w:val="20"/>
          <w:szCs w:val="20"/>
          <w:color w:val="auto"/>
        </w:rPr>
      </w:pPr>
      <w:r>
        <w:rPr>
          <w:rFonts w:ascii="Arial" w:cs="Arial" w:eastAsia="Arial" w:hAnsi="Arial"/>
          <w:sz w:val="18"/>
          <w:szCs w:val="18"/>
          <w:u w:val="single" w:color="auto"/>
          <w:color w:val="0000FF"/>
        </w:rPr>
        <w:t>Employment Agreement, dated August 4, 2022, by and between AMC Networks Inc. and Christina Spade</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10.2</w:t>
      </w:r>
    </w:p>
    <w:p>
      <w:pPr>
        <w:ind w:left="1020"/>
        <w:spacing w:after="0"/>
        <w:rPr>
          <w:sz w:val="20"/>
          <w:szCs w:val="20"/>
          <w:color w:val="auto"/>
        </w:rPr>
      </w:pPr>
      <w:r>
        <w:rPr>
          <w:rFonts w:ascii="Arial" w:cs="Arial" w:eastAsia="Arial" w:hAnsi="Arial"/>
          <w:sz w:val="18"/>
          <w:szCs w:val="18"/>
          <w:u w:val="single" w:color="auto"/>
          <w:color w:val="0000FF"/>
        </w:rPr>
        <w:t>Employment Agreement, dated August 4, 2022, by and between AMC Networks Inc. and Patrick O'Connell</w:t>
      </w:r>
    </w:p>
    <w:p>
      <w:pPr>
        <w:spacing w:after="0" w:line="74"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0000FF"/>
        </w:rPr>
        <w:t>Employment Agreement, dated October 19, 2022, by and between AMC Networks Inc. and James G. Gallagher</w:t>
      </w:r>
    </w:p>
    <w:p>
      <w:pPr>
        <w:spacing w:after="0" w:line="77" w:lineRule="exact"/>
        <w:rPr>
          <w:sz w:val="20"/>
          <w:szCs w:val="20"/>
          <w:color w:val="auto"/>
        </w:rPr>
      </w:pPr>
    </w:p>
    <w:p>
      <w:pPr>
        <w:ind w:left="1020" w:hanging="91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0000FF"/>
        </w:rPr>
        <w:t>Guarantor Subsidiaries of the Registrant</w:t>
      </w:r>
    </w:p>
    <w:p>
      <w:pPr>
        <w:spacing w:after="0" w:line="5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Certification of Chief Executive Officer pursuant to Section 302 of the Sarbanes-Oxley Act of 2002.</w:t>
            </w:r>
          </w:p>
        </w:tc>
      </w:tr>
      <w:tr>
        <w:trPr>
          <w:trHeight w:val="263"/>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31.2</w:t>
            </w:r>
          </w:p>
        </w:tc>
        <w:tc>
          <w:tcPr>
            <w:tcW w:w="7240" w:type="dxa"/>
            <w:vAlign w:val="bottom"/>
            <w:gridSpan w:val="2"/>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1020" w:right="40" w:hanging="913"/>
        <w:spacing w:after="0" w:line="23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FF"/>
        </w:rPr>
        <w:t>Certifications of Chief Executive Officer and Chief Financial Officer pursuant to Section 906 of the Sarbanes-Oxley Act of 2002, 18 U.S.C. Section 1350.</w:t>
      </w:r>
    </w:p>
    <w:p>
      <w:pPr>
        <w:spacing w:after="0" w:line="3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1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800" w:type="dxa"/>
            <w:vAlign w:val="bottom"/>
          </w:tcPr>
          <w:p>
            <w:pPr>
              <w:spacing w:after="0"/>
              <w:rPr>
                <w:sz w:val="20"/>
                <w:szCs w:val="20"/>
                <w:color w:val="auto"/>
              </w:rPr>
            </w:pPr>
          </w:p>
        </w:tc>
        <w:tc>
          <w:tcPr>
            <w:tcW w:w="10200" w:type="dxa"/>
            <w:vAlign w:val="bottom"/>
          </w:tcPr>
          <w:p>
            <w:pPr>
              <w:ind w:left="120"/>
              <w:spacing w:after="0"/>
              <w:rPr>
                <w:sz w:val="20"/>
                <w:szCs w:val="20"/>
                <w:color w:val="auto"/>
              </w:rPr>
            </w:pPr>
            <w:r>
              <w:rPr>
                <w:rFonts w:ascii="Arial" w:cs="Arial" w:eastAsia="Arial" w:hAnsi="Arial"/>
                <w:sz w:val="18"/>
                <w:szCs w:val="18"/>
                <w:color w:val="auto"/>
              </w:rPr>
              <w:t>Inline XBRL document.</w:t>
            </w:r>
          </w:p>
        </w:tc>
      </w:tr>
      <w:tr>
        <w:trPr>
          <w:trHeight w:val="29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020" w:hanging="91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AMC Networks Inc.</w:t>
            </w:r>
          </w:p>
        </w:tc>
      </w:tr>
      <w:tr>
        <w:trPr>
          <w:trHeight w:val="378"/>
        </w:trPr>
        <w:tc>
          <w:tcPr>
            <w:tcW w:w="3540" w:type="dxa"/>
            <w:vAlign w:val="bottom"/>
          </w:tcPr>
          <w:p>
            <w:pPr>
              <w:spacing w:after="0"/>
              <w:rPr>
                <w:sz w:val="20"/>
                <w:szCs w:val="20"/>
                <w:color w:val="auto"/>
              </w:rPr>
            </w:pPr>
            <w:r>
              <w:rPr>
                <w:rFonts w:ascii="Arial" w:cs="Arial" w:eastAsia="Arial" w:hAnsi="Arial"/>
                <w:sz w:val="18"/>
                <w:szCs w:val="18"/>
                <w:color w:val="auto"/>
              </w:rPr>
              <w:t>Date: November 4, 2022</w:t>
            </w:r>
          </w:p>
        </w:tc>
        <w:tc>
          <w:tcPr>
            <w:tcW w:w="7480" w:type="dxa"/>
            <w:vAlign w:val="bottom"/>
            <w:gridSpan w:val="2"/>
          </w:tcPr>
          <w:p>
            <w:pPr>
              <w:ind w:left="1760"/>
              <w:spacing w:after="0"/>
              <w:rPr>
                <w:sz w:val="20"/>
                <w:szCs w:val="20"/>
                <w:color w:val="auto"/>
              </w:rPr>
            </w:pPr>
            <w:r>
              <w:rPr>
                <w:rFonts w:ascii="Arial" w:cs="Arial" w:eastAsia="Arial" w:hAnsi="Arial"/>
                <w:sz w:val="18"/>
                <w:szCs w:val="18"/>
                <w:color w:val="auto"/>
              </w:rPr>
              <w:t>By: /s/ Patrick O'Connell</w:t>
            </w:r>
          </w:p>
        </w:tc>
      </w:tr>
      <w:tr>
        <w:trPr>
          <w:trHeight w:val="222"/>
        </w:trPr>
        <w:tc>
          <w:tcPr>
            <w:tcW w:w="3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Patrick O'Connell</w:t>
            </w:r>
          </w:p>
        </w:tc>
      </w:tr>
      <w:tr>
        <w:trPr>
          <w:trHeight w:val="230"/>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November 4, 2022</w:t>
            </w:r>
          </w:p>
        </w:tc>
        <w:tc>
          <w:tcPr>
            <w:tcW w:w="7480" w:type="dxa"/>
            <w:vAlign w:val="bottom"/>
            <w:gridSpan w:val="2"/>
          </w:tcPr>
          <w:p>
            <w:pPr>
              <w:ind w:left="1760"/>
              <w:spacing w:after="0"/>
              <w:rPr>
                <w:sz w:val="20"/>
                <w:szCs w:val="20"/>
                <w:color w:val="auto"/>
              </w:rPr>
            </w:pPr>
            <w:r>
              <w:rPr>
                <w:rFonts w:ascii="Arial" w:cs="Arial" w:eastAsia="Arial" w:hAnsi="Arial"/>
                <w:sz w:val="18"/>
                <w:szCs w:val="18"/>
                <w:color w:val="auto"/>
              </w:rPr>
              <w:t>By: /s/ Michael J. Sherin III</w:t>
            </w:r>
          </w:p>
        </w:tc>
      </w:tr>
      <w:tr>
        <w:trPr>
          <w:trHeight w:val="222"/>
        </w:trPr>
        <w:tc>
          <w:tcPr>
            <w:tcW w:w="3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J. Sherin III</w:t>
            </w:r>
          </w:p>
        </w:tc>
      </w:tr>
      <w:tr>
        <w:trPr>
          <w:trHeight w:val="230"/>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931"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1845310</wp:posOffset>
            </wp:positionH>
            <wp:positionV relativeFrom="page">
              <wp:posOffset>911860</wp:posOffset>
            </wp:positionV>
            <wp:extent cx="3857625" cy="771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38576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4, 2022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Ms. Christina Spade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AMC Networks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11 Penn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296"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Employment Agreement</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Dear Christina:</w:t>
      </w:r>
    </w:p>
    <w:p>
      <w:pPr>
        <w:spacing w:after="0" w:line="2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This letter (the “</w:t>
      </w:r>
      <w:r>
        <w:rPr>
          <w:rFonts w:ascii="Arial" w:cs="Arial" w:eastAsia="Arial" w:hAnsi="Arial"/>
          <w:sz w:val="22"/>
          <w:szCs w:val="22"/>
          <w:i w:val="1"/>
          <w:iCs w:val="1"/>
          <w:color w:val="auto"/>
        </w:rPr>
        <w:t>Agreement</w:t>
      </w:r>
      <w:r>
        <w:rPr>
          <w:rFonts w:ascii="Arial" w:cs="Arial" w:eastAsia="Arial" w:hAnsi="Arial"/>
          <w:sz w:val="22"/>
          <w:szCs w:val="22"/>
          <w:color w:val="auto"/>
        </w:rPr>
        <w:t>”), effective as of the date hereof (the “</w:t>
      </w:r>
      <w:r>
        <w:rPr>
          <w:rFonts w:ascii="Arial" w:cs="Arial" w:eastAsia="Arial" w:hAnsi="Arial"/>
          <w:sz w:val="22"/>
          <w:szCs w:val="22"/>
          <w:i w:val="1"/>
          <w:iCs w:val="1"/>
          <w:color w:val="auto"/>
        </w:rPr>
        <w:t>Effective Date</w:t>
      </w:r>
      <w:r>
        <w:rPr>
          <w:rFonts w:ascii="Arial" w:cs="Arial" w:eastAsia="Arial" w:hAnsi="Arial"/>
          <w:sz w:val="22"/>
          <w:szCs w:val="22"/>
          <w:color w:val="auto"/>
        </w:rPr>
        <w:t>”), will confirm the terms of your continued employment by AMC Networks Inc. (the “</w:t>
      </w:r>
      <w:r>
        <w:rPr>
          <w:rFonts w:ascii="Arial" w:cs="Arial" w:eastAsia="Arial" w:hAnsi="Arial"/>
          <w:sz w:val="22"/>
          <w:szCs w:val="22"/>
          <w:i w:val="1"/>
          <w:iCs w:val="1"/>
          <w:color w:val="auto"/>
        </w:rPr>
        <w:t>Company</w:t>
      </w:r>
      <w:r>
        <w:rPr>
          <w:rFonts w:ascii="Arial" w:cs="Arial" w:eastAsia="Arial" w:hAnsi="Arial"/>
          <w:sz w:val="22"/>
          <w:szCs w:val="22"/>
          <w:color w:val="auto"/>
        </w:rPr>
        <w:t>”) as an at will employee.</w:t>
      </w:r>
    </w:p>
    <w:p>
      <w:pPr>
        <w:spacing w:after="0" w:line="2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As of the Effective Date, you will continue to serve as the Company’s Chief Operating Officer and Chief Financial Officer, and on August 8, 2022, you will cease to serve as the Company’s Chief Financial Officer. Commencing on September 9, 2022, or such earlier date as the parties may agree (the “</w:t>
      </w:r>
      <w:r>
        <w:rPr>
          <w:rFonts w:ascii="Arial" w:cs="Arial" w:eastAsia="Arial" w:hAnsi="Arial"/>
          <w:sz w:val="22"/>
          <w:szCs w:val="22"/>
          <w:i w:val="1"/>
          <w:iCs w:val="1"/>
          <w:color w:val="auto"/>
        </w:rPr>
        <w:t>CEO Commencement Date</w:t>
      </w:r>
      <w:r>
        <w:rPr>
          <w:rFonts w:ascii="Arial" w:cs="Arial" w:eastAsia="Arial" w:hAnsi="Arial"/>
          <w:sz w:val="22"/>
          <w:szCs w:val="22"/>
          <w:color w:val="auto"/>
        </w:rPr>
        <w:t>”) your title will be Chief Executive Officer and you shall cease to serve as the Company’s Chief Operating Officer. In your capacity as the Chief Executive Officer, you shall have the powers, responsibilities, duties and authority customary for the chief executive officer of corporations of the size, type and nature of the Company, and you will report solely and directly to the Chairman of the Board of Directors of the Company (the “</w:t>
      </w:r>
      <w:r>
        <w:rPr>
          <w:rFonts w:ascii="Arial" w:cs="Arial" w:eastAsia="Arial" w:hAnsi="Arial"/>
          <w:sz w:val="22"/>
          <w:szCs w:val="22"/>
          <w:i w:val="1"/>
          <w:iCs w:val="1"/>
          <w:color w:val="auto"/>
        </w:rPr>
        <w:t>Board</w:t>
      </w:r>
      <w:r>
        <w:rPr>
          <w:rFonts w:ascii="Arial" w:cs="Arial" w:eastAsia="Arial" w:hAnsi="Arial"/>
          <w:sz w:val="22"/>
          <w:szCs w:val="22"/>
          <w:color w:val="auto"/>
        </w:rPr>
        <w:t>”).</w:t>
      </w:r>
    </w:p>
    <w:p>
      <w:pPr>
        <w:spacing w:after="0" w:line="222"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The term of this Agreement (the “</w:t>
      </w:r>
      <w:r>
        <w:rPr>
          <w:rFonts w:ascii="Arial" w:cs="Arial" w:eastAsia="Arial" w:hAnsi="Arial"/>
          <w:sz w:val="22"/>
          <w:szCs w:val="22"/>
          <w:i w:val="1"/>
          <w:iCs w:val="1"/>
          <w:color w:val="auto"/>
        </w:rPr>
        <w:t>Term</w:t>
      </w:r>
      <w:r>
        <w:rPr>
          <w:rFonts w:ascii="Arial" w:cs="Arial" w:eastAsia="Arial" w:hAnsi="Arial"/>
          <w:sz w:val="22"/>
          <w:szCs w:val="22"/>
          <w:color w:val="auto"/>
        </w:rPr>
        <w:t>”) shall commence as of the Effective Date and shall automatically expire on December 31, 2025 (the “</w:t>
      </w:r>
      <w:r>
        <w:rPr>
          <w:rFonts w:ascii="Arial" w:cs="Arial" w:eastAsia="Arial" w:hAnsi="Arial"/>
          <w:sz w:val="22"/>
          <w:szCs w:val="22"/>
          <w:i w:val="1"/>
          <w:iCs w:val="1"/>
          <w:color w:val="auto"/>
        </w:rPr>
        <w:t>Expiration Date</w:t>
      </w:r>
      <w:r>
        <w:rPr>
          <w:rFonts w:ascii="Arial" w:cs="Arial" w:eastAsia="Arial" w:hAnsi="Arial"/>
          <w:sz w:val="22"/>
          <w:szCs w:val="22"/>
          <w:color w:val="auto"/>
        </w:rPr>
        <w:t>”).</w:t>
      </w:r>
    </w:p>
    <w:p>
      <w:pPr>
        <w:spacing w:after="0" w:line="21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You agree to continue to devote substantially all of your business time and attention to the business and affairs of the Company and to perform your duties in a diligent, competent and skillful manner and in accordance with applicable law. Notwithstanding the foregoing, nothing herein shall preclude you from (i) serving as a member of the board of directors or advisory board (or their equivalents in the case of a non-corporate entity) of up to two non-competing businesses upon consent of the Board (not to be unreasonably withheld), (ii) engaging in charitable activities and community affairs, and (iii) managing your personal investments and affairs;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activities set out in clauses (i), (ii), and (iii) shall be limited by you so as not to materially interfere, individually or in the aggregate, with the</w:t>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Arial" w:cs="Arial" w:eastAsia="Arial" w:hAnsi="Arial"/>
          <w:sz w:val="21"/>
          <w:szCs w:val="21"/>
          <w:color w:val="auto"/>
        </w:rPr>
        <w:t>performance of your duties and responsibilities hereunder, including compliance with the covenants set forth in Annex I.</w:t>
      </w:r>
    </w:p>
    <w:p>
      <w:pPr>
        <w:spacing w:after="0" w:line="258"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As of the Effective Date, your annual base salary will remain $1,250,000. Beginning on the CEO Commencement Date, your annual base salary will be increased to a minimum of $1,750,000, subject to annual review and potential increase by the Compensation Committee of the Board (the “</w:t>
      </w:r>
      <w:r>
        <w:rPr>
          <w:rFonts w:ascii="Arial" w:cs="Arial" w:eastAsia="Arial" w:hAnsi="Arial"/>
          <w:sz w:val="19"/>
          <w:szCs w:val="19"/>
          <w:i w:val="1"/>
          <w:iCs w:val="1"/>
          <w:color w:val="auto"/>
        </w:rPr>
        <w:t>Compensation Committee</w:t>
      </w:r>
      <w:r>
        <w:rPr>
          <w:rFonts w:ascii="Arial" w:cs="Arial" w:eastAsia="Arial" w:hAnsi="Arial"/>
          <w:sz w:val="19"/>
          <w:szCs w:val="19"/>
          <w:color w:val="auto"/>
        </w:rPr>
        <w:t xml:space="preserve">”), in its discretion. The Compensation Committee will review your compensation package on an annual basis. You will also continue to participate in our discretionary annual bonus program, and, effective as of the CEO Commencement Date, your annual target bonus opportunity will be increased to two hundred percent (200%) of actual salary dollars paid to you during the applicable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2022, your current target bonus opportunity of one hundred seventy-five percent (175%) will apply to the actual salary dollars paid to you during the period from January 1, 2022 through the CEO Commencement Date and your target bonus opportunity of two hundred percent (200%) will apply to the actual salary dollars paid to you during the period from the CEO Commencement Date through December 31, 2022. Bonus payments depend on a number of factors including Company, unit and individual performance. However,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Your annual base salary and annual bonus target (as each may be increased from time to time in the Compensation Committee’s discretion) will not be reduced during the term of this Agreement. Notwithstanding the foregoing, if your employment with the Company ends on the Expiration Date, you shall be paid your bonus for the fiscal year ending December 31, 2025, if any, even if such payment is not made to you prior to the Expiration Date, which bonus shall be subject to Company and unit performance for that fiscal year as determined by the Company in its sole discretion, but without adjustment for your individual performance.</w:t>
      </w:r>
    </w:p>
    <w:p>
      <w:pPr>
        <w:spacing w:after="0" w:line="200" w:lineRule="exact"/>
        <w:rPr>
          <w:sz w:val="20"/>
          <w:szCs w:val="20"/>
          <w:color w:val="auto"/>
        </w:rPr>
      </w:pPr>
    </w:p>
    <w:p>
      <w:pPr>
        <w:spacing w:after="0" w:line="25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You will also continue to participate, subject to your continued employment by the Company and actual grant by the Compensation Committee in its discretion, in such long-term equity and other incentive programs as are made available in the future to similarly situated executives at the Company. For 2022, you previously received grants of restricted stock units and cash performance awards with a combined target value of $3,750,000. Beginning with the 2023 award cycle (anticipated to commence in March 2023), it is expected that your long-term awards will continue to consist of annual grants of cash and/or equity awards with an annual aggregate target value of not less than $3,750,000, as determined by the Compensation Committee.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terms and conditions shall be consistent with the terms and conditions of the grant agreements received by similarly situated executives (subject to any more favorable terms set forth in this agreement including those set forth in Annex l attached hereto).</w:t>
      </w:r>
    </w:p>
    <w:p>
      <w:pPr>
        <w:sectPr>
          <w:pgSz w:w="11900" w:h="16838" w:orient="portrait"/>
          <w:cols w:equalWidth="0" w:num="1">
            <w:col w:w="11240"/>
          </w:cols>
          <w:pgMar w:left="320" w:top="1428" w:right="339" w:bottom="1440" w:gutter="0" w:footer="0" w:header="0"/>
        </w:sectPr>
      </w:pPr>
    </w:p>
    <w:bookmarkStart w:id="46" w:name="page47"/>
    <w:bookmarkEnd w:id="46"/>
    <w:p>
      <w:pPr>
        <w:ind w:left="1300"/>
        <w:spacing w:after="0"/>
        <w:rPr>
          <w:sz w:val="20"/>
          <w:szCs w:val="20"/>
          <w:color w:val="auto"/>
        </w:rPr>
      </w:pPr>
      <w:r>
        <w:rPr>
          <w:rFonts w:ascii="Arial" w:cs="Arial" w:eastAsia="Arial" w:hAnsi="Arial"/>
          <w:sz w:val="19"/>
          <w:szCs w:val="19"/>
          <w:color w:val="auto"/>
        </w:rPr>
        <w:t>In addition, on or as soon as reasonably practicable following the Effective Date but in no event later than thirty</w:t>
      </w:r>
    </w:p>
    <w:p>
      <w:pPr>
        <w:spacing w:after="0" w:line="56" w:lineRule="exact"/>
        <w:rPr>
          <w:sz w:val="20"/>
          <w:szCs w:val="20"/>
          <w:color w:val="auto"/>
        </w:rPr>
      </w:pPr>
    </w:p>
    <w:p>
      <w:pPr>
        <w:jc w:val="both"/>
        <w:ind w:firstLine="8"/>
        <w:spacing w:after="0" w:line="259" w:lineRule="auto"/>
        <w:tabs>
          <w:tab w:leader="none" w:pos="435" w:val="left"/>
        </w:tabs>
        <w:numPr>
          <w:ilvl w:val="0"/>
          <w:numId w:val="19"/>
        </w:numPr>
        <w:rPr>
          <w:rFonts w:ascii="Arial" w:cs="Arial" w:eastAsia="Arial" w:hAnsi="Arial"/>
          <w:sz w:val="21"/>
          <w:szCs w:val="21"/>
          <w:color w:val="auto"/>
        </w:rPr>
      </w:pPr>
      <w:r>
        <w:rPr>
          <w:rFonts w:ascii="Arial" w:cs="Arial" w:eastAsia="Arial" w:hAnsi="Arial"/>
          <w:sz w:val="21"/>
          <w:szCs w:val="21"/>
          <w:color w:val="auto"/>
        </w:rPr>
        <w:t>days after the Effective Date, the Company will grant you a special award of restricted stock units with a target value of $6,000,000 (the “</w:t>
      </w:r>
      <w:r>
        <w:rPr>
          <w:rFonts w:ascii="Arial" w:cs="Arial" w:eastAsia="Arial" w:hAnsi="Arial"/>
          <w:sz w:val="21"/>
          <w:szCs w:val="21"/>
          <w:i w:val="1"/>
          <w:iCs w:val="1"/>
          <w:color w:val="auto"/>
        </w:rPr>
        <w:t>CEO Special Equity Award</w:t>
      </w:r>
      <w:r>
        <w:rPr>
          <w:rFonts w:ascii="Arial" w:cs="Arial" w:eastAsia="Arial" w:hAnsi="Arial"/>
          <w:sz w:val="21"/>
          <w:szCs w:val="21"/>
          <w:color w:val="auto"/>
        </w:rPr>
        <w:t xml:space="preserve">”). Subject to your continued employment through the relevant vesting date, your CEO Special Equity Award will vest ratably on each of the first, second and third anniversary of the date of the grant, in each case subject to your continued employment with the Company through such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your CEO Special Equity Award will vest on a Change of Control of the Company (as defined in your award agreement for your CEO Special Equity Award); and (B) subject to your execution and the effectiveness of the Severance Agreement (as defined below), the vesting restrictions applicable to your CEO Special Equity Award will lapse on termination of your employment with the Company (1) by the Company, (2) by you for “</w:t>
      </w:r>
      <w:r>
        <w:rPr>
          <w:rFonts w:ascii="Arial" w:cs="Arial" w:eastAsia="Arial" w:hAnsi="Arial"/>
          <w:sz w:val="21"/>
          <w:szCs w:val="21"/>
          <w:i w:val="1"/>
          <w:iCs w:val="1"/>
          <w:color w:val="auto"/>
        </w:rPr>
        <w:t>Good Reason</w:t>
      </w:r>
      <w:r>
        <w:rPr>
          <w:rFonts w:ascii="Arial" w:cs="Arial" w:eastAsia="Arial" w:hAnsi="Arial"/>
          <w:sz w:val="21"/>
          <w:szCs w:val="21"/>
          <w:color w:val="auto"/>
        </w:rPr>
        <w:t>,” or (3) due to your death or your physical or mental disability (at which time of such termination under clauses (1), (2) or (3) “</w:t>
      </w:r>
      <w:r>
        <w:rPr>
          <w:rFonts w:ascii="Arial" w:cs="Arial" w:eastAsia="Arial" w:hAnsi="Arial"/>
          <w:sz w:val="21"/>
          <w:szCs w:val="21"/>
          <w:i w:val="1"/>
          <w:iCs w:val="1"/>
          <w:color w:val="auto"/>
        </w:rPr>
        <w:t>Cause</w:t>
      </w:r>
      <w:r>
        <w:rPr>
          <w:rFonts w:ascii="Arial" w:cs="Arial" w:eastAsia="Arial" w:hAnsi="Arial"/>
          <w:sz w:val="21"/>
          <w:szCs w:val="21"/>
          <w:color w:val="auto"/>
        </w:rPr>
        <w:t>” does not exist) and your CEO Special Equity Award will be paid or delivered to you within a reasonable period of time (and no later than the seventy-fifth (75th) day) following your termination (including, for the avoidance of doubt, a termination that occurs prior to the grant of your CEO Special Equity Award). Your CEO Special Equity Award will be subject to the other terms and conditions set forth in the applicable award agreement. Notwithstanding anything else in this Employment Agreement, the vesting provisions set forth in this paragraph will apply to the CEO Special Equity Award.</w:t>
      </w:r>
    </w:p>
    <w:p>
      <w:pPr>
        <w:spacing w:after="0" w:line="20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In addition, following the Effective Date you will be entitled to a one-time signing bonus in the amount of $30,000, less applicable withholdings (the “</w:t>
      </w:r>
      <w:r>
        <w:rPr>
          <w:rFonts w:ascii="Arial" w:cs="Arial" w:eastAsia="Arial" w:hAnsi="Arial"/>
          <w:sz w:val="22"/>
          <w:szCs w:val="22"/>
          <w:i w:val="1"/>
          <w:iCs w:val="1"/>
          <w:color w:val="auto"/>
        </w:rPr>
        <w:t>Sign-On Bonus</w:t>
      </w:r>
      <w:r>
        <w:rPr>
          <w:rFonts w:ascii="Arial" w:cs="Arial" w:eastAsia="Arial" w:hAnsi="Arial"/>
          <w:sz w:val="22"/>
          <w:szCs w:val="22"/>
          <w:color w:val="auto"/>
        </w:rPr>
        <w:t>”). Subject to your continued employment through the relevant payment date, your Sign-On Bonus will be payable to you in cash as soon as practical, but in no event later than sixty (60) days following the Effective Date.</w:t>
      </w:r>
    </w:p>
    <w:p>
      <w:pPr>
        <w:spacing w:after="0" w:line="22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You will be eligible to participate in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entitled to four (4) weeks’ vacation per year, to be accrued and used in accordance with Company policy. You will also be entitled to reimbursement of business expenses upon submission of appropriate documentation in accordance with Company policy. Effective as of the CEO Commencement Date, the Company will reimburse you for reasonable car service fees incurred to commute between your home and the Company’s offices, to be paid in accordance with the Company reimbursement policy upon submission of appropriate documentation in accordance with such policy.</w:t>
      </w:r>
    </w:p>
    <w:p>
      <w:pPr>
        <w:spacing w:after="0" w:line="20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Effective as of the Effective Date, you and the Company agree to be bound by the additional covenants and provisions applicable to each that are set forth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which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be deemed to be a part of this Agreement.</w:t>
      </w:r>
    </w:p>
    <w:p>
      <w:pPr>
        <w:spacing w:after="0" w:line="22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If your employment with the Company is terminated after the Effective Date but prior to the Expiration Date (1) by the Company or (2) by you for Good Reason, and at the time of such termination under clauses (1) or (2) Cause does not exist, then, subject to your execution and the effectiveness of a severance agreement satisfactory to the Company, which severance</w:t>
      </w:r>
    </w:p>
    <w:p>
      <w:pPr>
        <w:sectPr>
          <w:pgSz w:w="11900" w:h="16838" w:orient="portrait"/>
          <w:cols w:equalWidth="0" w:num="1">
            <w:col w:w="11240"/>
          </w:cols>
          <w:pgMar w:left="320" w:top="1428" w:right="339" w:bottom="1440" w:gutter="0" w:footer="0" w:header="0"/>
        </w:sectPr>
      </w:pPr>
    </w:p>
    <w:bookmarkStart w:id="47" w:name="page48"/>
    <w:bookmarkEnd w:id="47"/>
    <w:p>
      <w:pPr>
        <w:jc w:val="both"/>
        <w:spacing w:after="0" w:line="307" w:lineRule="auto"/>
        <w:rPr>
          <w:sz w:val="20"/>
          <w:szCs w:val="20"/>
          <w:color w:val="auto"/>
        </w:rPr>
      </w:pPr>
      <w:r>
        <w:rPr>
          <w:rFonts w:ascii="Arial" w:cs="Arial" w:eastAsia="Arial" w:hAnsi="Arial"/>
          <w:sz w:val="19"/>
          <w:szCs w:val="19"/>
          <w:color w:val="auto"/>
        </w:rPr>
        <w:t xml:space="preserve">agreement shall include, without limitation, a full and complete general release in favor of the Company and its affiliates (subject to customary carve outs), and their respective directors and officers, as well as your agreement to non-competition (limited to one year), non-solicitation, non-disparagement, confidentiality and further cooperation obligations and restrictions substantially in the form set forth in </w:t>
      </w:r>
      <w:r>
        <w:rPr>
          <w:rFonts w:ascii="Arial" w:cs="Arial" w:eastAsia="Arial" w:hAnsi="Arial"/>
          <w:sz w:val="19"/>
          <w:szCs w:val="19"/>
          <w:i w:val="1"/>
          <w:iCs w:val="1"/>
          <w:color w:val="auto"/>
        </w:rPr>
        <w:t>Annex I</w:t>
      </w:r>
      <w:r>
        <w:rPr>
          <w:rFonts w:ascii="Arial" w:cs="Arial" w:eastAsia="Arial" w:hAnsi="Arial"/>
          <w:sz w:val="19"/>
          <w:szCs w:val="19"/>
          <w:color w:val="auto"/>
        </w:rPr>
        <w:t xml:space="preserve"> attached hereto (the “</w:t>
      </w:r>
      <w:r>
        <w:rPr>
          <w:rFonts w:ascii="Arial" w:cs="Arial" w:eastAsia="Arial" w:hAnsi="Arial"/>
          <w:sz w:val="19"/>
          <w:szCs w:val="19"/>
          <w:i w:val="1"/>
          <w:iCs w:val="1"/>
          <w:color w:val="auto"/>
        </w:rPr>
        <w:t>Severance Agreement</w:t>
      </w:r>
      <w:r>
        <w:rPr>
          <w:rFonts w:ascii="Arial" w:cs="Arial" w:eastAsia="Arial" w:hAnsi="Arial"/>
          <w:sz w:val="19"/>
          <w:szCs w:val="19"/>
          <w:color w:val="auto"/>
        </w:rPr>
        <w:t>”), the Company will provide you with the following:</w:t>
      </w:r>
    </w:p>
    <w:p>
      <w:pPr>
        <w:spacing w:after="0" w:line="165" w:lineRule="exact"/>
        <w:rPr>
          <w:sz w:val="20"/>
          <w:szCs w:val="20"/>
          <w:color w:val="auto"/>
        </w:rPr>
      </w:pPr>
    </w:p>
    <w:p>
      <w:pPr>
        <w:jc w:val="both"/>
        <w:ind w:firstLine="8"/>
        <w:spacing w:after="0" w:line="291" w:lineRule="auto"/>
        <w:tabs>
          <w:tab w:leader="none" w:pos="319"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Severance in an amount to be determined by the Compensation Committee (the “</w:t>
      </w:r>
      <w:r>
        <w:rPr>
          <w:rFonts w:ascii="Arial" w:cs="Arial" w:eastAsia="Arial" w:hAnsi="Arial"/>
          <w:sz w:val="19"/>
          <w:szCs w:val="19"/>
          <w:i w:val="1"/>
          <w:iCs w:val="1"/>
          <w:color w:val="auto"/>
        </w:rPr>
        <w:t>Severance Amount</w:t>
      </w:r>
      <w:r>
        <w:rPr>
          <w:rFonts w:ascii="Arial" w:cs="Arial" w:eastAsia="Arial" w:hAnsi="Arial"/>
          <w:sz w:val="19"/>
          <w:szCs w:val="19"/>
          <w:color w:val="auto"/>
        </w:rPr>
        <w:t xml:space="preserve">”), but in no event less than two (2) times the sum of your annual base salary plus your target annual bonus, each as in effect at the time your employment terminates, </w:t>
      </w:r>
      <w:r>
        <w:rPr>
          <w:rFonts w:ascii="Arial" w:cs="Arial" w:eastAsia="Arial" w:hAnsi="Arial"/>
          <w:sz w:val="19"/>
          <w:szCs w:val="19"/>
          <w:i w:val="1"/>
          <w:iCs w:val="1"/>
          <w:color w:val="auto"/>
        </w:rPr>
        <w:t>provided</w:t>
      </w:r>
      <w:r>
        <w:rPr>
          <w:rFonts w:ascii="Arial" w:cs="Arial" w:eastAsia="Arial" w:hAnsi="Arial"/>
          <w:sz w:val="19"/>
          <w:szCs w:val="19"/>
          <w:color w:val="auto"/>
        </w:rPr>
        <w:t>, that if your employment is terminated between the Effective Date and the CEO Commencement Date, such amounts will be determined based on your annual base salary and target annual bonus that would have been in effect as of the CEO Commencement Date. Sixty percent (60%) of the Severance Amount (the “</w:t>
      </w:r>
      <w:r>
        <w:rPr>
          <w:rFonts w:ascii="Arial" w:cs="Arial" w:eastAsia="Arial" w:hAnsi="Arial"/>
          <w:sz w:val="19"/>
          <w:szCs w:val="19"/>
          <w:i w:val="1"/>
          <w:iCs w:val="1"/>
          <w:color w:val="auto"/>
        </w:rPr>
        <w:t>First Payment</w:t>
      </w:r>
      <w:r>
        <w:rPr>
          <w:rFonts w:ascii="Arial" w:cs="Arial" w:eastAsia="Arial" w:hAnsi="Arial"/>
          <w:sz w:val="19"/>
          <w:szCs w:val="19"/>
          <w:color w:val="auto"/>
        </w:rPr>
        <w:t>”) will be payable to you on the six-month anniversary of the date your employment so terminates (the “</w:t>
      </w:r>
      <w:r>
        <w:rPr>
          <w:rFonts w:ascii="Arial" w:cs="Arial" w:eastAsia="Arial" w:hAnsi="Arial"/>
          <w:sz w:val="19"/>
          <w:szCs w:val="19"/>
          <w:i w:val="1"/>
          <w:iCs w:val="1"/>
          <w:color w:val="auto"/>
        </w:rPr>
        <w:t>Termination Date</w:t>
      </w:r>
      <w:r>
        <w:rPr>
          <w:rFonts w:ascii="Arial" w:cs="Arial" w:eastAsia="Arial" w:hAnsi="Arial"/>
          <w:sz w:val="19"/>
          <w:szCs w:val="19"/>
          <w:color w:val="auto"/>
        </w:rPr>
        <w:t xml:space="preserve">”) and the remaining forty percent (40%) of the Severance Amount will be payable to you on the twelve-month anniversary of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maximum portion of the First Payment that is exempt from Section 409A (as defined below) will be payable to you on or before the seventy-fifth (75) day following the date your employment so terminates;</w:t>
      </w:r>
    </w:p>
    <w:p>
      <w:pPr>
        <w:spacing w:after="0" w:line="180" w:lineRule="exact"/>
        <w:rPr>
          <w:rFonts w:ascii="Arial" w:cs="Arial" w:eastAsia="Arial" w:hAnsi="Arial"/>
          <w:sz w:val="19"/>
          <w:szCs w:val="19"/>
          <w:color w:val="auto"/>
        </w:rPr>
      </w:pPr>
    </w:p>
    <w:p>
      <w:pPr>
        <w:jc w:val="both"/>
        <w:ind w:firstLine="8"/>
        <w:spacing w:after="0" w:line="300" w:lineRule="auto"/>
        <w:tabs>
          <w:tab w:leader="none" w:pos="306"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A prorated bonus based on the amount of your base salary earned by you during the fiscal year through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that such bonus, if any, will be payable to you if and when such bonuses are generally paid to similarly situated</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and will be based on your then current annual target bonus as well as Company and your business unit performance as determined by the Compensation Committee in its discretion, but without adjustment for your individual performance; and any unpaid portion of the Sign-On Bonus shall be paid on the first regular Company payroll date on or after the Termination Date;</w:t>
      </w:r>
    </w:p>
    <w:p>
      <w:pPr>
        <w:spacing w:after="0" w:line="173" w:lineRule="exact"/>
        <w:rPr>
          <w:rFonts w:ascii="Arial" w:cs="Arial" w:eastAsia="Arial" w:hAnsi="Arial"/>
          <w:sz w:val="19"/>
          <w:szCs w:val="19"/>
          <w:color w:val="auto"/>
        </w:rPr>
      </w:pPr>
    </w:p>
    <w:p>
      <w:pPr>
        <w:jc w:val="both"/>
        <w:ind w:firstLine="8"/>
        <w:spacing w:after="0" w:line="249" w:lineRule="auto"/>
        <w:tabs>
          <w:tab w:leader="none" w:pos="306"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If, as of the Termination Date, annual bonuses had not yet generally been paid to similarly situated employees with respect to the prior fiscal year, a bonus based on the amount of your base salary actually paid to you during such prior fiscal year, </w:t>
      </w:r>
      <w:r>
        <w:rPr>
          <w:rFonts w:ascii="Arial" w:cs="Arial" w:eastAsia="Arial" w:hAnsi="Arial"/>
          <w:sz w:val="22"/>
          <w:szCs w:val="22"/>
          <w:i w:val="1"/>
          <w:iCs w:val="1"/>
          <w:color w:val="auto"/>
        </w:rPr>
        <w:t>provided</w:t>
      </w:r>
      <w:r>
        <w:rPr>
          <w:rFonts w:ascii="Arial" w:cs="Arial" w:eastAsia="Arial" w:hAnsi="Arial"/>
          <w:sz w:val="22"/>
          <w:szCs w:val="22"/>
          <w:color w:val="auto"/>
        </w:rPr>
        <w:t>, that such bonus, if any, will be payable to you if and when such bonuses are generally paid to similarly situated employees and will be based on your annual target bonus that was in effect with respect to such prior fiscal year as well as Company and your business unit performance as determined by the Compensation Committee in its discretion, but without adjustment for your individual performance; and</w:t>
      </w:r>
    </w:p>
    <w:p>
      <w:pPr>
        <w:spacing w:after="0" w:line="234" w:lineRule="exact"/>
        <w:rPr>
          <w:rFonts w:ascii="Arial" w:cs="Arial" w:eastAsia="Arial" w:hAnsi="Arial"/>
          <w:sz w:val="22"/>
          <w:szCs w:val="22"/>
          <w:color w:val="auto"/>
        </w:rPr>
      </w:pPr>
    </w:p>
    <w:p>
      <w:pPr>
        <w:jc w:val="both"/>
        <w:ind w:firstLine="8"/>
        <w:spacing w:after="0" w:line="294" w:lineRule="auto"/>
        <w:tabs>
          <w:tab w:leader="none" w:pos="468"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i w:val="1"/>
          <w:iCs w:val="1"/>
          <w:color w:val="auto"/>
        </w:rPr>
        <w:t>Time-Vested Restricted Stock and Restricted Stock Unit Awards (including restricted stock unit awards that are subject to</w:t>
      </w:r>
      <w:r>
        <w:rPr>
          <w:rFonts w:ascii="Arial" w:cs="Arial" w:eastAsia="Arial" w:hAnsi="Arial"/>
          <w:sz w:val="19"/>
          <w:szCs w:val="19"/>
          <w:color w:val="auto"/>
        </w:rPr>
        <w:t xml:space="preserve"> </w:t>
      </w:r>
      <w:r>
        <w:rPr>
          <w:rFonts w:ascii="Arial" w:cs="Arial" w:eastAsia="Arial" w:hAnsi="Arial"/>
          <w:sz w:val="19"/>
          <w:szCs w:val="19"/>
          <w:i w:val="1"/>
          <w:iCs w:val="1"/>
          <w:color w:val="auto"/>
        </w:rPr>
        <w:t>achievement of a performance condition and restricted stock unit awards that have no performance conditions)</w:t>
      </w:r>
      <w:r>
        <w:rPr>
          <w:rFonts w:ascii="Arial" w:cs="Arial" w:eastAsia="Arial" w:hAnsi="Arial"/>
          <w:sz w:val="19"/>
          <w:szCs w:val="19"/>
          <w:color w:val="auto"/>
        </w:rPr>
        <w:t>. Each of your</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restricted stock or restricted stock units awards granted to you under the plans of the Company (other than the CEO Special Equity Award which will be treated in the manner described above and the COO Special Equity Award (as defined below) which will be treated in the manner described below) shall continue to vest in accordance with their original vesting schedule irrespective of the termination of the term hereof and payments or deliveries with respect to your restricted</w:t>
      </w:r>
    </w:p>
    <w:p>
      <w:pPr>
        <w:sectPr>
          <w:pgSz w:w="11900" w:h="16838" w:orient="portrait"/>
          <w:cols w:equalWidth="0" w:num="1">
            <w:col w:w="11240"/>
          </w:cols>
          <w:pgMar w:left="320" w:top="1428" w:right="339" w:bottom="1440" w:gutter="0" w:footer="0" w:header="0"/>
        </w:sectPr>
      </w:pPr>
    </w:p>
    <w:bookmarkStart w:id="48" w:name="page49"/>
    <w:bookmarkEnd w:id="48"/>
    <w:p>
      <w:pPr>
        <w:jc w:val="both"/>
        <w:spacing w:after="0" w:line="248" w:lineRule="auto"/>
        <w:rPr>
          <w:sz w:val="20"/>
          <w:szCs w:val="20"/>
          <w:color w:val="auto"/>
        </w:rPr>
      </w:pPr>
      <w:r>
        <w:rPr>
          <w:rFonts w:ascii="Arial" w:cs="Arial" w:eastAsia="Arial" w:hAnsi="Arial"/>
          <w:sz w:val="22"/>
          <w:szCs w:val="22"/>
          <w:color w:val="auto"/>
        </w:rPr>
        <w:t xml:space="preserve">stock and restricted stock units shall be made on the original vesting date(s) (or, in the case of restricted stock units, on the original distribution date(s)); </w:t>
      </w:r>
      <w:r>
        <w:rPr>
          <w:rFonts w:ascii="Arial" w:cs="Arial" w:eastAsia="Arial" w:hAnsi="Arial"/>
          <w:sz w:val="22"/>
          <w:szCs w:val="22"/>
          <w:i w:val="1"/>
          <w:iCs w:val="1"/>
          <w:color w:val="auto"/>
        </w:rPr>
        <w:t>provided</w:t>
      </w:r>
      <w:r>
        <w:rPr>
          <w:rFonts w:ascii="Arial" w:cs="Arial" w:eastAsia="Arial" w:hAnsi="Arial"/>
          <w:sz w:val="22"/>
          <w:szCs w:val="22"/>
          <w:color w:val="auto"/>
        </w:rPr>
        <w:t>, however, that at the time of your termination from employment, the Company shall withhold and settle a portion of each of your outstanding restricted stock and restricted stock unit awards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restricted stock or restricted stock unit award, and make a payroll tax contribution in such amount on your behalf;</w:t>
      </w:r>
    </w:p>
    <w:p>
      <w:pPr>
        <w:spacing w:after="0" w:line="222" w:lineRule="exact"/>
        <w:rPr>
          <w:sz w:val="20"/>
          <w:szCs w:val="20"/>
          <w:color w:val="auto"/>
        </w:rPr>
      </w:pPr>
    </w:p>
    <w:p>
      <w:pPr>
        <w:jc w:val="both"/>
        <w:ind w:firstLine="372"/>
        <w:spacing w:after="0" w:line="264" w:lineRule="auto"/>
        <w:tabs>
          <w:tab w:leader="none" w:pos="700" w:val="left"/>
        </w:tabs>
        <w:numPr>
          <w:ilvl w:val="1"/>
          <w:numId w:val="21"/>
        </w:numPr>
        <w:rPr>
          <w:rFonts w:ascii="Arial" w:cs="Arial" w:eastAsia="Arial" w:hAnsi="Arial"/>
          <w:sz w:val="21"/>
          <w:szCs w:val="21"/>
          <w:color w:val="auto"/>
        </w:rPr>
      </w:pPr>
      <w:r>
        <w:rPr>
          <w:rFonts w:ascii="Arial" w:cs="Arial" w:eastAsia="Arial" w:hAnsi="Arial"/>
          <w:sz w:val="21"/>
          <w:szCs w:val="21"/>
          <w:i w:val="1"/>
          <w:iCs w:val="1"/>
          <w:color w:val="auto"/>
        </w:rPr>
        <w:t>Performance-Based Restricted Stock Unit Awards</w:t>
      </w:r>
      <w:r>
        <w:rPr>
          <w:rFonts w:ascii="Arial" w:cs="Arial" w:eastAsia="Arial" w:hAnsi="Arial"/>
          <w:sz w:val="21"/>
          <w:szCs w:val="21"/>
          <w:color w:val="auto"/>
        </w:rPr>
        <w:t>. Each of your outstanding performance-based restricted stock unit</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PRSUs</w:t>
      </w:r>
      <w:r>
        <w:rPr>
          <w:rFonts w:ascii="Arial" w:cs="Arial" w:eastAsia="Arial" w:hAnsi="Arial"/>
          <w:sz w:val="21"/>
          <w:szCs w:val="21"/>
          <w:color w:val="auto"/>
        </w:rPr>
        <w:t xml:space="preserve">”) awards granted under the plans of the Company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applicable performance objectives are not satisfied then any such PRSUs will be forfeited;</w:t>
      </w:r>
    </w:p>
    <w:p>
      <w:pPr>
        <w:spacing w:after="0" w:line="201" w:lineRule="exact"/>
        <w:rPr>
          <w:rFonts w:ascii="Arial" w:cs="Arial" w:eastAsia="Arial" w:hAnsi="Arial"/>
          <w:sz w:val="21"/>
          <w:szCs w:val="21"/>
          <w:color w:val="auto"/>
        </w:rPr>
      </w:pPr>
    </w:p>
    <w:p>
      <w:pPr>
        <w:jc w:val="both"/>
        <w:ind w:firstLine="8"/>
        <w:spacing w:after="0" w:line="249" w:lineRule="auto"/>
        <w:tabs>
          <w:tab w:leader="none" w:pos="379" w:val="left"/>
        </w:tabs>
        <w:numPr>
          <w:ilvl w:val="0"/>
          <w:numId w:val="22"/>
        </w:numPr>
        <w:rPr>
          <w:rFonts w:ascii="Arial" w:cs="Arial" w:eastAsia="Arial" w:hAnsi="Arial"/>
          <w:sz w:val="22"/>
          <w:szCs w:val="22"/>
          <w:color w:val="auto"/>
        </w:rPr>
      </w:pPr>
      <w:r>
        <w:rPr>
          <w:rFonts w:ascii="Arial" w:cs="Arial" w:eastAsia="Arial" w:hAnsi="Arial"/>
          <w:sz w:val="22"/>
          <w:szCs w:val="22"/>
          <w:color w:val="auto"/>
        </w:rPr>
        <w:t>Each of your outstanding long-term cash performance awards (“</w:t>
      </w:r>
      <w:r>
        <w:rPr>
          <w:rFonts w:ascii="Arial" w:cs="Arial" w:eastAsia="Arial" w:hAnsi="Arial"/>
          <w:sz w:val="22"/>
          <w:szCs w:val="22"/>
          <w:i w:val="1"/>
          <w:iCs w:val="1"/>
          <w:color w:val="auto"/>
        </w:rPr>
        <w:t>CPAs</w:t>
      </w:r>
      <w:r>
        <w:rPr>
          <w:rFonts w:ascii="Arial" w:cs="Arial" w:eastAsia="Arial" w:hAnsi="Arial"/>
          <w:sz w:val="22"/>
          <w:szCs w:val="22"/>
          <w:color w:val="auto"/>
        </w:rPr>
        <w:t xml:space="preserve">”)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applicable performance objectives are not satisfied then any such CPAs will be forfeited; and</w:t>
      </w:r>
    </w:p>
    <w:p>
      <w:pPr>
        <w:spacing w:after="0" w:line="234" w:lineRule="exact"/>
        <w:rPr>
          <w:rFonts w:ascii="Arial" w:cs="Arial" w:eastAsia="Arial" w:hAnsi="Arial"/>
          <w:sz w:val="22"/>
          <w:szCs w:val="22"/>
          <w:color w:val="auto"/>
        </w:rPr>
      </w:pPr>
    </w:p>
    <w:p>
      <w:pPr>
        <w:jc w:val="both"/>
        <w:ind w:firstLine="656"/>
        <w:spacing w:after="0" w:line="250" w:lineRule="auto"/>
        <w:tabs>
          <w:tab w:leader="none" w:pos="1018" w:val="left"/>
        </w:tabs>
        <w:numPr>
          <w:ilvl w:val="2"/>
          <w:numId w:val="22"/>
        </w:numPr>
        <w:rPr>
          <w:rFonts w:ascii="Arial" w:cs="Arial" w:eastAsia="Arial" w:hAnsi="Arial"/>
          <w:sz w:val="22"/>
          <w:szCs w:val="22"/>
          <w:color w:val="auto"/>
        </w:rPr>
      </w:pPr>
      <w:r>
        <w:rPr>
          <w:rFonts w:ascii="Arial" w:cs="Arial" w:eastAsia="Arial" w:hAnsi="Arial"/>
          <w:sz w:val="22"/>
          <w:szCs w:val="22"/>
          <w:color w:val="auto"/>
        </w:rPr>
        <w:t>Each of your outstanding stock options and stock appreciation awards under the plans of the Company, if any, shall continue to vest in accordance with their original vesting schedule irrespective of the termination of the term hereof and you shall have the right to exercise each of those options and stock appreciation awards for the remainder of the term of such option or award.</w:t>
      </w:r>
    </w:p>
    <w:p>
      <w:pPr>
        <w:spacing w:after="0" w:line="21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If you die after a termination of your employment that is subject to the above, your estate or beneficiaries will be provided any remaining benefits and rights under the above sections (1) through (4).</w:t>
      </w:r>
    </w:p>
    <w:p>
      <w:pPr>
        <w:spacing w:after="0" w:line="188"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Notwithstanding the foregoing, your RSU award granted November 19, 2021, (the “COO Special Equity Award”) will cliff vest on March 31, 2024;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your COO Special Equity Award will vest on a Change of Control of the Company (as defined in the award agreement for your COO Special Equity Award); and (B) subject to your execution and the effectiveness of the Severance Agreement, the vesting restrictions applicable to your COO Special Equity Award will lapse on a termination of your employment with the Company (1) by the Company, (2) by you for Good Reason, or (3) due to your death or your physical or mental disability (at which time of such termination under clauses (1), (2) or (3) Cause does not exist)</w:t>
      </w:r>
    </w:p>
    <w:p>
      <w:pPr>
        <w:sectPr>
          <w:pgSz w:w="11900" w:h="16838" w:orient="portrait"/>
          <w:cols w:equalWidth="0" w:num="1">
            <w:col w:w="11240"/>
          </w:cols>
          <w:pgMar w:left="320" w:top="1428" w:right="339"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21"/>
          <w:szCs w:val="21"/>
          <w:color w:val="auto"/>
        </w:rPr>
        <w:t>and the COO Special Equity Award will be paid or delivered to you within a reasonable period of time (and no later than the seventy-fifth (75th) day) following your termination. Your COO Special Equity Award remains subject to the other terms and conditions set forth in the applicable award agreement. Notwithstanding anything else in this Employment Agreement, the vesting provisions set forth in this paragraph will apply to the COO Special Equity Award.</w:t>
      </w:r>
    </w:p>
    <w:p>
      <w:pPr>
        <w:spacing w:after="0" w:line="19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Except as otherwise set forth herein, 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spacing w:after="0" w:line="17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0"/>
          <w:szCs w:val="20"/>
          <w:color w:val="auto"/>
        </w:rPr>
        <w:t>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Sections (2) and (3) above, and each of your outstanding equity, cash incentive, stock option, and stock appreciation awards granted under the plans of the Company (other than the CEO Special Equity Award and the COO Special Equity Award which will be treated in the manner described above) shall immediately vest in full, whether or not subject to performance criteria and shall be payable on the 90</w:t>
      </w:r>
      <w:r>
        <w:rPr>
          <w:rFonts w:ascii="Arial" w:cs="Arial" w:eastAsia="Arial" w:hAnsi="Arial"/>
          <w:sz w:val="13"/>
          <w:szCs w:val="13"/>
          <w:color w:val="auto"/>
        </w:rPr>
        <w:t>th</w:t>
      </w:r>
      <w:r>
        <w:rPr>
          <w:rFonts w:ascii="Arial" w:cs="Arial" w:eastAsia="Arial" w:hAnsi="Arial"/>
          <w:sz w:val="20"/>
          <w:szCs w:val="20"/>
          <w:color w:val="auto"/>
        </w:rPr>
        <w:t xml:space="preserve"> day after the termination of your employment; </w:t>
      </w:r>
      <w:r>
        <w:rPr>
          <w:rFonts w:ascii="Arial" w:cs="Arial" w:eastAsia="Arial" w:hAnsi="Arial"/>
          <w:sz w:val="20"/>
          <w:szCs w:val="20"/>
          <w:i w:val="1"/>
          <w:iCs w:val="1"/>
          <w:color w:val="auto"/>
        </w:rPr>
        <w:t>provided</w:t>
      </w:r>
      <w:r>
        <w:rPr>
          <w:rFonts w:ascii="Arial" w:cs="Arial" w:eastAsia="Arial" w:hAnsi="Arial"/>
          <w:sz w:val="20"/>
          <w:szCs w:val="20"/>
          <w:color w:val="auto"/>
        </w:rPr>
        <w:t>,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 to the extent that other similarly situated executives receive payment as determined by the Compensation Committee (subject to satisfaction of the applicable performance criteria).</w:t>
      </w:r>
    </w:p>
    <w:p>
      <w:pPr>
        <w:spacing w:after="0" w:line="20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This Agreement does not constitute a guarantee of employment or benefits for any definite period. Your employment may be terminated by you or the Company at any time, with or without notice, liability (subject to the terms of this Agreement) or Cause. With the exception of the provisions that, by their term, survive your death, this Agreement shall automatically terminate upon your death.</w:t>
      </w:r>
    </w:p>
    <w:p>
      <w:pPr>
        <w:spacing w:after="0" w:line="21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If and to the extent that any payment or benefit hereunder, or any plan, award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w:t>
      </w:r>
    </w:p>
    <w:p>
      <w:pPr>
        <w:sectPr>
          <w:pgSz w:w="11900" w:h="16838" w:orient="portrait"/>
          <w:cols w:equalWidth="0" w:num="1">
            <w:col w:w="11240"/>
          </w:cols>
          <w:pgMar w:left="320" w:top="1428" w:right="339" w:bottom="1440" w:gutter="0" w:footer="0" w:header="0"/>
        </w:sectPr>
      </w:pPr>
    </w:p>
    <w:bookmarkStart w:id="50" w:name="page51"/>
    <w:bookmarkEnd w:id="50"/>
    <w:p>
      <w:pPr>
        <w:jc w:val="both"/>
        <w:spacing w:after="0" w:line="300" w:lineRule="auto"/>
        <w:rPr>
          <w:sz w:val="20"/>
          <w:szCs w:val="20"/>
          <w:color w:val="auto"/>
        </w:rPr>
      </w:pPr>
      <w:r>
        <w:rPr>
          <w:rFonts w:ascii="Arial" w:cs="Arial" w:eastAsia="Arial" w:hAnsi="Arial"/>
          <w:sz w:val="19"/>
          <w:szCs w:val="19"/>
          <w:color w:val="auto"/>
        </w:rPr>
        <w:t>409A and as determined by the Company), such payment or benefit shall not be made or provided before the date that is six months after the date of your separation from service (or your earlier death). Any amount not paid or benefit not provided in respect of the six-month period specified in the preceding sentence will be paid to you in a lump sum or provided to you as soon as practicable after the expiration of such six-month period. Each payment or benefit hereunder shall be treated as a separate payment for purposes of Section 409A to the extent Section 409A applies to such payments or benefits.</w:t>
      </w:r>
    </w:p>
    <w:p>
      <w:pPr>
        <w:spacing w:after="0" w:line="173"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To the extent you are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spacing w:after="0" w:line="17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The Company may withhold from any payment due to you hereunder any taxes that are required to be withheld under any law, rule or regulation. If any payment otherwise due to you hereunder would result in the imposition of the excise tax imposed by Section 4999 of the Internal Revenue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w:t>
      </w:r>
      <w:r>
        <w:rPr>
          <w:rFonts w:ascii="Arial" w:cs="Arial" w:eastAsia="Arial" w:hAnsi="Arial"/>
          <w:sz w:val="19"/>
          <w:szCs w:val="19"/>
          <w:i w:val="1"/>
          <w:iCs w:val="1"/>
          <w:color w:val="auto"/>
        </w:rPr>
        <w:t>i.e.</w:t>
      </w:r>
      <w:r>
        <w:rPr>
          <w:rFonts w:ascii="Arial" w:cs="Arial" w:eastAsia="Arial" w:hAnsi="Arial"/>
          <w:sz w:val="19"/>
          <w:szCs w:val="19"/>
          <w:color w:val="auto"/>
        </w:rPr>
        <w:t>, later payments will be reduced first) until the reduction specified is achieved.</w:t>
      </w:r>
    </w:p>
    <w:p>
      <w:pPr>
        <w:spacing w:after="0" w:line="194"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 penalties under Section 409A. Neither party shall take any action to accelerate or delay the payment of any monies and/or provision of any benefits that are subject to Section 409A in any manner that would not be in compliance with Section 409A.</w:t>
      </w:r>
    </w:p>
    <w:p>
      <w:pPr>
        <w:spacing w:after="0" w:line="18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apply to your service with the Company prior to the Effective Date and shall survive the expiration or termination of your employment and/or this Agreement as well as your execution of the Severance Agreement as provided for herein.</w:t>
      </w:r>
    </w:p>
    <w:p>
      <w:pPr>
        <w:sectPr>
          <w:pgSz w:w="11900" w:h="16838" w:orient="portrait"/>
          <w:cols w:equalWidth="0" w:num="1">
            <w:col w:w="11240"/>
          </w:cols>
          <w:pgMar w:left="320" w:top="1428" w:right="339" w:bottom="1440" w:gutter="0" w:footer="0" w:header="0"/>
        </w:sectPr>
      </w:pPr>
    </w:p>
    <w:bookmarkStart w:id="51" w:name="page52"/>
    <w:bookmarkEnd w:id="51"/>
    <w:p>
      <w:pPr>
        <w:spacing w:after="0" w:line="23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You hereby represent to the Company that you are not subject to any contract, arrangement, agreement, policy or understanding, including any restrictive covenants obligations owed to any third-party (other than customary confidentiality restrictions imposed by your prior employer), that would in any way prevent, restrict or limit your ability to enter into and perform your obligations under this Agreement.</w:t>
      </w:r>
    </w:p>
    <w:p>
      <w:pPr>
        <w:spacing w:after="0" w:line="21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3" w:lineRule="exact"/>
        <w:rPr>
          <w:sz w:val="20"/>
          <w:szCs w:val="20"/>
          <w:color w:val="auto"/>
        </w:rPr>
      </w:pPr>
    </w:p>
    <w:p>
      <w:pPr>
        <w:jc w:val="both"/>
        <w:ind w:firstLine="1093"/>
        <w:spacing w:after="0" w:line="251" w:lineRule="auto"/>
        <w:rPr>
          <w:sz w:val="20"/>
          <w:szCs w:val="20"/>
          <w:color w:val="auto"/>
        </w:rPr>
      </w:pPr>
      <w:r>
        <w:rPr>
          <w:rFonts w:ascii="Arial" w:cs="Arial" w:eastAsia="Arial" w:hAnsi="Arial"/>
          <w:sz w:val="22"/>
          <w:szCs w:val="22"/>
          <w:b w:val="1"/>
          <w:bCs w:val="1"/>
          <w:color w:val="auto"/>
        </w:rPr>
        <w:t>To the extent permitted by law, you hereby waive any and all rights to a jury trial with respect to any claim arising out of or in any way connected with or related to this Agreement, your employment by the Company or the termination of your employment with the Company.</w:t>
      </w:r>
    </w:p>
    <w:p>
      <w:pPr>
        <w:spacing w:after="0" w:line="208" w:lineRule="exact"/>
        <w:rPr>
          <w:sz w:val="20"/>
          <w:szCs w:val="20"/>
          <w:color w:val="auto"/>
        </w:rPr>
      </w:pPr>
    </w:p>
    <w:p>
      <w:pPr>
        <w:jc w:val="both"/>
        <w:ind w:firstLine="1093"/>
        <w:spacing w:after="0" w:line="254" w:lineRule="auto"/>
        <w:rPr>
          <w:sz w:val="20"/>
          <w:szCs w:val="20"/>
          <w:color w:val="auto"/>
        </w:rPr>
      </w:pPr>
      <w:r>
        <w:rPr>
          <w:rFonts w:ascii="Arial" w:cs="Arial" w:eastAsia="Arial" w:hAnsi="Arial"/>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You and the Company hereby irrevocably submit to the jurisdiction of the courts of the State of New York and the federal courts of the United States of America located in the State of New York solely in respect of the interpretation and enforcement of the provisions of this Agreement, and you and the Company hereby waive, and agree not to assert, as a defense that you are not subject thereto or that the venue thereof may not be appropriate.</w:t>
      </w:r>
    </w:p>
    <w:p>
      <w:pPr>
        <w:spacing w:after="0" w:line="219"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You and the Company hereby agree that mailing of notice, process or other papers in connection with any such action or proceeding in any manner as may be permitted by law shall be valid and sufficient service thereof if delivered to you at your address set forth above (with a copy to Hughes Hubbard &amp; Reed LLP at One Battery Park Plaza, New York, NY 10004 Attention: Kenneth A. Lefkowitz) or to the Company at 11 Penn Plaza, New York, NY 10001, respectively, or to such other address as you or the Company may later designate in writing for the receipt of such notices.</w:t>
      </w:r>
    </w:p>
    <w:p>
      <w:pPr>
        <w:spacing w:after="0" w:line="17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This Agreement may not be amended or modified otherwise than by a written agreement executed by the parties hereto or their respective successors and legal representatives.</w:t>
      </w:r>
    </w:p>
    <w:p>
      <w:pPr>
        <w:spacing w:after="0" w:line="21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This Agreement may be executed in counterparts, each of which shall be deemed to be an original, and all of which together shall constitute one and the same agreement.</w:t>
      </w:r>
    </w:p>
    <w:p>
      <w:pPr>
        <w:spacing w:after="0" w:line="20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w:t>
      </w:r>
    </w:p>
    <w:p>
      <w:pPr>
        <w:sectPr>
          <w:pgSz w:w="11900" w:h="16838" w:orient="portrait"/>
          <w:cols w:equalWidth="0" w:num="1">
            <w:col w:w="11240"/>
          </w:cols>
          <w:pgMar w:left="320" w:top="1440" w:right="339" w:bottom="1440" w:gutter="0" w:footer="0" w:header="0"/>
        </w:sectPr>
      </w:pPr>
    </w:p>
    <w:bookmarkStart w:id="52" w:name="page53"/>
    <w:bookmarkEnd w:id="52"/>
    <w:p>
      <w:pPr>
        <w:jc w:val="both"/>
        <w:ind w:right="20"/>
        <w:spacing w:after="0" w:line="263" w:lineRule="auto"/>
        <w:rPr>
          <w:sz w:val="20"/>
          <w:szCs w:val="20"/>
          <w:color w:val="auto"/>
        </w:rPr>
      </w:pPr>
      <w:r>
        <w:rPr>
          <w:rFonts w:ascii="Arial" w:cs="Arial" w:eastAsia="Arial" w:hAnsi="Arial"/>
          <w:sz w:val="22"/>
          <w:szCs w:val="22"/>
          <w:color w:val="auto"/>
        </w:rPr>
        <w:t>necessary to render the same legal, valid and enforceable, and the other remaining provisions of this Agreement shall not be affected but shall remain in full force and effect.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Capitalized terms used in this Agreement, including in </w:t>
      </w:r>
      <w:r>
        <w:rPr>
          <w:rFonts w:ascii="Arial" w:cs="Arial" w:eastAsia="Arial" w:hAnsi="Arial"/>
          <w:sz w:val="19"/>
          <w:szCs w:val="19"/>
          <w:i w:val="1"/>
          <w:iCs w:val="1"/>
          <w:color w:val="auto"/>
        </w:rPr>
        <w:t>Annex I</w:t>
      </w:r>
      <w:r>
        <w:rPr>
          <w:rFonts w:ascii="Arial" w:cs="Arial" w:eastAsia="Arial" w:hAnsi="Arial"/>
          <w:sz w:val="19"/>
          <w:szCs w:val="19"/>
          <w:color w:val="auto"/>
        </w:rPr>
        <w:t xml:space="preserve"> attached hereto, shall have the meanings set forth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4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xml:space="preserve">” 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in each case, any crime involving moral turpitude or any felony.</w:t>
      </w:r>
    </w:p>
    <w:p>
      <w:pPr>
        <w:spacing w:after="0" w:line="22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xml:space="preserve">” means that (1) without your consent, (A) your base salary or annual bonus target (as each may be increased from time to time in the Compensation Committee’s discretion) is reduced, (B) your title is diminished, (C)(i) prior to the CEO Commencement Date, you report to someone other than the Company’s Chief Executive Officer or the Chairman of the Board, (C)(ii) after the CEO Commencement Date, you report to someone other than the Chairman of the Board, (D)(i) prior to the CEO Commencement Date, your responsibilities as in effect immediately after the date hereof are thereafter materially diminished, , (D)(ii) after the CEO Commencement Date, your responsibilities as CEO are materially diminished, (E) the Company materially breaches its obligations to you under this Agreement or, (F) the Company requires that your principal office be located more than fifty (50) miles from Manhattan, (2) you have given the Company written notice, referring specifically to this letter and definition, that you do not consent to such action, (3) the Company has not corrected such action within 30 days of receiving such notice,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(4) you voluntarily terminate your employment with the Company within 90 days following the happening of the action described in subsection (1)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any changes to your current title, duties and responsibilities as a result of the Company’s appointment of a successor Chief Financial Officer shall not constitute Good Reason under this Agreement.</w:t>
      </w:r>
    </w:p>
    <w:p>
      <w:pPr>
        <w:spacing w:after="0" w:line="200" w:lineRule="exact"/>
        <w:rPr>
          <w:sz w:val="20"/>
          <w:szCs w:val="20"/>
          <w:color w:val="auto"/>
        </w:rPr>
      </w:pPr>
    </w:p>
    <w:p>
      <w:pPr>
        <w:spacing w:after="0" w:line="24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It is the parties’ intention that this Agreement not be construed more strictly with regard to you or the Company. This Agreement (together with your outstanding grant agreements under the Company’s long-term equity and other incentive programs) reflects the entire understanding and agreement of you and the Company with respect to the subject matter hereof and supersedes all prior understandings and agreements, including, as of the Effective Date, the Employment Agreement dated January 12, 2021 between you and the Company and the Amendment to the Employment Agreement dated November 19, 2021 between you and the Company; provided, however, no provision in this Agreement shall be construed to adversely affect any of your rights to compensation, expense reimbursement or benefits accrued as of the Effective Date with respect to your service with the Company prior to the Effective Date.</w:t>
      </w:r>
    </w:p>
    <w:p>
      <w:pPr>
        <w:sectPr>
          <w:pgSz w:w="11900" w:h="16838" w:orient="portrait"/>
          <w:cols w:equalWidth="0" w:num="1">
            <w:col w:w="11240"/>
          </w:cols>
          <w:pgMar w:left="320" w:top="1428" w:right="339" w:bottom="1440" w:gutter="0" w:footer="0" w:header="0"/>
        </w:sectPr>
      </w:pPr>
    </w:p>
    <w:bookmarkStart w:id="53" w:name="page54"/>
    <w:bookmarkEnd w:id="53"/>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90"/>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60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Jamie Gallagher</w:t>
            </w:r>
          </w:p>
        </w:tc>
      </w:tr>
      <w:tr>
        <w:trPr>
          <w:trHeight w:val="275"/>
        </w:trPr>
        <w:tc>
          <w:tcPr>
            <w:tcW w:w="68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Name:</w:t>
            </w:r>
          </w:p>
        </w:tc>
        <w:tc>
          <w:tcPr>
            <w:tcW w:w="5100" w:type="dxa"/>
            <w:vAlign w:val="bottom"/>
          </w:tcPr>
          <w:p>
            <w:pPr>
              <w:ind w:left="300"/>
              <w:spacing w:after="0"/>
              <w:rPr>
                <w:sz w:val="20"/>
                <w:szCs w:val="20"/>
                <w:color w:val="auto"/>
              </w:rPr>
            </w:pPr>
            <w:r>
              <w:rPr>
                <w:rFonts w:ascii="Arial" w:cs="Arial" w:eastAsia="Arial" w:hAnsi="Arial"/>
                <w:sz w:val="22"/>
                <w:szCs w:val="22"/>
                <w:color w:val="auto"/>
              </w:rPr>
              <w:t>Jamie Gallagher</w:t>
            </w:r>
          </w:p>
        </w:tc>
      </w:tr>
      <w:tr>
        <w:trPr>
          <w:trHeight w:val="297"/>
        </w:trPr>
        <w:tc>
          <w:tcPr>
            <w:tcW w:w="6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Title:</w:t>
            </w:r>
          </w:p>
        </w:tc>
        <w:tc>
          <w:tcPr>
            <w:tcW w:w="5100" w:type="dxa"/>
            <w:vAlign w:val="bottom"/>
          </w:tcPr>
          <w:p>
            <w:pPr>
              <w:ind w:left="300"/>
              <w:spacing w:after="0"/>
              <w:rPr>
                <w:sz w:val="20"/>
                <w:szCs w:val="20"/>
                <w:color w:val="auto"/>
              </w:rPr>
            </w:pPr>
            <w:r>
              <w:rPr>
                <w:rFonts w:ascii="Arial" w:cs="Arial" w:eastAsia="Arial" w:hAnsi="Arial"/>
                <w:sz w:val="22"/>
                <w:szCs w:val="22"/>
                <w:color w:val="auto"/>
              </w:rPr>
              <w:t>EVP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15875</wp:posOffset>
            </wp:positionV>
            <wp:extent cx="37973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4" w:lineRule="exact"/>
        <w:rPr>
          <w:sz w:val="20"/>
          <w:szCs w:val="20"/>
          <w:color w:val="auto"/>
        </w:rPr>
      </w:pPr>
    </w:p>
    <w:p>
      <w:pPr>
        <w:ind w:left="720"/>
        <w:spacing w:after="0"/>
        <w:tabs>
          <w:tab w:leader="none" w:pos="19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Christina Spade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Date: August 4, 2022</w:t>
      </w:r>
    </w:p>
    <w:p>
      <w:pPr>
        <w:sectPr>
          <w:pgSz w:w="11900" w:h="16838" w:orient="portrait"/>
          <w:cols w:equalWidth="0" w:num="1">
            <w:col w:w="10139"/>
          </w:cols>
          <w:pgMar w:left="320" w:top="144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i w:val="1"/>
          <w:iCs w:val="1"/>
          <w:color w:val="auto"/>
        </w:rPr>
        <w:t>ANNEX I</w:t>
      </w:r>
    </w:p>
    <w:p>
      <w:pPr>
        <w:spacing w:after="0" w:line="247"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This Annex constitutes part of the Agreement dated August 4, 2022, by and between Christina Spade (“</w:t>
      </w:r>
      <w:r>
        <w:rPr>
          <w:rFonts w:ascii="Arial" w:cs="Arial" w:eastAsia="Arial" w:hAnsi="Arial"/>
          <w:sz w:val="19"/>
          <w:szCs w:val="19"/>
          <w:i w:val="1"/>
          <w:iCs w:val="1"/>
          <w:color w:val="auto"/>
        </w:rPr>
        <w:t>You</w:t>
      </w:r>
      <w:r>
        <w:rPr>
          <w:rFonts w:ascii="Arial" w:cs="Arial" w:eastAsia="Arial" w:hAnsi="Arial"/>
          <w:sz w:val="19"/>
          <w:szCs w:val="19"/>
          <w:color w:val="auto"/>
        </w:rPr>
        <w:t>”) and AMC Networks Inc. (the “</w:t>
      </w:r>
      <w:r>
        <w:rPr>
          <w:rFonts w:ascii="Arial" w:cs="Arial" w:eastAsia="Arial" w:hAnsi="Arial"/>
          <w:sz w:val="19"/>
          <w:szCs w:val="19"/>
          <w:i w:val="1"/>
          <w:iCs w:val="1"/>
          <w:color w:val="auto"/>
        </w:rPr>
        <w:t>Company</w:t>
      </w:r>
      <w:r>
        <w:rPr>
          <w:rFonts w:ascii="Arial" w:cs="Arial" w:eastAsia="Arial" w:hAnsi="Arial"/>
          <w:sz w:val="19"/>
          <w:szCs w:val="19"/>
          <w:color w:val="auto"/>
        </w:rPr>
        <w:t>”). Terms defined in the Agreement shall have the same meanings in this Annex.</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322" w:lineRule="exact"/>
        <w:rPr>
          <w:sz w:val="20"/>
          <w:szCs w:val="20"/>
          <w:color w:val="auto"/>
        </w:rPr>
      </w:pPr>
    </w:p>
    <w:p>
      <w:pPr>
        <w:ind w:left="880" w:hanging="147"/>
        <w:spacing w:after="0"/>
        <w:tabs>
          <w:tab w:leader="none" w:pos="880" w:val="left"/>
        </w:tabs>
        <w:numPr>
          <w:ilvl w:val="1"/>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7" w:lineRule="exact"/>
        <w:rPr>
          <w:rFonts w:ascii="Arial" w:cs="Arial" w:eastAsia="Arial" w:hAnsi="Arial"/>
          <w:sz w:val="22"/>
          <w:szCs w:val="22"/>
          <w:b w:val="1"/>
          <w:bCs w:val="1"/>
          <w:color w:val="auto"/>
        </w:rPr>
      </w:pPr>
    </w:p>
    <w:p>
      <w:pPr>
        <w:jc w:val="both"/>
        <w:ind w:firstLine="1304"/>
        <w:spacing w:after="0" w:line="263" w:lineRule="auto"/>
        <w:tabs>
          <w:tab w:leader="none" w:pos="1581" w:val="left"/>
        </w:tabs>
        <w:numPr>
          <w:ilvl w:val="2"/>
          <w:numId w:val="23"/>
        </w:numPr>
        <w:rPr>
          <w:rFonts w:ascii="Arial" w:cs="Arial" w:eastAsia="Arial" w:hAnsi="Arial"/>
          <w:sz w:val="21"/>
          <w:szCs w:val="21"/>
          <w:color w:val="auto"/>
        </w:rPr>
      </w:pP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You agree to keep the existence and terms of this Agreement confidential (unless it is made public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spacing w:after="0" w:line="205" w:lineRule="exact"/>
        <w:rPr>
          <w:rFonts w:ascii="Arial" w:cs="Arial" w:eastAsia="Arial" w:hAnsi="Arial"/>
          <w:sz w:val="21"/>
          <w:szCs w:val="21"/>
          <w:color w:val="auto"/>
        </w:rPr>
      </w:pPr>
    </w:p>
    <w:p>
      <w:pPr>
        <w:jc w:val="both"/>
        <w:ind w:firstLine="1304"/>
        <w:spacing w:after="0" w:line="286" w:lineRule="auto"/>
        <w:tabs>
          <w:tab w:leader="none" w:pos="1593" w:val="left"/>
        </w:tabs>
        <w:numPr>
          <w:ilvl w:val="2"/>
          <w:numId w:val="23"/>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Arial" w:cs="Arial" w:eastAsia="Arial" w:hAnsi="Arial"/>
          <w:sz w:val="19"/>
          <w:szCs w:val="19"/>
          <w:i w:val="1"/>
          <w:iCs w:val="1"/>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 (i) information designated or treated as confidential, (ii) budgets, plans, forecasts or other financial or accounting data;</w:t>
      </w:r>
    </w:p>
    <w:p>
      <w:pPr>
        <w:spacing w:after="0" w:line="4" w:lineRule="exact"/>
        <w:rPr>
          <w:rFonts w:ascii="Arial" w:cs="Arial" w:eastAsia="Arial" w:hAnsi="Arial"/>
          <w:sz w:val="19"/>
          <w:szCs w:val="19"/>
          <w:color w:val="auto"/>
        </w:rPr>
      </w:pPr>
    </w:p>
    <w:p>
      <w:pPr>
        <w:jc w:val="both"/>
        <w:ind w:firstLine="8"/>
        <w:spacing w:after="0" w:line="290" w:lineRule="auto"/>
        <w:tabs>
          <w:tab w:leader="none" w:pos="412" w:val="left"/>
        </w:tabs>
        <w:numPr>
          <w:ilvl w:val="0"/>
          <w:numId w:val="24"/>
        </w:numPr>
        <w:rPr>
          <w:rFonts w:ascii="Arial" w:cs="Arial" w:eastAsia="Arial" w:hAnsi="Arial"/>
          <w:sz w:val="19"/>
          <w:szCs w:val="19"/>
          <w:color w:val="auto"/>
        </w:rPr>
      </w:pPr>
      <w:r>
        <w:rPr>
          <w:rFonts w:ascii="Arial" w:cs="Arial" w:eastAsia="Arial" w:hAnsi="Arial"/>
          <w:sz w:val="19"/>
          <w:szCs w:val="19"/>
          <w:color w:val="auto"/>
        </w:rPr>
        <w:t>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ectPr>
          <w:pgSz w:w="11900" w:h="16838" w:orient="portrait"/>
          <w:cols w:equalWidth="0" w:num="1">
            <w:col w:w="11240"/>
          </w:cols>
          <w:pgMar w:left="320" w:top="1428" w:right="339" w:bottom="1440" w:gutter="0" w:footer="0" w:header="0"/>
        </w:sectPr>
      </w:pPr>
    </w:p>
    <w:bookmarkStart w:id="55" w:name="page56"/>
    <w:bookmarkEnd w:id="55"/>
    <w:p>
      <w:pPr>
        <w:jc w:val="both"/>
        <w:ind w:firstLine="1304"/>
        <w:spacing w:after="0" w:line="253" w:lineRule="auto"/>
        <w:tabs>
          <w:tab w:leader="none" w:pos="1635"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Exception for Disclosure Pursuant to Law</w:t>
      </w:r>
      <w:r>
        <w:rPr>
          <w:rFonts w:ascii="Arial" w:cs="Arial" w:eastAsia="Arial" w:hAnsi="Arial"/>
          <w:sz w:val="22"/>
          <w:szCs w:val="22"/>
          <w:color w:val="auto"/>
        </w:rPr>
        <w:t>. Notwithstanding the foregoing, the obligations set forth in subsection (b) above, other than with respect to subscriber or customer information, shall not apply to Confidential Information that is:</w:t>
      </w:r>
    </w:p>
    <w:p>
      <w:pPr>
        <w:spacing w:after="0" w:line="200" w:lineRule="exact"/>
        <w:rPr>
          <w:rFonts w:ascii="Arial" w:cs="Arial" w:eastAsia="Arial" w:hAnsi="Arial"/>
          <w:sz w:val="22"/>
          <w:szCs w:val="22"/>
          <w:color w:val="auto"/>
        </w:rPr>
      </w:pPr>
    </w:p>
    <w:p>
      <w:pPr>
        <w:spacing w:after="0" w:line="349" w:lineRule="exact"/>
        <w:rPr>
          <w:rFonts w:ascii="Arial" w:cs="Arial" w:eastAsia="Arial" w:hAnsi="Arial"/>
          <w:sz w:val="22"/>
          <w:szCs w:val="22"/>
          <w:color w:val="auto"/>
        </w:rPr>
      </w:pPr>
    </w:p>
    <w:p>
      <w:pPr>
        <w:ind w:left="900" w:hanging="874"/>
        <w:spacing w:after="0"/>
        <w:tabs>
          <w:tab w:leader="none" w:pos="9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00" w:hanging="874"/>
        <w:spacing w:after="0"/>
        <w:tabs>
          <w:tab w:leader="none" w:pos="9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disclosed to you by a third party with the right to disclose it in good faith; or</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880" w:hanging="854"/>
        <w:spacing w:after="0"/>
        <w:tabs>
          <w:tab w:leader="none" w:pos="8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specifically exempted in writing by the applicable Covered Party from the applicability of this Agreement.</w:t>
      </w:r>
    </w:p>
    <w:p>
      <w:pPr>
        <w:spacing w:after="0" w:line="36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21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25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2 Non-Compete</w:t>
      </w:r>
    </w:p>
    <w:p>
      <w:pPr>
        <w:spacing w:after="0" w:line="13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Arial" w:cs="Arial" w:eastAsia="Arial" w:hAnsi="Arial"/>
          <w:sz w:val="21"/>
          <w:szCs w:val="21"/>
          <w:i w:val="1"/>
          <w:iCs w:val="1"/>
          <w:color w:val="auto"/>
        </w:rPr>
        <w:t>Competitive Entity</w:t>
      </w:r>
      <w:r>
        <w:rPr>
          <w:rFonts w:ascii="Arial" w:cs="Arial" w:eastAsia="Arial" w:hAnsi="Arial"/>
          <w:sz w:val="21"/>
          <w:szCs w:val="21"/>
          <w:color w:val="auto"/>
        </w:rPr>
        <w:t>” 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w:t>
      </w:r>
    </w:p>
    <w:p>
      <w:pPr>
        <w:sectPr>
          <w:pgSz w:w="11900" w:h="16838" w:orient="portrait"/>
          <w:cols w:equalWidth="0" w:num="1">
            <w:col w:w="11240"/>
          </w:cols>
          <w:pgMar w:left="320" w:top="1428" w:right="3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avoidance of doubt, this agreement not to compete will expire on the Expiration Date if the termination of your employment with</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220" w:type="dxa"/>
            <w:vAlign w:val="bottom"/>
            <w:vMerge w:val="restart"/>
          </w:tcPr>
          <w:p>
            <w:pPr>
              <w:spacing w:after="0"/>
              <w:rPr>
                <w:sz w:val="20"/>
                <w:szCs w:val="20"/>
                <w:color w:val="auto"/>
              </w:rPr>
            </w:pPr>
            <w:r>
              <w:rPr>
                <w:rFonts w:ascii="Arial" w:cs="Arial" w:eastAsia="Arial" w:hAnsi="Arial"/>
                <w:sz w:val="22"/>
                <w:szCs w:val="22"/>
                <w:color w:val="auto"/>
                <w:w w:val="97"/>
              </w:rPr>
              <w:t>the Company occurs on the Expiration Date.</w:t>
            </w:r>
          </w:p>
        </w:tc>
        <w:tc>
          <w:tcPr>
            <w:tcW w:w="3020" w:type="dxa"/>
            <w:vAlign w:val="bottom"/>
          </w:tcPr>
          <w:p>
            <w:pPr>
              <w:ind w:left="380"/>
              <w:spacing w:after="0"/>
              <w:rPr>
                <w:sz w:val="20"/>
                <w:szCs w:val="20"/>
                <w:color w:val="auto"/>
              </w:rPr>
            </w:pPr>
            <w:r>
              <w:rPr>
                <w:rFonts w:ascii="Arial" w:cs="Arial" w:eastAsia="Arial" w:hAnsi="Arial"/>
                <w:sz w:val="22"/>
                <w:szCs w:val="22"/>
                <w:b w:val="1"/>
                <w:bCs w:val="1"/>
                <w:color w:val="auto"/>
                <w:w w:val="87"/>
              </w:rPr>
              <w:t>3 Additional Understandings</w:t>
            </w:r>
          </w:p>
        </w:tc>
        <w:tc>
          <w:tcPr>
            <w:tcW w:w="0" w:type="dxa"/>
            <w:vAlign w:val="bottom"/>
          </w:tcPr>
          <w:p>
            <w:pPr>
              <w:spacing w:after="0"/>
              <w:rPr>
                <w:sz w:val="1"/>
                <w:szCs w:val="1"/>
                <w:color w:val="auto"/>
              </w:rPr>
            </w:pPr>
          </w:p>
        </w:tc>
      </w:tr>
      <w:tr>
        <w:trPr>
          <w:trHeight w:val="135"/>
        </w:trPr>
        <w:tc>
          <w:tcPr>
            <w:tcW w:w="4220" w:type="dxa"/>
            <w:vAlign w:val="bottom"/>
            <w:vMerge w:val="continue"/>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firstLine="1296"/>
        <w:spacing w:after="0" w:line="246"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2" w:lineRule="exact"/>
        <w:rPr>
          <w:sz w:val="20"/>
          <w:szCs w:val="20"/>
          <w:color w:val="auto"/>
        </w:rPr>
      </w:pPr>
    </w:p>
    <w:p>
      <w:pPr>
        <w:jc w:val="both"/>
        <w:ind w:firstLine="1093"/>
        <w:spacing w:after="0" w:line="243" w:lineRule="auto"/>
        <w:rPr>
          <w:sz w:val="20"/>
          <w:szCs w:val="20"/>
          <w:color w:val="auto"/>
        </w:rPr>
      </w:pPr>
      <w:r>
        <w:rPr>
          <w:rFonts w:ascii="Arial" w:cs="Arial" w:eastAsia="Arial" w:hAnsi="Arial"/>
          <w:sz w:val="22"/>
          <w:szCs w:val="22"/>
          <w:color w:val="auto"/>
        </w:rPr>
        <w:t xml:space="preserve">This Agreement in no way restricts or prevents you from providing truthful testimony concerning the Company or its affiliates (i) as required by court order or other legal process,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you afford the Company written notice and an opportunity to respond prior to such disclosure; or (ii) in proceedings to enforce or defend your rights under this Agreement or any other written agreement between you and the Company or its affiliates.</w:t>
      </w:r>
    </w:p>
    <w:p>
      <w:pPr>
        <w:spacing w:after="0" w:line="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Arial" w:cs="Arial" w:eastAsia="Arial" w:hAnsi="Arial"/>
          <w:sz w:val="21"/>
          <w:szCs w:val="21"/>
          <w:i w:val="1"/>
          <w:iCs w:val="1"/>
          <w:color w:val="auto"/>
        </w:rPr>
        <w:t>Materials</w:t>
      </w:r>
      <w:r>
        <w:rPr>
          <w:rFonts w:ascii="Arial" w:cs="Arial" w:eastAsia="Arial" w:hAnsi="Arial"/>
          <w:sz w:val="21"/>
          <w:szCs w:val="21"/>
          <w:color w:val="auto"/>
        </w:rPr>
        <w:t>”). The Company will have the sole and exclusive authority to use the Materials in any manner that it deems appropriate, in perpetuity, without additional payment to you.</w:t>
      </w:r>
    </w:p>
    <w:p>
      <w:pPr>
        <w:spacing w:after="0" w:line="28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4 Further Cooperation</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$6,800.00 per day for each day or part thereof, within 30 days of the approval of the invoice thereof.</w:t>
      </w:r>
    </w:p>
    <w:p>
      <w:pPr>
        <w:spacing w:after="0" w:line="18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w:t>
      </w:r>
    </w:p>
    <w:p>
      <w:pPr>
        <w:sectPr>
          <w:pgSz w:w="11900" w:h="16838" w:orient="portrait"/>
          <w:cols w:equalWidth="0" w:num="1">
            <w:col w:w="11240"/>
          </w:cols>
          <w:pgMar w:left="320" w:top="1428"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expenses. You agree to provide the Company with an estimate of any such expense before it is incurred.</w:t>
      </w:r>
    </w:p>
    <w:p>
      <w:pPr>
        <w:spacing w:after="0" w:line="32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5 No Hire or Solicit</w:t>
      </w:r>
    </w:p>
    <w:p>
      <w:pPr>
        <w:spacing w:after="0" w:line="13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For the term of the Agreement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w:t>
      </w:r>
    </w:p>
    <w:p>
      <w:pPr>
        <w:spacing w:after="0" w:line="3"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This restriction does not apply to any employee who was discharged by the Company or any of its affiliates. In addition, this restriction will not prevent you from providing references.</w:t>
      </w:r>
    </w:p>
    <w:p>
      <w:pPr>
        <w:spacing w:after="0" w:line="28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6 Acknowledgments</w:t>
      </w:r>
    </w:p>
    <w:p>
      <w:pPr>
        <w:spacing w:after="0" w:line="13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You acknowledge that the restrictions contained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raise the defense that the Company has an adequate remedy at law. Nothing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construed as prohibiting the Company from pursuing any other remedies at law or in equity that it may have or any other rights that it may have under any other agreement. If it is determined that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28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7 Survival</w:t>
      </w:r>
    </w:p>
    <w:p>
      <w:pPr>
        <w:spacing w:after="0" w:line="1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covenants and agreement set forth in this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survive any termination or expiration of this Agreement and any termination of your employment with the Company, in accordance with their respective terms.</w:t>
      </w:r>
    </w:p>
    <w:p>
      <w:pPr>
        <w:sectPr>
          <w:pgSz w:w="11900" w:h="16838" w:orient="portrait"/>
          <w:cols w:equalWidth="0" w:num="1">
            <w:col w:w="11240"/>
          </w:cols>
          <w:pgMar w:left="320" w:top="1428"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1922780</wp:posOffset>
            </wp:positionH>
            <wp:positionV relativeFrom="page">
              <wp:posOffset>911860</wp:posOffset>
            </wp:positionV>
            <wp:extent cx="3703320" cy="771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7033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August 4, 2022</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Mr. Patrick O’Connell</w:t>
      </w:r>
    </w:p>
    <w:p>
      <w:pPr>
        <w:spacing w:after="0" w:line="230" w:lineRule="auto"/>
        <w:rPr>
          <w:sz w:val="20"/>
          <w:szCs w:val="20"/>
          <w:color w:val="auto"/>
        </w:rPr>
      </w:pPr>
      <w:r>
        <w:rPr>
          <w:rFonts w:ascii="Arial" w:cs="Arial" w:eastAsia="Arial" w:hAnsi="Arial"/>
          <w:sz w:val="22"/>
          <w:szCs w:val="22"/>
          <w:color w:val="auto"/>
        </w:rPr>
        <w:t>AMC Networks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 Penn Plaza New York, NY 10001</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Employment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Patrick:</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letter agreement (the “</w:t>
      </w:r>
      <w:r>
        <w:rPr>
          <w:rFonts w:ascii="Arial" w:cs="Arial" w:eastAsia="Arial" w:hAnsi="Arial"/>
          <w:sz w:val="22"/>
          <w:szCs w:val="22"/>
          <w:i w:val="1"/>
          <w:iCs w:val="1"/>
          <w:color w:val="auto"/>
        </w:rPr>
        <w:t>Agreement</w:t>
      </w:r>
      <w:r>
        <w:rPr>
          <w:rFonts w:ascii="Arial" w:cs="Arial" w:eastAsia="Arial" w:hAnsi="Arial"/>
          <w:sz w:val="22"/>
          <w:szCs w:val="22"/>
          <w:color w:val="auto"/>
        </w:rPr>
        <w:t>”), effective as of the date hereof (the “</w:t>
      </w:r>
      <w:r>
        <w:rPr>
          <w:rFonts w:ascii="Arial" w:cs="Arial" w:eastAsia="Arial" w:hAnsi="Arial"/>
          <w:sz w:val="22"/>
          <w:szCs w:val="22"/>
          <w:i w:val="1"/>
          <w:iCs w:val="1"/>
          <w:u w:val="single" w:color="auto"/>
          <w:color w:val="auto"/>
        </w:rPr>
        <w:t>Effective Date</w:t>
      </w:r>
      <w:r>
        <w:rPr>
          <w:rFonts w:ascii="Arial" w:cs="Arial" w:eastAsia="Arial" w:hAnsi="Arial"/>
          <w:sz w:val="22"/>
          <w:szCs w:val="22"/>
          <w:color w:val="auto"/>
        </w:rPr>
        <w:t>”), will confirm the terms of your employment by AMC Networks Inc. (the “</w:t>
      </w:r>
      <w:r>
        <w:rPr>
          <w:rFonts w:ascii="Arial" w:cs="Arial" w:eastAsia="Arial" w:hAnsi="Arial"/>
          <w:sz w:val="22"/>
          <w:szCs w:val="22"/>
          <w:i w:val="1"/>
          <w:iCs w:val="1"/>
          <w:color w:val="auto"/>
        </w:rPr>
        <w:t>Company</w:t>
      </w:r>
      <w:r>
        <w:rPr>
          <w:rFonts w:ascii="Arial" w:cs="Arial" w:eastAsia="Arial" w:hAnsi="Arial"/>
          <w:sz w:val="22"/>
          <w:szCs w:val="22"/>
          <w:color w:val="auto"/>
        </w:rPr>
        <w:t>”) as an at will employee, which shall commence on August 8, 2022, or such earlier or later date as the parties may agree (the “</w:t>
      </w:r>
      <w:r>
        <w:rPr>
          <w:rFonts w:ascii="Arial" w:cs="Arial" w:eastAsia="Arial" w:hAnsi="Arial"/>
          <w:sz w:val="22"/>
          <w:szCs w:val="22"/>
          <w:i w:val="1"/>
          <w:iCs w:val="1"/>
          <w:u w:val="single" w:color="auto"/>
          <w:color w:val="auto"/>
        </w:rPr>
        <w:t>Commencement Date</w:t>
      </w:r>
      <w:r>
        <w:rPr>
          <w:rFonts w:ascii="Arial" w:cs="Arial" w:eastAsia="Arial" w:hAnsi="Arial"/>
          <w:sz w:val="22"/>
          <w:szCs w:val="22"/>
          <w:color w:val="auto"/>
        </w:rPr>
        <w:t>”).</w:t>
      </w:r>
    </w:p>
    <w:p>
      <w:pPr>
        <w:spacing w:after="0" w:line="213" w:lineRule="exact"/>
        <w:rPr>
          <w:sz w:val="20"/>
          <w:szCs w:val="20"/>
          <w:color w:val="auto"/>
        </w:rPr>
      </w:pPr>
    </w:p>
    <w:p>
      <w:pPr>
        <w:ind w:right="100" w:firstLine="1296"/>
        <w:spacing w:after="0" w:line="278" w:lineRule="auto"/>
        <w:rPr>
          <w:sz w:val="20"/>
          <w:szCs w:val="20"/>
          <w:color w:val="auto"/>
        </w:rPr>
      </w:pPr>
      <w:r>
        <w:rPr>
          <w:rFonts w:ascii="Arial" w:cs="Arial" w:eastAsia="Arial" w:hAnsi="Arial"/>
          <w:sz w:val="19"/>
          <w:szCs w:val="19"/>
          <w:color w:val="auto"/>
        </w:rPr>
        <w:t>Commencing on the Commencement Date your title will be Executive Vice President - Chief Financial Officer and you will report to the Chief Executive Officer of the Company (the “</w:t>
      </w:r>
      <w:r>
        <w:rPr>
          <w:rFonts w:ascii="Arial" w:cs="Arial" w:eastAsia="Arial" w:hAnsi="Arial"/>
          <w:sz w:val="19"/>
          <w:szCs w:val="19"/>
          <w:i w:val="1"/>
          <w:iCs w:val="1"/>
          <w:color w:val="auto"/>
        </w:rPr>
        <w:t>CEO</w:t>
      </w:r>
      <w:r>
        <w:rPr>
          <w:rFonts w:ascii="Arial" w:cs="Arial" w:eastAsia="Arial" w:hAnsi="Arial"/>
          <w:sz w:val="19"/>
          <w:szCs w:val="19"/>
          <w:color w:val="auto"/>
        </w:rPr>
        <w:t>”) or the Chairman of the Board of Directors of the Company (the “</w:t>
      </w:r>
      <w:r>
        <w:rPr>
          <w:rFonts w:ascii="Arial" w:cs="Arial" w:eastAsia="Arial" w:hAnsi="Arial"/>
          <w:sz w:val="19"/>
          <w:szCs w:val="19"/>
          <w:i w:val="1"/>
          <w:iCs w:val="1"/>
          <w:color w:val="auto"/>
        </w:rPr>
        <w:t>Board</w:t>
      </w:r>
      <w:r>
        <w:rPr>
          <w:rFonts w:ascii="Arial" w:cs="Arial" w:eastAsia="Arial" w:hAnsi="Arial"/>
          <w:sz w:val="19"/>
          <w:szCs w:val="19"/>
          <w:color w:val="auto"/>
        </w:rPr>
        <w:t>”), except for matters requiring you to report directly to the Board or the Audit Committee of the Board, as determined in the sole discretion of the Board or its Audit Committee. This Agreement will supersede and replace any and all other discussions, understandings or arrangements regarding the subject matter herein.</w:t>
      </w:r>
    </w:p>
    <w:p>
      <w:pPr>
        <w:spacing w:after="0" w:line="179"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The term of this Agreement (the “</w:t>
      </w:r>
      <w:r>
        <w:rPr>
          <w:rFonts w:ascii="Arial" w:cs="Arial" w:eastAsia="Arial" w:hAnsi="Arial"/>
          <w:sz w:val="22"/>
          <w:szCs w:val="22"/>
          <w:i w:val="1"/>
          <w:iCs w:val="1"/>
          <w:color w:val="auto"/>
        </w:rPr>
        <w:t>Term</w:t>
      </w:r>
      <w:r>
        <w:rPr>
          <w:rFonts w:ascii="Arial" w:cs="Arial" w:eastAsia="Arial" w:hAnsi="Arial"/>
          <w:sz w:val="22"/>
          <w:szCs w:val="22"/>
          <w:color w:val="auto"/>
        </w:rPr>
        <w:t>”) shall commence as of the Effective Date and shall automatically expire on March 31, 2026 (the “</w:t>
      </w:r>
      <w:r>
        <w:rPr>
          <w:rFonts w:ascii="Arial" w:cs="Arial" w:eastAsia="Arial" w:hAnsi="Arial"/>
          <w:sz w:val="22"/>
          <w:szCs w:val="22"/>
          <w:i w:val="1"/>
          <w:iCs w:val="1"/>
          <w:color w:val="auto"/>
        </w:rPr>
        <w:t>Expiration Date</w:t>
      </w:r>
      <w:r>
        <w:rPr>
          <w:rFonts w:ascii="Arial" w:cs="Arial" w:eastAsia="Arial" w:hAnsi="Arial"/>
          <w:sz w:val="22"/>
          <w:szCs w:val="22"/>
          <w:color w:val="auto"/>
        </w:rPr>
        <w:t>”).</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You agree to devote substantially all of your business time and attention to the business and affairs of the Company and to perform your duties in a diligent, competent and skillful manner and in accordance with applicable law. Notwithstanding the foregoing, nothing herein shall preclude you from (i) serving as a member of the board of directors or advisory board (or their equivalents in the case of a non-corporate entity) of up to two non-competing businesses upon consent of the CEO (not to be unreasonably withheld), (ii) engaging in charitable activities and community affairs, and (iii) managing your personal investments and affairs;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activities set out in clauses (i), (ii) and (iii) shall be limited by you so as not to materially interfere, individually or in the aggregate, with the performance of your duties and responsibilities hereunder, including compliance with the covenants set forth in Annex I.</w:t>
      </w:r>
    </w:p>
    <w:p>
      <w:pPr>
        <w:spacing w:after="0" w:line="19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Beginning on the Commencement Date, your annual base salary will be a minimum of $800,000, subject to annual review and potential increase by the Compensation</w:t>
      </w:r>
    </w:p>
    <w:p>
      <w:pPr>
        <w:sectPr>
          <w:pgSz w:w="11900" w:h="16838" w:orient="portrait"/>
          <w:cols w:equalWidth="0" w:num="1">
            <w:col w:w="11240"/>
          </w:cols>
          <w:pgMar w:left="320" w:top="1440" w:right="3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9"/>
          <w:szCs w:val="19"/>
          <w:color w:val="auto"/>
        </w:rPr>
        <w:t>Committee of the Board of Directors of the Company (the “</w:t>
      </w:r>
      <w:r>
        <w:rPr>
          <w:rFonts w:ascii="Arial" w:cs="Arial" w:eastAsia="Arial" w:hAnsi="Arial"/>
          <w:sz w:val="19"/>
          <w:szCs w:val="19"/>
          <w:i w:val="1"/>
          <w:iCs w:val="1"/>
          <w:color w:val="auto"/>
        </w:rPr>
        <w:t>Compensation Committee</w:t>
      </w:r>
      <w:r>
        <w:rPr>
          <w:rFonts w:ascii="Arial" w:cs="Arial" w:eastAsia="Arial" w:hAnsi="Arial"/>
          <w:sz w:val="19"/>
          <w:szCs w:val="19"/>
          <w:color w:val="auto"/>
        </w:rPr>
        <w:t xml:space="preserve">”), in its discretion. The Compensation Committee will review your compensation package on an annual basis. You will also participate in our discretionary annual bonus program with an annual target bonus opportunity equal to one hundred percent (100%) of actual salary dollars earned during the year; </w:t>
      </w:r>
      <w:r>
        <w:rPr>
          <w:rFonts w:ascii="Arial" w:cs="Arial" w:eastAsia="Arial" w:hAnsi="Arial"/>
          <w:sz w:val="19"/>
          <w:szCs w:val="19"/>
          <w:i w:val="1"/>
          <w:iCs w:val="1"/>
          <w:color w:val="auto"/>
        </w:rPr>
        <w:t>provided, however</w:t>
      </w:r>
      <w:r>
        <w:rPr>
          <w:rFonts w:ascii="Arial" w:cs="Arial" w:eastAsia="Arial" w:hAnsi="Arial"/>
          <w:sz w:val="19"/>
          <w:szCs w:val="19"/>
          <w:color w:val="auto"/>
        </w:rPr>
        <w:t>, that your target bonus for the fiscal year ending December 31, 2022 will be $800,000 and will not be pro-rated. Bonus payments depend on a number of factors including Company, unit and individual performance. However,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Your annual base salary and annual bonus target (as each may be increased from time to time in the Compensation Committee’s discretion) will not be reduced during the term of this Agreement. Notwithstanding the foregoing, if your employment with the Company ends on the Expiration Date, you shall be paid your bonus for the fiscal year ending December 31, 2025, if any, and a pro-rated bonus for the fiscal year ending December 31, 2026 (based on your days of employment during the 2026 fiscal year), if any, even if such payments are not made to you prior to the Expiration Date, which bonuses shall be payable to you if and when such bonuses are generally paid to similarly situated employees and be subject to Company and unit performance for the applicable fiscal year as determined by the Company in its sole discretion, but without adjustment for your individual performance.</w:t>
      </w:r>
    </w:p>
    <w:p>
      <w:pPr>
        <w:spacing w:after="0" w:line="200" w:lineRule="exact"/>
        <w:rPr>
          <w:sz w:val="20"/>
          <w:szCs w:val="20"/>
          <w:color w:val="auto"/>
        </w:rPr>
      </w:pPr>
    </w:p>
    <w:p>
      <w:pPr>
        <w:spacing w:after="0" w:line="23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You will also participate, subject to your continued employment by the Company and actual grant by the Compensation Committee in its discretion, in such long-term equity and other incentive programs as are made available in the future to similarly situated executives at the Company. Beginning in 2022, it is expected that such awards will consist of annual grants of cash and/or equity awards with an annual aggregate target value of not less than $1,200,000, as determined by the Compensation Committee. The awards granted in respect of 2022, which are expected to be granted in October 2022, will not be pro-rated based on your days of employment during the 2022 calendar year.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terms and conditions shall be consistent with the terms and conditions of the grant agreements received by similarly situated executives (subject to any more favorable terms set forth in this agreement including those set forth in Annex I attached hereto);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the purposes of this provision, the CEO shall not be deemed a “similarly situated executive.”</w:t>
      </w:r>
    </w:p>
    <w:p>
      <w:pPr>
        <w:spacing w:after="0" w:line="17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In addition, following the Effective Date you will be entitled to a one-time signing bonus in the amount of $1,050,000, less lawful withholdings (the “</w:t>
      </w:r>
      <w:r>
        <w:rPr>
          <w:rFonts w:ascii="Arial" w:cs="Arial" w:eastAsia="Arial" w:hAnsi="Arial"/>
          <w:sz w:val="19"/>
          <w:szCs w:val="19"/>
          <w:i w:val="1"/>
          <w:iCs w:val="1"/>
          <w:color w:val="auto"/>
        </w:rPr>
        <w:t>Sign-On Bonus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Subject to your continued employment through the relevant payment date, the Sign-On Bonus will be payable to you in cash as soon as practicable, but in no event later than 60 days following the Commencement Date. If at any time prior to the first anniversary of the Commencement Date your employment with the Company terminates as a result of (i) your voluntary resignation (other than for “Good Reason” (as defined below)), or</w:t>
      </w:r>
    </w:p>
    <w:p>
      <w:pPr>
        <w:spacing w:after="0" w:line="4" w:lineRule="exact"/>
        <w:rPr>
          <w:sz w:val="20"/>
          <w:szCs w:val="20"/>
          <w:color w:val="auto"/>
        </w:rPr>
      </w:pPr>
    </w:p>
    <w:p>
      <w:pPr>
        <w:ind w:firstLine="8"/>
        <w:spacing w:after="0" w:line="236" w:lineRule="auto"/>
        <w:tabs>
          <w:tab w:leader="none" w:pos="349"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 involuntary termination by the Company for “Cause” (as defined below), then you shall immediately refund to the Company the gross amount of the Sign-On Bonus.</w:t>
      </w:r>
    </w:p>
    <w:p>
      <w:pPr>
        <w:sectPr>
          <w:pgSz w:w="11900" w:h="16838" w:orient="portrait"/>
          <w:cols w:equalWidth="0" w:num="1">
            <w:col w:w="11240"/>
          </w:cols>
          <w:pgMar w:left="320" w:top="1414" w:right="339" w:bottom="1440" w:gutter="0" w:footer="0" w:header="0"/>
        </w:sectPr>
      </w:pPr>
    </w:p>
    <w:bookmarkStart w:id="60" w:name="page61"/>
    <w:bookmarkEnd w:id="60"/>
    <w:p>
      <w:pPr>
        <w:jc w:val="both"/>
        <w:ind w:firstLine="1296"/>
        <w:spacing w:after="0" w:line="282" w:lineRule="auto"/>
        <w:rPr>
          <w:sz w:val="20"/>
          <w:szCs w:val="20"/>
          <w:color w:val="auto"/>
        </w:rPr>
      </w:pPr>
      <w:r>
        <w:rPr>
          <w:rFonts w:ascii="Arial" w:cs="Arial" w:eastAsia="Arial" w:hAnsi="Arial"/>
          <w:sz w:val="19"/>
          <w:szCs w:val="19"/>
          <w:color w:val="auto"/>
        </w:rPr>
        <w:t>You will be eligible to participate in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entitled to four (4) weeks’ vacation per year, to be accrued and used in accordance with Company policy. You will also be entitled to reimbursement of business expenses upon submission of appropriate documentation in accordance with Company policy.</w:t>
      </w:r>
    </w:p>
    <w:p>
      <w:pPr>
        <w:spacing w:after="0" w:line="17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Effective as of the Effective Date, you and the Company agree to be bound by the additional covenants and provisions applicable to each that are set forth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which Annex shall be deemed to be a part of this Agreement.</w:t>
      </w:r>
    </w:p>
    <w:p>
      <w:pPr>
        <w:spacing w:after="0" w:line="21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If your employment with the Company is terminated after the Effective Date and prior to the expiration of the Term (1) by the Company or (2) by you for “</w:t>
      </w:r>
      <w:r>
        <w:rPr>
          <w:rFonts w:ascii="Arial" w:cs="Arial" w:eastAsia="Arial" w:hAnsi="Arial"/>
          <w:sz w:val="22"/>
          <w:szCs w:val="22"/>
          <w:i w:val="1"/>
          <w:iCs w:val="1"/>
          <w:color w:val="auto"/>
        </w:rPr>
        <w:t>Good Reason</w:t>
      </w:r>
      <w:r>
        <w:rPr>
          <w:rFonts w:ascii="Arial" w:cs="Arial" w:eastAsia="Arial" w:hAnsi="Arial"/>
          <w:sz w:val="22"/>
          <w:szCs w:val="22"/>
          <w:color w:val="auto"/>
        </w:rPr>
        <w:t>,” and at the time of such termination under clauses (1) or (2) “</w:t>
      </w:r>
      <w:r>
        <w:rPr>
          <w:rFonts w:ascii="Arial" w:cs="Arial" w:eastAsia="Arial" w:hAnsi="Arial"/>
          <w:sz w:val="22"/>
          <w:szCs w:val="22"/>
          <w:i w:val="1"/>
          <w:iCs w:val="1"/>
          <w:color w:val="auto"/>
        </w:rPr>
        <w:t>Cause</w:t>
      </w:r>
      <w:r>
        <w:rPr>
          <w:rFonts w:ascii="Arial" w:cs="Arial" w:eastAsia="Arial" w:hAnsi="Arial"/>
          <w:sz w:val="22"/>
          <w:szCs w:val="22"/>
          <w:color w:val="auto"/>
        </w:rPr>
        <w:t xml:space="preserve">” does not exist, then, subject to your execution and the effectiveness of a severance agreement satisfactory to the Company, which severance agreement shall include, without limitation, a full and complete general release in favor of the Company and its affiliates (subject to customary carve-outs), and their respective directors and officers, as well as your agreement to non-competition (limited to one year), non-solicitation, non-disparagement, confidentiality and further cooperation obligations and restrictions substantially in the form set forth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(the “</w:t>
      </w:r>
      <w:r>
        <w:rPr>
          <w:rFonts w:ascii="Arial" w:cs="Arial" w:eastAsia="Arial" w:hAnsi="Arial"/>
          <w:sz w:val="22"/>
          <w:szCs w:val="22"/>
          <w:i w:val="1"/>
          <w:iCs w:val="1"/>
          <w:color w:val="auto"/>
        </w:rPr>
        <w:t>Severance Agreement</w:t>
      </w:r>
      <w:r>
        <w:rPr>
          <w:rFonts w:ascii="Arial" w:cs="Arial" w:eastAsia="Arial" w:hAnsi="Arial"/>
          <w:sz w:val="22"/>
          <w:szCs w:val="22"/>
          <w:color w:val="auto"/>
        </w:rPr>
        <w:t>”), the Company will provide you with the following:</w:t>
      </w:r>
    </w:p>
    <w:p>
      <w:pPr>
        <w:spacing w:after="0" w:line="214" w:lineRule="exact"/>
        <w:rPr>
          <w:sz w:val="20"/>
          <w:szCs w:val="20"/>
          <w:color w:val="auto"/>
        </w:rPr>
      </w:pPr>
    </w:p>
    <w:p>
      <w:pPr>
        <w:jc w:val="both"/>
        <w:ind w:left="340" w:hanging="332"/>
        <w:spacing w:after="0" w:line="243" w:lineRule="auto"/>
        <w:tabs>
          <w:tab w:leader="none" w:pos="3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Severance in an amount to be determined by the Compensation Committee (the “</w:t>
      </w:r>
      <w:r>
        <w:rPr>
          <w:rFonts w:ascii="Arial" w:cs="Arial" w:eastAsia="Arial" w:hAnsi="Arial"/>
          <w:sz w:val="21"/>
          <w:szCs w:val="21"/>
          <w:i w:val="1"/>
          <w:iCs w:val="1"/>
          <w:color w:val="auto"/>
        </w:rPr>
        <w:t>Severance Amount</w:t>
      </w:r>
      <w:r>
        <w:rPr>
          <w:rFonts w:ascii="Arial" w:cs="Arial" w:eastAsia="Arial" w:hAnsi="Arial"/>
          <w:sz w:val="21"/>
          <w:szCs w:val="21"/>
          <w:color w:val="auto"/>
        </w:rPr>
        <w:t>”), but in no event less than two (2) times the sum of your annual base salary plus your target annual bonus, each as in effect at the time your employment terminates (or, if your employment terminates prior to the Commencement Date, the annual base salary and target bonus that would be in effect on the Commencement Date). Sixty percent (60%) of the Severance Amount (the “</w:t>
      </w:r>
      <w:r>
        <w:rPr>
          <w:rFonts w:ascii="Arial" w:cs="Arial" w:eastAsia="Arial" w:hAnsi="Arial"/>
          <w:sz w:val="21"/>
          <w:szCs w:val="21"/>
          <w:i w:val="1"/>
          <w:iCs w:val="1"/>
          <w:color w:val="auto"/>
        </w:rPr>
        <w:t>First</w:t>
      </w:r>
      <w:r>
        <w:rPr>
          <w:rFonts w:ascii="Arial" w:cs="Arial" w:eastAsia="Arial" w:hAnsi="Arial"/>
          <w:sz w:val="21"/>
          <w:szCs w:val="21"/>
          <w:color w:val="auto"/>
        </w:rPr>
        <w:t xml:space="preserve"> </w:t>
      </w:r>
      <w:r>
        <w:rPr>
          <w:rFonts w:ascii="Arial" w:cs="Arial" w:eastAsia="Arial" w:hAnsi="Arial"/>
          <w:sz w:val="21"/>
          <w:szCs w:val="21"/>
          <w:i w:val="1"/>
          <w:iCs w:val="1"/>
          <w:color w:val="auto"/>
        </w:rPr>
        <w:t>Payment</w:t>
      </w:r>
      <w:r>
        <w:rPr>
          <w:rFonts w:ascii="Arial" w:cs="Arial" w:eastAsia="Arial" w:hAnsi="Arial"/>
          <w:sz w:val="21"/>
          <w:szCs w:val="21"/>
          <w:color w:val="auto"/>
        </w:rPr>
        <w:t>”) will be payable to you on the six-month anniversary of the date your employment so terminates (the “</w:t>
      </w:r>
      <w:r>
        <w:rPr>
          <w:rFonts w:ascii="Arial" w:cs="Arial" w:eastAsia="Arial" w:hAnsi="Arial"/>
          <w:sz w:val="21"/>
          <w:szCs w:val="21"/>
          <w:i w:val="1"/>
          <w:iCs w:val="1"/>
          <w:color w:val="auto"/>
        </w:rPr>
        <w:t>Termination Date</w:t>
      </w:r>
      <w:r>
        <w:rPr>
          <w:rFonts w:ascii="Arial" w:cs="Arial" w:eastAsia="Arial" w:hAnsi="Arial"/>
          <w:sz w:val="21"/>
          <w:szCs w:val="21"/>
          <w:color w:val="auto"/>
        </w:rPr>
        <w:t>”) and the remaining forty percent (40%) of the Severance Amount will be payable to you on the twelve-month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anniversary of the Termination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maximum portion of the First Payment that is exempt from Section 409A (as defined below) will be payable to you on or before the seventy-fifth (75) day following the date your employment so terminates;</w:t>
      </w:r>
    </w:p>
    <w:p>
      <w:pPr>
        <w:spacing w:after="0" w:line="215" w:lineRule="exact"/>
        <w:rPr>
          <w:rFonts w:ascii="Arial" w:cs="Arial" w:eastAsia="Arial" w:hAnsi="Arial"/>
          <w:sz w:val="21"/>
          <w:szCs w:val="21"/>
          <w:color w:val="auto"/>
        </w:rPr>
      </w:pPr>
    </w:p>
    <w:p>
      <w:pPr>
        <w:jc w:val="both"/>
        <w:ind w:left="340" w:hanging="332"/>
        <w:spacing w:after="0" w:line="233" w:lineRule="auto"/>
        <w:tabs>
          <w:tab w:leader="none" w:pos="3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A prorated bonus based on the amount of your base salary earned by you during the fiscal year through the Termination Date, </w:t>
      </w:r>
      <w:r>
        <w:rPr>
          <w:rFonts w:ascii="Arial" w:cs="Arial" w:eastAsia="Arial" w:hAnsi="Arial"/>
          <w:sz w:val="22"/>
          <w:szCs w:val="22"/>
          <w:i w:val="1"/>
          <w:iCs w:val="1"/>
          <w:color w:val="auto"/>
        </w:rPr>
        <w:t>provided</w:t>
      </w:r>
      <w:r>
        <w:rPr>
          <w:rFonts w:ascii="Arial" w:cs="Arial" w:eastAsia="Arial" w:hAnsi="Arial"/>
          <w:sz w:val="22"/>
          <w:szCs w:val="22"/>
          <w:color w:val="auto"/>
        </w:rPr>
        <w:t>, that such bonus, if any, will be payable to you if and when such bonuses are generally paid to similarly situated</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and will be based on your then current annual target bonus as well as Company and your business unit performance as determined by the Compensation Committee in its discretion, but without adjustment for your individual performance; and any unpaid portion of the Sign-On Bonus which shall be paid on the first regular Company payroll date on or after the Termination Date;</w:t>
      </w:r>
    </w:p>
    <w:p>
      <w:pPr>
        <w:spacing w:after="0" w:line="213" w:lineRule="exact"/>
        <w:rPr>
          <w:rFonts w:ascii="Arial" w:cs="Arial" w:eastAsia="Arial" w:hAnsi="Arial"/>
          <w:sz w:val="22"/>
          <w:szCs w:val="22"/>
          <w:color w:val="auto"/>
        </w:rPr>
      </w:pPr>
    </w:p>
    <w:p>
      <w:pPr>
        <w:jc w:val="both"/>
        <w:ind w:left="340" w:hanging="332"/>
        <w:spacing w:after="0"/>
        <w:tabs>
          <w:tab w:leader="none" w:pos="3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If, as of the Termination Date, annual bonuses had not yet generally been paid to similarly situated employees with respect to the prior fiscal year, a bonus based on the amount of your base salary actually paid to you during such prior fiscal year, </w:t>
      </w:r>
      <w:r>
        <w:rPr>
          <w:rFonts w:ascii="Arial" w:cs="Arial" w:eastAsia="Arial" w:hAnsi="Arial"/>
          <w:sz w:val="22"/>
          <w:szCs w:val="22"/>
          <w:i w:val="1"/>
          <w:iCs w:val="1"/>
          <w:color w:val="auto"/>
        </w:rPr>
        <w:t>provided</w:t>
      </w:r>
      <w:r>
        <w:rPr>
          <w:rFonts w:ascii="Arial" w:cs="Arial" w:eastAsia="Arial" w:hAnsi="Arial"/>
          <w:sz w:val="22"/>
          <w:szCs w:val="22"/>
          <w:color w:val="auto"/>
        </w:rPr>
        <w:t>, that such bonus, if</w:t>
      </w:r>
    </w:p>
    <w:p>
      <w:pPr>
        <w:sectPr>
          <w:pgSz w:w="11900" w:h="16838" w:orient="portrait"/>
          <w:cols w:equalWidth="0" w:num="1">
            <w:col w:w="11240"/>
          </w:cols>
          <w:pgMar w:left="320" w:top="1414" w:right="339" w:bottom="1440" w:gutter="0" w:footer="0" w:header="0"/>
        </w:sectPr>
      </w:pPr>
    </w:p>
    <w:bookmarkStart w:id="61" w:name="page62"/>
    <w:bookmarkEnd w:id="61"/>
    <w:p>
      <w:pPr>
        <w:jc w:val="both"/>
        <w:ind w:left="340"/>
        <w:spacing w:after="0" w:line="238" w:lineRule="auto"/>
        <w:rPr>
          <w:sz w:val="20"/>
          <w:szCs w:val="20"/>
          <w:color w:val="auto"/>
        </w:rPr>
      </w:pPr>
      <w:r>
        <w:rPr>
          <w:rFonts w:ascii="Arial" w:cs="Arial" w:eastAsia="Arial" w:hAnsi="Arial"/>
          <w:sz w:val="22"/>
          <w:szCs w:val="22"/>
          <w:color w:val="auto"/>
        </w:rPr>
        <w:t>any, will be payable to you if and when such bonuses are generally paid to similarly situated employees and will be based on your annual target bonus that was in effect with respect to such prior fiscal year as well as Company and your business unit performance as determined by the Compensation Committee in its discretion, but without adjustment for your individual performance; and</w:t>
      </w:r>
    </w:p>
    <w:p>
      <w:pPr>
        <w:spacing w:after="0" w:line="212" w:lineRule="exact"/>
        <w:rPr>
          <w:sz w:val="20"/>
          <w:szCs w:val="20"/>
          <w:color w:val="auto"/>
        </w:rPr>
      </w:pPr>
    </w:p>
    <w:p>
      <w:pPr>
        <w:jc w:val="both"/>
        <w:ind w:left="340" w:hanging="332"/>
        <w:spacing w:after="0" w:line="271" w:lineRule="auto"/>
        <w:tabs>
          <w:tab w:leader="none" w:pos="3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i w:val="1"/>
          <w:iCs w:val="1"/>
          <w:color w:val="auto"/>
        </w:rPr>
        <w:t>Time-Vested Restricted Stock and Restricted Stock Unit Awards (including restricted stock unit awards that are subject to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achievement of a performance condition and restricted stock unit awards that have no performance conditions). </w:t>
      </w:r>
      <w:r>
        <w:rPr>
          <w:rFonts w:ascii="Arial" w:cs="Arial" w:eastAsia="Arial" w:hAnsi="Arial"/>
          <w:sz w:val="19"/>
          <w:szCs w:val="19"/>
          <w:color w:val="auto"/>
        </w:rPr>
        <w:t>Each of your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outstanding restricted stock or restricted stock units awards granted to you under the plans of the Company shall continue to vest in accordance with their original vesting schedule irrespective of the termination of the term hereof and payments or deliveries with respect to your restricted stock and restricted stock units shall be made on the original vesting date(s) (or, in the case of restricted stock units, on the original distribution date(s));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at the time of your termination from employment, the Company shall withhold and settle a portion of each of your outstanding restricted stock and restricted stock unit awards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restricted stock or restricted stock unit award, and make a payroll tax contribution in such amount on your behalf;</w:t>
      </w:r>
    </w:p>
    <w:p>
      <w:pPr>
        <w:spacing w:after="0" w:line="189" w:lineRule="exact"/>
        <w:rPr>
          <w:sz w:val="20"/>
          <w:szCs w:val="20"/>
          <w:color w:val="auto"/>
        </w:rPr>
      </w:pPr>
    </w:p>
    <w:p>
      <w:pPr>
        <w:ind w:left="340" w:hanging="8"/>
        <w:spacing w:after="0" w:line="276" w:lineRule="auto"/>
        <w:tabs>
          <w:tab w:leader="none" w:pos="820"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Performance-Based Restricted Stock Unit Awards</w:t>
      </w:r>
      <w:r>
        <w:rPr>
          <w:rFonts w:ascii="Arial" w:cs="Arial" w:eastAsia="Arial" w:hAnsi="Arial"/>
          <w:sz w:val="19"/>
          <w:szCs w:val="19"/>
          <w:color w:val="auto"/>
        </w:rPr>
        <w:t>. Each of your outstanding performance-based restricted stock unit</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PRSUs</w:t>
      </w:r>
      <w:r>
        <w:rPr>
          <w:rFonts w:ascii="Arial" w:cs="Arial" w:eastAsia="Arial" w:hAnsi="Arial"/>
          <w:sz w:val="19"/>
          <w:szCs w:val="19"/>
          <w:color w:val="auto"/>
        </w:rPr>
        <w:t xml:space="preserve">”) awards granted under the plans of the Company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applicable performance objectives are not satisfied then any such PRSUs will be forfeited;</w:t>
      </w:r>
    </w:p>
    <w:p>
      <w:pPr>
        <w:spacing w:after="0" w:line="179" w:lineRule="exact"/>
        <w:rPr>
          <w:rFonts w:ascii="Arial" w:cs="Arial" w:eastAsia="Arial" w:hAnsi="Arial"/>
          <w:sz w:val="19"/>
          <w:szCs w:val="19"/>
          <w:color w:val="auto"/>
        </w:rPr>
      </w:pPr>
    </w:p>
    <w:p>
      <w:pPr>
        <w:ind w:left="340" w:right="20" w:hanging="8"/>
        <w:spacing w:after="0" w:line="235" w:lineRule="auto"/>
        <w:tabs>
          <w:tab w:leader="none" w:pos="8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of your outstanding long-term cash performance awards (“</w:t>
      </w:r>
      <w:r>
        <w:rPr>
          <w:rFonts w:ascii="Arial" w:cs="Arial" w:eastAsia="Arial" w:hAnsi="Arial"/>
          <w:sz w:val="22"/>
          <w:szCs w:val="22"/>
          <w:i w:val="1"/>
          <w:iCs w:val="1"/>
          <w:color w:val="auto"/>
        </w:rPr>
        <w:t>CPAs</w:t>
      </w:r>
      <w:r>
        <w:rPr>
          <w:rFonts w:ascii="Arial" w:cs="Arial" w:eastAsia="Arial" w:hAnsi="Arial"/>
          <w:sz w:val="22"/>
          <w:szCs w:val="22"/>
          <w:color w:val="auto"/>
        </w:rPr>
        <w:t xml:space="preserve">”)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applicable performance objectives are not satisfied then any such CPAs will be forfeited; and</w:t>
      </w:r>
    </w:p>
    <w:p>
      <w:pPr>
        <w:spacing w:after="0" w:line="201" w:lineRule="exact"/>
        <w:rPr>
          <w:rFonts w:ascii="Arial" w:cs="Arial" w:eastAsia="Arial" w:hAnsi="Arial"/>
          <w:sz w:val="22"/>
          <w:szCs w:val="22"/>
          <w:color w:val="auto"/>
        </w:rPr>
      </w:pPr>
    </w:p>
    <w:p>
      <w:pPr>
        <w:ind w:left="340" w:right="180" w:hanging="8"/>
        <w:spacing w:after="0" w:line="238" w:lineRule="auto"/>
        <w:tabs>
          <w:tab w:leader="none" w:pos="868"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of your outstanding stock options and stock appreciation awards under the plans of the Company, if any, shall continue to vest in accordance with their original vesting schedule irrespective of the termination of the term hereof and you shall have the right to exercise each of those options and stock appreciation awards for the remainder of the term of such option or award.</w:t>
      </w:r>
    </w:p>
    <w:p>
      <w:pPr>
        <w:spacing w:after="0" w:line="212"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If you die after a termination of your employment that is subject to the above, your estate or beneficiaries will be provided any remaining benefits and rights under the above sections (1) through (4).</w:t>
      </w:r>
    </w:p>
    <w:p>
      <w:pPr>
        <w:sectPr>
          <w:pgSz w:w="11900" w:h="16838" w:orient="portrait"/>
          <w:cols w:equalWidth="0" w:num="1">
            <w:col w:w="11240"/>
          </w:cols>
          <w:pgMar w:left="320" w:top="1414" w:right="339" w:bottom="1440" w:gutter="0" w:footer="0" w:header="0"/>
        </w:sectPr>
      </w:pPr>
    </w:p>
    <w:bookmarkStart w:id="62" w:name="page63"/>
    <w:bookmarkEnd w:id="62"/>
    <w:p>
      <w:pPr>
        <w:jc w:val="both"/>
        <w:ind w:firstLine="1296"/>
        <w:spacing w:after="0" w:line="279" w:lineRule="auto"/>
        <w:rPr>
          <w:sz w:val="20"/>
          <w:szCs w:val="20"/>
          <w:color w:val="auto"/>
        </w:rPr>
      </w:pPr>
      <w:r>
        <w:rPr>
          <w:rFonts w:ascii="Arial" w:cs="Arial" w:eastAsia="Arial" w:hAnsi="Arial"/>
          <w:sz w:val="19"/>
          <w:szCs w:val="19"/>
          <w:color w:val="auto"/>
        </w:rPr>
        <w:t>Except as otherwise set forth herein, 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spacing w:after="0" w:line="16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 xml:space="preserve">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Sections (2) and (3) above, and each of your outstanding equity, cash incentive, stock option, and stock appreciation awards granted under the plans of the Company shall immediately vest in full, whether or not subject to performance criteria and shall be payable on the 90th day after the termination of your employment; </w:t>
      </w:r>
      <w:r>
        <w:rPr>
          <w:rFonts w:ascii="Arial" w:cs="Arial" w:eastAsia="Arial" w:hAnsi="Arial"/>
          <w:sz w:val="21"/>
          <w:szCs w:val="21"/>
          <w:i w:val="1"/>
          <w:iCs w:val="1"/>
          <w:color w:val="auto"/>
        </w:rPr>
        <w:t>provided</w:t>
      </w:r>
      <w:r>
        <w:rPr>
          <w:rFonts w:ascii="Arial" w:cs="Arial" w:eastAsia="Arial" w:hAnsi="Arial"/>
          <w:sz w:val="21"/>
          <w:szCs w:val="21"/>
          <w:color w:val="auto"/>
        </w:rPr>
        <w:t>,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 to the extent that other similarly situated executives receive payment as determined by the Compensation Committee (subject to satisfaction of the applicable performance criteria).</w:t>
      </w:r>
    </w:p>
    <w:p>
      <w:pPr>
        <w:spacing w:after="0" w:line="21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This Agreement does not constitute a guarantee of employment or benefits for any definite period. Your employment may be terminated by you or the Company at any time, with or without notice, liability (subject to the terms of this Agreement) or cause. With the exception of the provisions that, by their term, survive your death, this Agreement shall automatically terminate upon your death.</w:t>
      </w:r>
    </w:p>
    <w:p>
      <w:pPr>
        <w:spacing w:after="0" w:line="2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If and to the extent that any payment or benefit hereunder, or any plan, award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Any amount not paid or benefit not provided in respect of the six-month period specified in the preceding sentence will be paid to you in a lump sum or provided to you as soon as practicable after the expiration of such six-month period. Each payment or benefit hereunder shall be treated as a separate payment for purposes of Section 409A to the extent Section 409A applies to such payments or benefits.</w:t>
      </w:r>
    </w:p>
    <w:p>
      <w:pPr>
        <w:spacing w:after="0" w:line="21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To the extent you are entitled to any expense reimbursement from the Company that is subject to Section 409A, (i) the amount of any such expenses eligible for reimbursement in one calendar year shall not affect the expenses eligible for reimbursement in any other taxable</w:t>
      </w:r>
    </w:p>
    <w:p>
      <w:pPr>
        <w:sectPr>
          <w:pgSz w:w="11900" w:h="16838" w:orient="portrait"/>
          <w:cols w:equalWidth="0" w:num="1">
            <w:col w:w="11240"/>
          </w:cols>
          <w:pgMar w:left="320" w:top="1414"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21"/>
          <w:szCs w:val="21"/>
          <w:color w:val="auto"/>
        </w:rPr>
        <w:t>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spacing w:after="0" w:line="19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The Company may withhold from any payment due to you hereunder any taxes that are required to be withheld under any law, rule or regulation. If any payment otherwise due to you hereunder would result in the imposition of the excise tax imposed by Section 4999 of the Internal Revenue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(i.e., later payments will be reduced first) until the reduction specified is achieved.</w:t>
      </w:r>
    </w:p>
    <w:p>
      <w:pPr>
        <w:spacing w:after="0" w:line="18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 penalties under Section 409A. Neither party shall take any action to accelerate or delay the payment of any monies and/or provision of any benefits that are subject to Section 409A in any manner that would not be in compliance with Section 409A.</w:t>
      </w:r>
    </w:p>
    <w:p>
      <w:pPr>
        <w:spacing w:after="0" w:line="161"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spacing w:after="0" w:line="21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You hereby represent to the Company that you are not subject to any contract, arrangement, agreement, policy or understanding, including any restrictive covenants obligations owed to any third-party (other than customary confidentiality restrictions imposed by your prior employer), that would in any way prevent, restrict or limit your ability to enter into and perform your obligations under this Agreement.</w:t>
      </w:r>
    </w:p>
    <w:p>
      <w:pPr>
        <w:spacing w:after="0" w:line="19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20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To the extent permitted by law, you hereby waive any and all rights to a jury trial with respect to any claim arising out of or in any way connected with or related to this</w:t>
      </w:r>
    </w:p>
    <w:p>
      <w:pPr>
        <w:sectPr>
          <w:pgSz w:w="11900" w:h="16838" w:orient="portrait"/>
          <w:cols w:equalWidth="0" w:num="1">
            <w:col w:w="11240"/>
          </w:cols>
          <w:pgMar w:left="320" w:top="1414"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color w:val="auto"/>
        </w:rPr>
        <w:t>Agreement, your employment by the Company or the termination of your employment with the Company.</w:t>
      </w:r>
    </w:p>
    <w:p>
      <w:pPr>
        <w:spacing w:after="0" w:line="23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9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You and the Company hereby irrevocably submit to the jurisdiction of the courts of the State of New York and the federal courts of the United States of America located in the State of New York solely in respect of the interpretation and enforcement of the provisions of this Agreement, and you and the Company hereby waive, and agree not to assert, as a defense that you are not subject thereto or that the venue thereof may not be appropriate.</w:t>
      </w:r>
    </w:p>
    <w:p>
      <w:pPr>
        <w:spacing w:after="0" w:line="21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You and the Company hereby agree that mailing of notice, process or other papers in connection with any such action or proceeding in any manner as may be permitted by law shall be valid and sufficient service thereof if delivered to you at your address set forth above or to the Company at 11 Penn Plaza, New York, New York 10001, respectively, or to such other address as you or the Company may later designate in writing for the receipt of such notices.</w:t>
      </w:r>
    </w:p>
    <w:p>
      <w:pPr>
        <w:spacing w:after="0" w:line="17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This Agreement may not be amended or modified otherwise than by a written agreement executed by the parties hereto or their respective successors and legal representatives.</w:t>
      </w:r>
    </w:p>
    <w:p>
      <w:pPr>
        <w:spacing w:after="0" w:line="20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This Agreement may be executed in counterparts, each of which shall be deemed to be an original, and all of which together shall constitute one and the same agreement.</w:t>
      </w:r>
    </w:p>
    <w:p>
      <w:pPr>
        <w:spacing w:after="0" w:line="202"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Capitalized terms used in this Agreement, including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shall have the meanings set forth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1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xml:space="preserve">” 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in each case, any crime involving moral turpitude or any felony.</w:t>
      </w:r>
    </w:p>
    <w:p>
      <w:pPr>
        <w:spacing w:after="0" w:line="212"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means that (1) without your consent, (A) your base salary or annual bonus target (as each may be increased from time to time in the Compensation Committee’s discretion) is reduced, (B) your title is diminished, (C) you report to someone other than the CEO or the Chairman of the Board (except with respect to matters for which you are required to report directly to the Board or its Audit Committee), (D) your responsibilities as in effect immediately after the date hereof are thereafter materially diminished, (E) the Company materially breaches its obligations to you under this Agreement or, (F) the Company requires that</w:t>
      </w:r>
    </w:p>
    <w:p>
      <w:pPr>
        <w:sectPr>
          <w:pgSz w:w="11900" w:h="16838" w:orient="portrait"/>
          <w:cols w:equalWidth="0" w:num="1">
            <w:col w:w="11240"/>
          </w:cols>
          <w:pgMar w:left="320" w:top="1408" w:right="339" w:bottom="1440" w:gutter="0" w:footer="0" w:header="0"/>
        </w:sectPr>
      </w:pPr>
    </w:p>
    <w:bookmarkStart w:id="65" w:name="page66"/>
    <w:bookmarkEnd w:id="65"/>
    <w:p>
      <w:pPr>
        <w:jc w:val="both"/>
        <w:spacing w:after="0" w:line="252" w:lineRule="auto"/>
        <w:rPr>
          <w:sz w:val="20"/>
          <w:szCs w:val="20"/>
          <w:color w:val="auto"/>
        </w:rPr>
      </w:pPr>
      <w:r>
        <w:rPr>
          <w:rFonts w:ascii="Arial" w:cs="Arial" w:eastAsia="Arial" w:hAnsi="Arial"/>
          <w:sz w:val="21"/>
          <w:szCs w:val="21"/>
          <w:color w:val="auto"/>
        </w:rPr>
        <w:t xml:space="preserve">your principal office be located more than fifty (50) miles from Manhattan, (2) you have given the Company written notice, referring specifically to this letter and definition, that you do not consent to such action, (3) the Company has not corrected such action within 30 days of receiving such notice, </w:t>
      </w:r>
      <w:r>
        <w:rPr>
          <w:rFonts w:ascii="Arial" w:cs="Arial" w:eastAsia="Arial" w:hAnsi="Arial"/>
          <w:sz w:val="21"/>
          <w:szCs w:val="21"/>
          <w:u w:val="single" w:color="auto"/>
          <w:color w:val="auto"/>
        </w:rPr>
        <w:t>and</w:t>
      </w:r>
      <w:r>
        <w:rPr>
          <w:rFonts w:ascii="Arial" w:cs="Arial" w:eastAsia="Arial" w:hAnsi="Arial"/>
          <w:sz w:val="21"/>
          <w:szCs w:val="21"/>
          <w:color w:val="auto"/>
        </w:rPr>
        <w:t xml:space="preserve"> (4) you voluntarily terminate your employment with the Company within 90 days following the happening of the action described in subsection (1) above.</w:t>
      </w:r>
    </w:p>
    <w:p>
      <w:pPr>
        <w:spacing w:after="0" w:line="201"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It is the parties’ intention that this Agreement not be construed more strictly with regard to you or the Company. This Agreement reflects the entire understanding and agreement of you and the Company with respect to the subject matter hereof and supersedes all prior understandings and agreements.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AMC NETWORKS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Christina Spade</w:t>
      </w:r>
    </w:p>
    <w:p>
      <w:pPr>
        <w:ind w:left="660"/>
        <w:spacing w:after="0" w:line="238" w:lineRule="auto"/>
        <w:rPr>
          <w:sz w:val="20"/>
          <w:szCs w:val="20"/>
          <w:color w:val="auto"/>
        </w:rPr>
      </w:pPr>
      <w:r>
        <w:rPr>
          <w:rFonts w:ascii="Arial" w:cs="Arial" w:eastAsia="Arial" w:hAnsi="Arial"/>
          <w:sz w:val="22"/>
          <w:szCs w:val="22"/>
          <w:color w:val="auto"/>
        </w:rPr>
        <w:t>Name: Christina Spade</w:t>
      </w:r>
    </w:p>
    <w:p>
      <w:pPr>
        <w:ind w:left="660"/>
        <w:spacing w:after="0"/>
        <w:rPr>
          <w:sz w:val="20"/>
          <w:szCs w:val="20"/>
          <w:color w:val="auto"/>
        </w:rPr>
      </w:pPr>
      <w:r>
        <w:rPr>
          <w:rFonts w:ascii="Arial" w:cs="Arial" w:eastAsia="Arial" w:hAnsi="Arial"/>
          <w:sz w:val="22"/>
          <w:szCs w:val="22"/>
          <w:color w:val="auto"/>
        </w:rPr>
        <w:t>Title: COO and CFO</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Patrick O’Connell</w:t>
      </w:r>
    </w:p>
    <w:p>
      <w:pPr>
        <w:ind w:left="660"/>
        <w:spacing w:after="0" w:line="238" w:lineRule="auto"/>
        <w:rPr>
          <w:sz w:val="20"/>
          <w:szCs w:val="20"/>
          <w:color w:val="auto"/>
        </w:rPr>
      </w:pPr>
      <w:r>
        <w:rPr>
          <w:rFonts w:ascii="Arial" w:cs="Arial" w:eastAsia="Arial" w:hAnsi="Arial"/>
          <w:sz w:val="22"/>
          <w:szCs w:val="22"/>
          <w:color w:val="auto"/>
        </w:rPr>
        <w:t>Name: Patrick O’Connell</w:t>
      </w:r>
    </w:p>
    <w:p>
      <w:pPr>
        <w:ind w:left="660"/>
        <w:spacing w:after="0"/>
        <w:rPr>
          <w:sz w:val="20"/>
          <w:szCs w:val="20"/>
          <w:color w:val="auto"/>
        </w:rPr>
      </w:pPr>
      <w:r>
        <w:rPr>
          <w:rFonts w:ascii="Arial" w:cs="Arial" w:eastAsia="Arial" w:hAnsi="Arial"/>
          <w:sz w:val="22"/>
          <w:szCs w:val="22"/>
          <w:color w:val="auto"/>
        </w:rPr>
        <w:t>Date: August 4, 2022</w:t>
      </w:r>
    </w:p>
    <w:p>
      <w:pPr>
        <w:sectPr>
          <w:pgSz w:w="11900" w:h="16838" w:orient="portrait"/>
          <w:cols w:equalWidth="0" w:num="1">
            <w:col w:w="11240"/>
          </w:cols>
          <w:pgMar w:left="320" w:top="141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i w:val="1"/>
          <w:iCs w:val="1"/>
          <w:color w:val="auto"/>
        </w:rPr>
        <w:t>ANNEX I</w:t>
      </w:r>
    </w:p>
    <w:p>
      <w:pPr>
        <w:spacing w:after="0" w:line="233" w:lineRule="exact"/>
        <w:rPr>
          <w:sz w:val="20"/>
          <w:szCs w:val="20"/>
          <w:color w:val="auto"/>
        </w:rPr>
      </w:pPr>
    </w:p>
    <w:p>
      <w:pPr>
        <w:ind w:firstLine="1296"/>
        <w:spacing w:after="0" w:line="328" w:lineRule="auto"/>
        <w:rPr>
          <w:sz w:val="20"/>
          <w:szCs w:val="20"/>
          <w:color w:val="auto"/>
        </w:rPr>
      </w:pPr>
      <w:r>
        <w:rPr>
          <w:rFonts w:ascii="Arial" w:cs="Arial" w:eastAsia="Arial" w:hAnsi="Arial"/>
          <w:sz w:val="19"/>
          <w:szCs w:val="19"/>
          <w:color w:val="auto"/>
        </w:rPr>
        <w:t>This Annex constitutes part of the Agreement, dated August 4, 2022, by and between Patrick O’Connell (“</w:t>
      </w:r>
      <w:r>
        <w:rPr>
          <w:rFonts w:ascii="Arial" w:cs="Arial" w:eastAsia="Arial" w:hAnsi="Arial"/>
          <w:sz w:val="19"/>
          <w:szCs w:val="19"/>
          <w:i w:val="1"/>
          <w:iCs w:val="1"/>
          <w:color w:val="auto"/>
        </w:rPr>
        <w:t>You</w:t>
      </w:r>
      <w:r>
        <w:rPr>
          <w:rFonts w:ascii="Arial" w:cs="Arial" w:eastAsia="Arial" w:hAnsi="Arial"/>
          <w:sz w:val="19"/>
          <w:szCs w:val="19"/>
          <w:color w:val="auto"/>
        </w:rPr>
        <w:t>”) and AMC Networks Inc. (the “</w:t>
      </w:r>
      <w:r>
        <w:rPr>
          <w:rFonts w:ascii="Arial" w:cs="Arial" w:eastAsia="Arial" w:hAnsi="Arial"/>
          <w:sz w:val="19"/>
          <w:szCs w:val="19"/>
          <w:i w:val="1"/>
          <w:iCs w:val="1"/>
          <w:color w:val="auto"/>
        </w:rPr>
        <w:t>Company</w:t>
      </w:r>
      <w:r>
        <w:rPr>
          <w:rFonts w:ascii="Arial" w:cs="Arial" w:eastAsia="Arial" w:hAnsi="Arial"/>
          <w:sz w:val="19"/>
          <w:szCs w:val="19"/>
          <w:color w:val="auto"/>
        </w:rPr>
        <w:t>”). Terms defined in the Agreement shall have the same meanings in this Annex.</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Confidentiality</w:t>
      </w:r>
    </w:p>
    <w:p>
      <w:pPr>
        <w:spacing w:after="0" w:line="239" w:lineRule="exact"/>
        <w:rPr>
          <w:sz w:val="20"/>
          <w:szCs w:val="20"/>
          <w:color w:val="auto"/>
        </w:rPr>
      </w:pPr>
    </w:p>
    <w:p>
      <w:pPr>
        <w:jc w:val="both"/>
        <w:ind w:left="340" w:hanging="332"/>
        <w:spacing w:after="0" w:line="244" w:lineRule="auto"/>
        <w:tabs>
          <w:tab w:leader="none" w:pos="328"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You agree to keep the existence and terms of this Agreement confidential (unless it is made public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spacing w:after="0" w:line="209" w:lineRule="exact"/>
        <w:rPr>
          <w:rFonts w:ascii="Arial" w:cs="Arial" w:eastAsia="Arial" w:hAnsi="Arial"/>
          <w:sz w:val="21"/>
          <w:szCs w:val="21"/>
          <w:color w:val="auto"/>
        </w:rPr>
      </w:pPr>
    </w:p>
    <w:p>
      <w:pPr>
        <w:jc w:val="both"/>
        <w:ind w:left="340" w:hanging="332"/>
        <w:spacing w:after="0" w:line="269" w:lineRule="auto"/>
        <w:tabs>
          <w:tab w:leader="none" w:pos="34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xml:space="preserve">. You agree to retain in strict confidence and not use for any purpose whatsoever or divulge, disseminate, copy, disclose to any third party, or otherwise use any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other than for legitimate business purposes of the Company and its affiliates. As used herein,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Arial" w:cs="Arial" w:eastAsia="Arial" w:hAnsi="Arial"/>
          <w:sz w:val="19"/>
          <w:szCs w:val="19"/>
          <w:i w:val="1"/>
          <w:iCs w:val="1"/>
          <w:color w:val="auto"/>
        </w:rPr>
        <w:t>Covered</w:t>
      </w:r>
      <w:r>
        <w:rPr>
          <w:rFonts w:ascii="Arial" w:cs="Arial" w:eastAsia="Arial" w:hAnsi="Arial"/>
          <w:sz w:val="19"/>
          <w:szCs w:val="19"/>
          <w:color w:val="auto"/>
        </w:rPr>
        <w:t xml:space="preserve"> </w:t>
      </w:r>
      <w:r>
        <w:rPr>
          <w:rFonts w:ascii="Arial" w:cs="Arial" w:eastAsia="Arial" w:hAnsi="Arial"/>
          <w:sz w:val="19"/>
          <w:szCs w:val="19"/>
          <w:i w:val="1"/>
          <w:iCs w:val="1"/>
          <w:color w:val="auto"/>
        </w:rPr>
        <w:t>Parties</w:t>
      </w:r>
      <w:r>
        <w:rPr>
          <w:rFonts w:ascii="Arial" w:cs="Arial" w:eastAsia="Arial" w:hAnsi="Arial"/>
          <w:sz w:val="19"/>
          <w:szCs w:val="19"/>
          <w:color w:val="auto"/>
        </w:rPr>
        <w:t>”). The term Confidential Information includes information in written, digital, oral or any other format and includes,</w:t>
      </w:r>
      <w:r>
        <w:rPr>
          <w:rFonts w:ascii="Arial" w:cs="Arial" w:eastAsia="Arial" w:hAnsi="Arial"/>
          <w:sz w:val="19"/>
          <w:szCs w:val="19"/>
          <w:i w:val="1"/>
          <w:iCs w:val="1"/>
          <w:color w:val="auto"/>
        </w:rPr>
        <w:t xml:space="preserve"> </w:t>
      </w:r>
      <w:r>
        <w:rPr>
          <w:rFonts w:ascii="Arial" w:cs="Arial" w:eastAsia="Arial" w:hAnsi="Arial"/>
          <w:sz w:val="19"/>
          <w:szCs w:val="19"/>
          <w:color w:val="auto"/>
        </w:rPr>
        <w:t>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ectPr>
          <w:pgSz w:w="11900" w:h="16838" w:orient="portrait"/>
          <w:cols w:equalWidth="0" w:num="1">
            <w:col w:w="11240"/>
          </w:cols>
          <w:pgMar w:left="320" w:top="1414" w:right="339" w:bottom="1440" w:gutter="0" w:footer="0" w:header="0"/>
        </w:sectPr>
      </w:pPr>
    </w:p>
    <w:bookmarkStart w:id="67" w:name="page68"/>
    <w:bookmarkEnd w:id="67"/>
    <w:p>
      <w:pPr>
        <w:ind w:left="340" w:hanging="332"/>
        <w:spacing w:after="0" w:line="328" w:lineRule="auto"/>
        <w:tabs>
          <w:tab w:leader="none" w:pos="328"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Exception for Disclosure Pursuant to Law</w:t>
      </w:r>
      <w:r>
        <w:rPr>
          <w:rFonts w:ascii="Arial" w:cs="Arial" w:eastAsia="Arial" w:hAnsi="Arial"/>
          <w:sz w:val="19"/>
          <w:szCs w:val="19"/>
          <w:color w:val="auto"/>
        </w:rPr>
        <w:t>. Notwithstanding the foregoing, the obligations set forth in subsection (b) above, other than with respect to subscriber or customer information, shall not apply to Confidential Information that is:</w:t>
      </w:r>
    </w:p>
    <w:p>
      <w:pPr>
        <w:spacing w:after="0" w:line="131" w:lineRule="exact"/>
        <w:rPr>
          <w:rFonts w:ascii="Arial" w:cs="Arial" w:eastAsia="Arial" w:hAnsi="Arial"/>
          <w:sz w:val="19"/>
          <w:szCs w:val="19"/>
          <w:color w:val="auto"/>
        </w:rPr>
      </w:pPr>
    </w:p>
    <w:p>
      <w:pPr>
        <w:ind w:left="900" w:hanging="244"/>
        <w:spacing w:after="0"/>
        <w:tabs>
          <w:tab w:leader="none" w:pos="9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233" w:lineRule="exact"/>
        <w:rPr>
          <w:rFonts w:ascii="Arial" w:cs="Arial" w:eastAsia="Arial" w:hAnsi="Arial"/>
          <w:sz w:val="22"/>
          <w:szCs w:val="22"/>
          <w:color w:val="auto"/>
        </w:rPr>
      </w:pPr>
    </w:p>
    <w:p>
      <w:pPr>
        <w:ind w:left="900" w:hanging="244"/>
        <w:spacing w:after="0"/>
        <w:tabs>
          <w:tab w:leader="none" w:pos="9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disclosed to you by a third party with the right to disclose it in good faith; or</w:t>
      </w:r>
    </w:p>
    <w:p>
      <w:pPr>
        <w:spacing w:after="0" w:line="246" w:lineRule="exact"/>
        <w:rPr>
          <w:rFonts w:ascii="Arial" w:cs="Arial" w:eastAsia="Arial" w:hAnsi="Arial"/>
          <w:sz w:val="22"/>
          <w:szCs w:val="22"/>
          <w:color w:val="auto"/>
        </w:rPr>
      </w:pPr>
    </w:p>
    <w:p>
      <w:pPr>
        <w:ind w:left="900" w:hanging="244"/>
        <w:spacing w:after="0"/>
        <w:tabs>
          <w:tab w:leader="none" w:pos="9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specifically exempted in writing by the applicable Covered Party from the applicability of this Agreement.</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21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78"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Non-Compete</w:t>
      </w:r>
    </w:p>
    <w:p>
      <w:pPr>
        <w:spacing w:after="0" w:line="23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Arial" w:cs="Arial" w:eastAsia="Arial" w:hAnsi="Arial"/>
          <w:sz w:val="19"/>
          <w:szCs w:val="19"/>
          <w:i w:val="1"/>
          <w:iCs w:val="1"/>
          <w:color w:val="auto"/>
        </w:rPr>
        <w:t>Competitive Entity</w:t>
      </w:r>
      <w:r>
        <w:rPr>
          <w:rFonts w:ascii="Arial" w:cs="Arial" w:eastAsia="Arial" w:hAnsi="Arial"/>
          <w:sz w:val="19"/>
          <w:szCs w:val="19"/>
          <w:color w:val="auto"/>
        </w:rPr>
        <w:t>” 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 avoidance of doubt, this agreement not to compete will expire on the Expiration Date if the termination of your employment with the Company occurs on the Expiration Date.</w:t>
      </w:r>
    </w:p>
    <w:p>
      <w:pPr>
        <w:sectPr>
          <w:pgSz w:w="11900" w:h="16838" w:orient="portrait"/>
          <w:cols w:equalWidth="0" w:num="1">
            <w:col w:w="11240"/>
          </w:cols>
          <w:pgMar w:left="320" w:top="1414" w:right="339" w:bottom="1440" w:gutter="0" w:footer="0" w:header="0"/>
        </w:sectPr>
      </w:pPr>
    </w:p>
    <w:bookmarkStart w:id="68" w:name="page69"/>
    <w:bookmarkEnd w:id="68"/>
    <w:p>
      <w:pPr>
        <w:ind w:left="380" w:hanging="372"/>
        <w:spacing w:after="0"/>
        <w:tabs>
          <w:tab w:leader="none" w:pos="38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Additional Understandings</w:t>
      </w:r>
    </w:p>
    <w:p>
      <w:pPr>
        <w:spacing w:after="0" w:line="23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21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This agreement in no way restricts or prevents you from providing truthful testimony concerning the Company or its affiliates (i) as required by court order or other legal process;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you afford the Company written notice and an opportunity to respond prior to such disclosure; or (ii) in proceedings to enforce or defend your rights under this agreement or any other written agreement between you and the Company or its affiliates.</w:t>
      </w:r>
    </w:p>
    <w:p>
      <w:pPr>
        <w:spacing w:after="0" w:line="21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Arial" w:cs="Arial" w:eastAsia="Arial" w:hAnsi="Arial"/>
          <w:sz w:val="21"/>
          <w:szCs w:val="21"/>
          <w:i w:val="1"/>
          <w:iCs w:val="1"/>
          <w:color w:val="auto"/>
        </w:rPr>
        <w:t>Materials</w:t>
      </w:r>
      <w:r>
        <w:rPr>
          <w:rFonts w:ascii="Arial" w:cs="Arial" w:eastAsia="Arial" w:hAnsi="Arial"/>
          <w:sz w:val="21"/>
          <w:szCs w:val="21"/>
          <w:color w:val="auto"/>
        </w:rPr>
        <w:t>”). The Company will have the sole and exclusive authority to use the Materials in any manner that it deems appropriate, in perpetuity, without additional payment to you.</w:t>
      </w:r>
    </w:p>
    <w:p>
      <w:pPr>
        <w:spacing w:after="0" w:line="205"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Further Cooperation</w:t>
      </w:r>
    </w:p>
    <w:p>
      <w:pPr>
        <w:spacing w:after="0" w:line="22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$5,450.00 per day for each day or part thereof, within 30 days of the approval of the invoice thereof.</w:t>
      </w:r>
    </w:p>
    <w:p>
      <w:pPr>
        <w:spacing w:after="0" w:line="184"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any such expense before it is incurred.</w:t>
      </w:r>
    </w:p>
    <w:p>
      <w:pPr>
        <w:sectPr>
          <w:pgSz w:w="11900" w:h="16838" w:orient="portrait"/>
          <w:cols w:equalWidth="0" w:num="1">
            <w:col w:w="11240"/>
          </w:cols>
          <w:pgMar w:left="320" w:top="1408" w:right="339" w:bottom="1440" w:gutter="0" w:footer="0" w:header="0"/>
        </w:sectPr>
      </w:pPr>
    </w:p>
    <w:bookmarkStart w:id="69" w:name="page70"/>
    <w:bookmarkEnd w:id="69"/>
    <w:p>
      <w:pPr>
        <w:ind w:left="380" w:hanging="372"/>
        <w:spacing w:after="0"/>
        <w:tabs>
          <w:tab w:leader="none" w:pos="38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No Hire or Solicit</w:t>
      </w:r>
    </w:p>
    <w:p>
      <w:pPr>
        <w:spacing w:after="0" w:line="23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Throughout your employment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w:t>
      </w:r>
    </w:p>
    <w:p>
      <w:pPr>
        <w:spacing w:after="0" w:line="21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This restriction does not apply to any employee who was discharged by the Company or any of its affiliates. In addition, this restriction will not prevent you from providing references.</w:t>
      </w:r>
    </w:p>
    <w:p>
      <w:pPr>
        <w:spacing w:after="0" w:line="206"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Acknowledgments</w:t>
      </w:r>
    </w:p>
    <w:p>
      <w:pPr>
        <w:spacing w:after="0" w:line="23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You acknowledge that the restrictions contained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raise the defense that the Company has an adequate remedy at law. Nothing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construed as prohibiting the Company from pursuing any other remedies at law or in equity that it may have or any other rights that it may have under any other agreement. If it is determined that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179"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Survival</w:t>
      </w:r>
    </w:p>
    <w:p>
      <w:pPr>
        <w:spacing w:after="0" w:line="239"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The covenants and agreement set forth in this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survive any termination or expiration of this Agreement and any termination of your employment with the Company, in accordance with their respective terms.</w:t>
      </w:r>
    </w:p>
    <w:p>
      <w:pPr>
        <w:sectPr>
          <w:pgSz w:w="11900" w:h="16838" w:orient="portrait"/>
          <w:cols w:equalWidth="0" w:num="1">
            <w:col w:w="11240"/>
          </w:cols>
          <w:pgMar w:left="320" w:top="1408"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2660015</wp:posOffset>
            </wp:positionH>
            <wp:positionV relativeFrom="page">
              <wp:posOffset>911860</wp:posOffset>
            </wp:positionV>
            <wp:extent cx="2228850" cy="771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22288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740"/>
        <w:spacing w:after="0"/>
        <w:rPr>
          <w:sz w:val="20"/>
          <w:szCs w:val="20"/>
          <w:color w:val="auto"/>
        </w:rPr>
      </w:pPr>
      <w:r>
        <w:rPr>
          <w:rFonts w:ascii="Arial" w:cs="Arial" w:eastAsia="Arial" w:hAnsi="Arial"/>
          <w:sz w:val="19"/>
          <w:szCs w:val="19"/>
          <w:color w:val="auto"/>
        </w:rPr>
        <w:t>October 19, 2022</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Mr. James G. Gallagher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AMC Networks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11 Penn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296"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Employment Agreement</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Dear Jamie:</w:t>
      </w:r>
    </w:p>
    <w:p>
      <w:pPr>
        <w:spacing w:after="0" w:line="2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This letter (the “</w:t>
      </w:r>
      <w:r>
        <w:rPr>
          <w:rFonts w:ascii="Arial" w:cs="Arial" w:eastAsia="Arial" w:hAnsi="Arial"/>
          <w:sz w:val="22"/>
          <w:szCs w:val="22"/>
          <w:i w:val="1"/>
          <w:iCs w:val="1"/>
          <w:color w:val="auto"/>
        </w:rPr>
        <w:t>Agreement</w:t>
      </w:r>
      <w:r>
        <w:rPr>
          <w:rFonts w:ascii="Arial" w:cs="Arial" w:eastAsia="Arial" w:hAnsi="Arial"/>
          <w:sz w:val="22"/>
          <w:szCs w:val="22"/>
          <w:color w:val="auto"/>
        </w:rPr>
        <w:t>”) will confirm the terms of your continued employment by AMC Networks Inc. (the “</w:t>
      </w:r>
      <w:r>
        <w:rPr>
          <w:rFonts w:ascii="Arial" w:cs="Arial" w:eastAsia="Arial" w:hAnsi="Arial"/>
          <w:sz w:val="22"/>
          <w:szCs w:val="22"/>
          <w:i w:val="1"/>
          <w:iCs w:val="1"/>
          <w:color w:val="auto"/>
        </w:rPr>
        <w:t>Company</w:t>
      </w:r>
      <w:r>
        <w:rPr>
          <w:rFonts w:ascii="Arial" w:cs="Arial" w:eastAsia="Arial" w:hAnsi="Arial"/>
          <w:sz w:val="22"/>
          <w:szCs w:val="22"/>
          <w:color w:val="auto"/>
        </w:rPr>
        <w:t>”) as an at will employee with the title of Executive Vice President - General Counsel. This Agreement will supersede and replace the letter agreement between you and the Company, dated October 12, 2018, and any and all other discussions, understandings or arrangements regarding the subject matter herein. This Agreement will be effective as of October 19, 2022 (the “</w:t>
      </w:r>
      <w:r>
        <w:rPr>
          <w:rFonts w:ascii="Arial" w:cs="Arial" w:eastAsia="Arial" w:hAnsi="Arial"/>
          <w:sz w:val="22"/>
          <w:szCs w:val="22"/>
          <w:i w:val="1"/>
          <w:iCs w:val="1"/>
          <w:color w:val="auto"/>
        </w:rPr>
        <w:t>Effective Date</w:t>
      </w:r>
      <w:r>
        <w:rPr>
          <w:rFonts w:ascii="Arial" w:cs="Arial" w:eastAsia="Arial" w:hAnsi="Arial"/>
          <w:sz w:val="22"/>
          <w:szCs w:val="22"/>
          <w:color w:val="auto"/>
        </w:rPr>
        <w:t>”).</w:t>
      </w:r>
    </w:p>
    <w:p>
      <w:pPr>
        <w:spacing w:after="0" w:line="219"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The term of this Agreement (the “</w:t>
      </w:r>
      <w:r>
        <w:rPr>
          <w:rFonts w:ascii="Arial" w:cs="Arial" w:eastAsia="Arial" w:hAnsi="Arial"/>
          <w:sz w:val="22"/>
          <w:szCs w:val="22"/>
          <w:i w:val="1"/>
          <w:iCs w:val="1"/>
          <w:color w:val="auto"/>
        </w:rPr>
        <w:t>Term</w:t>
      </w:r>
      <w:r>
        <w:rPr>
          <w:rFonts w:ascii="Arial" w:cs="Arial" w:eastAsia="Arial" w:hAnsi="Arial"/>
          <w:sz w:val="22"/>
          <w:szCs w:val="22"/>
          <w:color w:val="auto"/>
        </w:rPr>
        <w:t>”) shall commence as of the Effective Date and shall automatically expire on December 31, 2025 (the “</w:t>
      </w:r>
      <w:r>
        <w:rPr>
          <w:rFonts w:ascii="Arial" w:cs="Arial" w:eastAsia="Arial" w:hAnsi="Arial"/>
          <w:sz w:val="22"/>
          <w:szCs w:val="22"/>
          <w:i w:val="1"/>
          <w:iCs w:val="1"/>
          <w:color w:val="auto"/>
        </w:rPr>
        <w:t>Expiration Date</w:t>
      </w:r>
      <w:r>
        <w:rPr>
          <w:rFonts w:ascii="Arial" w:cs="Arial" w:eastAsia="Arial" w:hAnsi="Arial"/>
          <w:sz w:val="22"/>
          <w:szCs w:val="22"/>
          <w:color w:val="auto"/>
        </w:rPr>
        <w:t>”).</w:t>
      </w:r>
    </w:p>
    <w:p>
      <w:pPr>
        <w:spacing w:after="0" w:line="188"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You agree to devote substantially all of your business time and attention to the business and affairs of the Company and to perform your duties in a diligent, competent and skillful manner and in accordance with applicable law. Notwithstanding the foregoing, nothing herein shall preclude you from (i) serving as a member of the board of directors or advisory board (or their equivalents in the case of a non-corporate entity) of up to two non-competing businesses upon consent of the Company’s Chief Executive Officer (not to be unreasonably withheld), (ii) engaging in charitable activities and community affairs, and (iii) managing your personal investments and affairs;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activities set out in clauses (i), (ii), and (iii) shall be limited by you so as not to materially interfere, individually or in the aggregate, with the performance of your duties and responsibilities hereunder, including compliance with the covenants set forth in </w:t>
      </w:r>
      <w:r>
        <w:rPr>
          <w:rFonts w:ascii="Arial" w:cs="Arial" w:eastAsia="Arial" w:hAnsi="Arial"/>
          <w:sz w:val="19"/>
          <w:szCs w:val="19"/>
          <w:i w:val="1"/>
          <w:iCs w:val="1"/>
          <w:color w:val="auto"/>
        </w:rPr>
        <w:t>Annex I</w:t>
      </w:r>
      <w:r>
        <w:rPr>
          <w:rFonts w:ascii="Arial" w:cs="Arial" w:eastAsia="Arial" w:hAnsi="Arial"/>
          <w:sz w:val="19"/>
          <w:szCs w:val="19"/>
          <w:color w:val="auto"/>
        </w:rPr>
        <w:t>.</w:t>
      </w:r>
    </w:p>
    <w:p>
      <w:pPr>
        <w:spacing w:after="0" w:line="18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Beginning on the Effective Date, your annual base salary will be a minimum of $850,000, subject to annual review and potential increase by the Compensation Committee of the Board of Directors of the Company (the “</w:t>
      </w:r>
      <w:r>
        <w:rPr>
          <w:rFonts w:ascii="Arial" w:cs="Arial" w:eastAsia="Arial" w:hAnsi="Arial"/>
          <w:sz w:val="22"/>
          <w:szCs w:val="22"/>
          <w:i w:val="1"/>
          <w:iCs w:val="1"/>
          <w:color w:val="auto"/>
        </w:rPr>
        <w:t>Compensation</w:t>
      </w:r>
      <w:r>
        <w:rPr>
          <w:rFonts w:ascii="Arial" w:cs="Arial" w:eastAsia="Arial" w:hAnsi="Arial"/>
          <w:sz w:val="22"/>
          <w:szCs w:val="22"/>
          <w:color w:val="auto"/>
        </w:rPr>
        <w:t xml:space="preserve"> </w:t>
      </w:r>
      <w:r>
        <w:rPr>
          <w:rFonts w:ascii="Arial" w:cs="Arial" w:eastAsia="Arial" w:hAnsi="Arial"/>
          <w:sz w:val="22"/>
          <w:szCs w:val="22"/>
          <w:i w:val="1"/>
          <w:iCs w:val="1"/>
          <w:color w:val="auto"/>
        </w:rPr>
        <w:t>Committee</w:t>
      </w:r>
      <w:r>
        <w:rPr>
          <w:rFonts w:ascii="Arial" w:cs="Arial" w:eastAsia="Arial" w:hAnsi="Arial"/>
          <w:sz w:val="22"/>
          <w:szCs w:val="22"/>
          <w:color w:val="auto"/>
        </w:rPr>
        <w:t>”), in its discretion. The Compensation Committee will continue to review your compensation package on an annual</w:t>
      </w:r>
      <w:r>
        <w:rPr>
          <w:rFonts w:ascii="Arial" w:cs="Arial" w:eastAsia="Arial" w:hAnsi="Arial"/>
          <w:sz w:val="22"/>
          <w:szCs w:val="22"/>
          <w:i w:val="1"/>
          <w:iCs w:val="1"/>
          <w:color w:val="auto"/>
        </w:rPr>
        <w:t xml:space="preserve"> </w:t>
      </w:r>
      <w:r>
        <w:rPr>
          <w:rFonts w:ascii="Arial" w:cs="Arial" w:eastAsia="Arial" w:hAnsi="Arial"/>
          <w:sz w:val="22"/>
          <w:szCs w:val="22"/>
          <w:color w:val="auto"/>
        </w:rPr>
        <w:t>basis. You will also continue to participate in our discretionary annual bonus program with an annual target bonus opportunity equal to one hundred percent (100%) of actual salary dollars</w:t>
      </w:r>
    </w:p>
    <w:p>
      <w:pPr>
        <w:sectPr>
          <w:pgSz w:w="11900" w:h="16838" w:orient="portrait"/>
          <w:cols w:equalWidth="0" w:num="1">
            <w:col w:w="11240"/>
          </w:cols>
          <w:pgMar w:left="320" w:top="1440" w:right="339" w:bottom="1440" w:gutter="0" w:footer="0" w:header="0"/>
        </w:sectPr>
      </w:pPr>
    </w:p>
    <w:bookmarkStart w:id="71" w:name="page72"/>
    <w:bookmarkEnd w:id="71"/>
    <w:p>
      <w:pPr>
        <w:jc w:val="both"/>
        <w:spacing w:after="0" w:line="292" w:lineRule="auto"/>
        <w:rPr>
          <w:sz w:val="20"/>
          <w:szCs w:val="20"/>
          <w:color w:val="auto"/>
        </w:rPr>
      </w:pPr>
      <w:r>
        <w:rPr>
          <w:rFonts w:ascii="Arial" w:cs="Arial" w:eastAsia="Arial" w:hAnsi="Arial"/>
          <w:sz w:val="19"/>
          <w:szCs w:val="19"/>
          <w:color w:val="auto"/>
        </w:rPr>
        <w:t>paid to you during the applicable year. However,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Your annual base salary and annual bonus target (as each may be increased from time to time in the Compensation Committee’s discretion) will not be reduced during the term of this Agreement. Notwithstanding the foregoing, if your employment with the Company ends on the Expiration Date, you shall be paid your bonus for the fiscal year ending December 31, 2025, if any, even if such payment is not made to you prior to the Expiration Date, which bonus shall be subject to Company and unit performance for that fiscal year as determined by the Company in its sole discretion, but without adjustment for your individual performance.</w:t>
      </w:r>
    </w:p>
    <w:p>
      <w:pPr>
        <w:spacing w:after="0" w:line="19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You will also continue, subject to your continued employment by the Company and actual grant by the Compensation Committee in its discretion, to participate in such long-term equity and other incentive programs as are made available in the future to similarly situated executives at the Company. It is expected that such awards will consist of annual grants of cash and/or equity awards with an annual aggregate target value of not less than $2,500,000, as determined by the Compensation Committee.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terms and conditions shall be consistent with the terms and conditions of the grant agreements received by similarly situated executives (subject to any more favorable terms set forth in this Agreement including those set forth in </w:t>
      </w:r>
      <w:r>
        <w:rPr>
          <w:rFonts w:ascii="Arial" w:cs="Arial" w:eastAsia="Arial" w:hAnsi="Arial"/>
          <w:sz w:val="19"/>
          <w:szCs w:val="19"/>
          <w:i w:val="1"/>
          <w:iCs w:val="1"/>
          <w:color w:val="auto"/>
        </w:rPr>
        <w:t>Annex I</w:t>
      </w:r>
      <w:r>
        <w:rPr>
          <w:rFonts w:ascii="Arial" w:cs="Arial" w:eastAsia="Arial" w:hAnsi="Arial"/>
          <w:sz w:val="19"/>
          <w:szCs w:val="19"/>
          <w:color w:val="auto"/>
        </w:rPr>
        <w:t xml:space="preserve"> attached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for the purposes of this provision, the Company’s Chief Executive Officer shall not be deemed a “similarly situated executive.”</w:t>
      </w:r>
    </w:p>
    <w:p>
      <w:pPr>
        <w:spacing w:after="0" w:line="200" w:lineRule="exact"/>
        <w:rPr>
          <w:sz w:val="20"/>
          <w:szCs w:val="20"/>
          <w:color w:val="auto"/>
        </w:rPr>
      </w:pPr>
    </w:p>
    <w:p>
      <w:pPr>
        <w:spacing w:after="0" w:line="26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In addition, following the Effective Date you will be entitled to a one-time signing bonus in the amount of $30,000, less applicable withholdings (the “</w:t>
      </w:r>
      <w:r>
        <w:rPr>
          <w:rFonts w:ascii="Arial" w:cs="Arial" w:eastAsia="Arial" w:hAnsi="Arial"/>
          <w:sz w:val="22"/>
          <w:szCs w:val="22"/>
          <w:i w:val="1"/>
          <w:iCs w:val="1"/>
          <w:color w:val="auto"/>
        </w:rPr>
        <w:t>Sign-On Bonus</w:t>
      </w:r>
      <w:r>
        <w:rPr>
          <w:rFonts w:ascii="Arial" w:cs="Arial" w:eastAsia="Arial" w:hAnsi="Arial"/>
          <w:sz w:val="22"/>
          <w:szCs w:val="22"/>
          <w:color w:val="auto"/>
        </w:rPr>
        <w:t>”). Subject to your continued employment through the relevant payment date, the Sign-On Bonus will be payable to you in cash as soon as practicable, but in no event later than sixty (60) days following the Effective Date.</w:t>
      </w:r>
    </w:p>
    <w:p>
      <w:pPr>
        <w:spacing w:after="0" w:line="21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Your RSU award granted October 10, 2018 (the “</w:t>
      </w:r>
      <w:r>
        <w:rPr>
          <w:rFonts w:ascii="Arial" w:cs="Arial" w:eastAsia="Arial" w:hAnsi="Arial"/>
          <w:sz w:val="19"/>
          <w:szCs w:val="19"/>
          <w:i w:val="1"/>
          <w:iCs w:val="1"/>
          <w:color w:val="auto"/>
        </w:rPr>
        <w:t>Special Equity Award</w:t>
      </w:r>
      <w:r>
        <w:rPr>
          <w:rFonts w:ascii="Arial" w:cs="Arial" w:eastAsia="Arial" w:hAnsi="Arial"/>
          <w:sz w:val="19"/>
          <w:szCs w:val="19"/>
          <w:color w:val="auto"/>
        </w:rPr>
        <w:t>”) will cliff vest on December 31, 2022, subject to achievement of the performance metrics set forth in the applicable award agreement (the “</w:t>
      </w:r>
      <w:r>
        <w:rPr>
          <w:rFonts w:ascii="Arial" w:cs="Arial" w:eastAsia="Arial" w:hAnsi="Arial"/>
          <w:sz w:val="19"/>
          <w:szCs w:val="19"/>
          <w:i w:val="1"/>
          <w:iCs w:val="1"/>
          <w:color w:val="auto"/>
        </w:rPr>
        <w:t>Performance Criteria</w:t>
      </w:r>
      <w:r>
        <w:rPr>
          <w:rFonts w:ascii="Arial" w:cs="Arial" w:eastAsia="Arial" w:hAnsi="Arial"/>
          <w:sz w:val="19"/>
          <w:szCs w:val="19"/>
          <w:color w:val="auto"/>
        </w:rPr>
        <w:t xml:space="preserve">”) and your continued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your Special Equity Award will vest on a Change of Control of the Company (as defined in the award agreement for your Special Equity Award); and (B) subject to your execution and the effectiveness of the Severance Agreement (as defined below), the time-vesting restrictions applicable to your Special Equity Award will lapse on a termination of your employment with the Company (1) by the Company, (2) by you for “</w:t>
      </w:r>
      <w:r>
        <w:rPr>
          <w:rFonts w:ascii="Arial" w:cs="Arial" w:eastAsia="Arial" w:hAnsi="Arial"/>
          <w:sz w:val="19"/>
          <w:szCs w:val="19"/>
          <w:i w:val="1"/>
          <w:iCs w:val="1"/>
          <w:color w:val="auto"/>
        </w:rPr>
        <w:t>Good Reason,</w:t>
      </w:r>
      <w:r>
        <w:rPr>
          <w:rFonts w:ascii="Arial" w:cs="Arial" w:eastAsia="Arial" w:hAnsi="Arial"/>
          <w:sz w:val="19"/>
          <w:szCs w:val="19"/>
          <w:color w:val="auto"/>
        </w:rPr>
        <w:t>” or</w:t>
      </w:r>
    </w:p>
    <w:p>
      <w:pPr>
        <w:spacing w:after="0" w:line="3" w:lineRule="exact"/>
        <w:rPr>
          <w:sz w:val="20"/>
          <w:szCs w:val="20"/>
          <w:color w:val="auto"/>
        </w:rPr>
      </w:pPr>
    </w:p>
    <w:p>
      <w:pPr>
        <w:jc w:val="both"/>
        <w:ind w:firstLine="8"/>
        <w:spacing w:after="0" w:line="310" w:lineRule="auto"/>
        <w:tabs>
          <w:tab w:leader="none" w:pos="3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due to your death or your physical or mental disability (at which time of such termination under clauses (1), (2) or (3) “</w:t>
      </w:r>
      <w:r>
        <w:rPr>
          <w:rFonts w:ascii="Arial" w:cs="Arial" w:eastAsia="Arial" w:hAnsi="Arial"/>
          <w:sz w:val="19"/>
          <w:szCs w:val="19"/>
          <w:i w:val="1"/>
          <w:iCs w:val="1"/>
          <w:color w:val="auto"/>
        </w:rPr>
        <w:t>Cause</w:t>
      </w:r>
      <w:r>
        <w:rPr>
          <w:rFonts w:ascii="Arial" w:cs="Arial" w:eastAsia="Arial" w:hAnsi="Arial"/>
          <w:sz w:val="19"/>
          <w:szCs w:val="19"/>
          <w:color w:val="auto"/>
        </w:rPr>
        <w:t>” does not exist) and the Special Equity Award will be paid or delivered to you (a) if, prior to the termination date, the Compensation Committee determined that the Performance Criteria were achieved, then within a reasonable period of time</w:t>
      </w:r>
    </w:p>
    <w:p>
      <w:pPr>
        <w:sectPr>
          <w:pgSz w:w="11900" w:h="16838" w:orient="portrait"/>
          <w:cols w:equalWidth="0" w:num="1">
            <w:col w:w="11240"/>
          </w:cols>
          <w:pgMar w:left="320" w:top="1428" w:right="339" w:bottom="1440" w:gutter="0" w:footer="0" w:header="0"/>
        </w:sectPr>
      </w:pPr>
    </w:p>
    <w:bookmarkStart w:id="72" w:name="page73"/>
    <w:bookmarkEnd w:id="72"/>
    <w:p>
      <w:pPr>
        <w:jc w:val="both"/>
        <w:spacing w:after="0" w:line="266" w:lineRule="auto"/>
        <w:rPr>
          <w:sz w:val="20"/>
          <w:szCs w:val="20"/>
          <w:color w:val="auto"/>
        </w:rPr>
      </w:pPr>
      <w:r>
        <w:rPr>
          <w:rFonts w:ascii="Arial" w:cs="Arial" w:eastAsia="Arial" w:hAnsi="Arial"/>
          <w:sz w:val="21"/>
          <w:szCs w:val="21"/>
          <w:color w:val="auto"/>
        </w:rPr>
        <w:t>following your termination, or (b) if the performance period applicable to the Performance Criteria ends after the termination date, then within a reasonable period of time following the end of such performance period, subject to the Compensation Committee’s determination that the Performance Criteria were achieved. Your Special Equity Award remains subject to the other terms and conditions set forth in the applicable award agreement. Notwithstanding anything else in this Agreement, the vesting provisions set forth in this paragraph will apply to the Special Equity Award.</w:t>
      </w:r>
    </w:p>
    <w:p>
      <w:pPr>
        <w:spacing w:after="0" w:line="20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You will also continue to be offered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entitled to four (4) weeks’ vacation per year, to be accrued and used in accordance with Company policy. You will also be entitled to reimbursement of business expenses upon submission of appropriate documentation in accordance with Company policy. Effective as of the Effective Date, the Company will reimburse you for reasonable car service fees incurred to commute between your home and the Company’s offices, to be paid in accordance with the Company reimbursement policy upon submission of appropriate documentation in accordance with such policy.</w:t>
      </w:r>
    </w:p>
    <w:p>
      <w:pPr>
        <w:spacing w:after="0" w:line="200" w:lineRule="exact"/>
        <w:rPr>
          <w:sz w:val="20"/>
          <w:szCs w:val="20"/>
          <w:color w:val="auto"/>
        </w:rPr>
      </w:pPr>
    </w:p>
    <w:p>
      <w:pPr>
        <w:spacing w:after="0" w:line="26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Effective immediately, you and the Company agree to continue to be bound by the additional covenants and provisions applicable to each that are set forth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which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be deemed to be a part of this Agreement.</w:t>
      </w:r>
    </w:p>
    <w:p>
      <w:pPr>
        <w:spacing w:after="0" w:line="20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If your employment with the Company is terminated after the Effective Date but prior to the Expiration Date (1) by the Company or (2) by you for “</w:t>
      </w:r>
      <w:r>
        <w:rPr>
          <w:rFonts w:ascii="Arial" w:cs="Arial" w:eastAsia="Arial" w:hAnsi="Arial"/>
          <w:sz w:val="22"/>
          <w:szCs w:val="22"/>
          <w:i w:val="1"/>
          <w:iCs w:val="1"/>
          <w:color w:val="auto"/>
        </w:rPr>
        <w:t>Good Reason,</w:t>
      </w:r>
      <w:r>
        <w:rPr>
          <w:rFonts w:ascii="Arial" w:cs="Arial" w:eastAsia="Arial" w:hAnsi="Arial"/>
          <w:sz w:val="22"/>
          <w:szCs w:val="22"/>
          <w:color w:val="auto"/>
        </w:rPr>
        <w:t>” and at the time of such termination under clauses (1) or (2) “</w:t>
      </w:r>
      <w:r>
        <w:rPr>
          <w:rFonts w:ascii="Arial" w:cs="Arial" w:eastAsia="Arial" w:hAnsi="Arial"/>
          <w:sz w:val="22"/>
          <w:szCs w:val="22"/>
          <w:i w:val="1"/>
          <w:iCs w:val="1"/>
          <w:color w:val="auto"/>
        </w:rPr>
        <w:t>Cause</w:t>
      </w:r>
      <w:r>
        <w:rPr>
          <w:rFonts w:ascii="Arial" w:cs="Arial" w:eastAsia="Arial" w:hAnsi="Arial"/>
          <w:sz w:val="22"/>
          <w:szCs w:val="22"/>
          <w:color w:val="auto"/>
        </w:rPr>
        <w:t xml:space="preserve">” does not exist, then, subject to your execution and the effectiveness of a severance agreement satisfactory to the Company, which severance agreement shall include, without limitation, a full and complete general release in favor of the Company and its affiliates, and their respective directors and officers (subject to customary carve-outs), as well as your agreement to non-competition (limited to one year), non-solicitation, non-disparagement, confidentiality and further cooperation obligations and restrictions substantially in the form set forth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(the “</w:t>
      </w:r>
      <w:r>
        <w:rPr>
          <w:rFonts w:ascii="Arial" w:cs="Arial" w:eastAsia="Arial" w:hAnsi="Arial"/>
          <w:sz w:val="22"/>
          <w:szCs w:val="22"/>
          <w:i w:val="1"/>
          <w:iCs w:val="1"/>
          <w:color w:val="auto"/>
        </w:rPr>
        <w:t>Severance Agreement</w:t>
      </w:r>
      <w:r>
        <w:rPr>
          <w:rFonts w:ascii="Arial" w:cs="Arial" w:eastAsia="Arial" w:hAnsi="Arial"/>
          <w:sz w:val="22"/>
          <w:szCs w:val="22"/>
          <w:color w:val="auto"/>
        </w:rPr>
        <w:t>”), the Company will provide you with the following:</w:t>
      </w:r>
    </w:p>
    <w:p>
      <w:pPr>
        <w:spacing w:after="0" w:line="231" w:lineRule="exact"/>
        <w:rPr>
          <w:sz w:val="20"/>
          <w:szCs w:val="20"/>
          <w:color w:val="auto"/>
        </w:rPr>
      </w:pPr>
    </w:p>
    <w:p>
      <w:pPr>
        <w:ind w:left="340" w:right="220" w:hanging="332"/>
        <w:spacing w:after="0" w:line="294" w:lineRule="auto"/>
        <w:tabs>
          <w:tab w:leader="none" w:pos="322" w:val="left"/>
        </w:tabs>
        <w:numPr>
          <w:ilvl w:val="0"/>
          <w:numId w:val="40"/>
        </w:numPr>
        <w:rPr>
          <w:rFonts w:ascii="Arial" w:cs="Arial" w:eastAsia="Arial" w:hAnsi="Arial"/>
          <w:sz w:val="19"/>
          <w:szCs w:val="19"/>
          <w:color w:val="auto"/>
        </w:rPr>
      </w:pPr>
      <w:r>
        <w:rPr>
          <w:rFonts w:ascii="Arial" w:cs="Arial" w:eastAsia="Arial" w:hAnsi="Arial"/>
          <w:sz w:val="19"/>
          <w:szCs w:val="19"/>
          <w:color w:val="auto"/>
        </w:rPr>
        <w:t>Severance in an amount to be determined by the Compensation Committee (the “</w:t>
      </w:r>
      <w:r>
        <w:rPr>
          <w:rFonts w:ascii="Arial" w:cs="Arial" w:eastAsia="Arial" w:hAnsi="Arial"/>
          <w:sz w:val="19"/>
          <w:szCs w:val="19"/>
          <w:i w:val="1"/>
          <w:iCs w:val="1"/>
          <w:color w:val="auto"/>
        </w:rPr>
        <w:t>Severance Amount</w:t>
      </w:r>
      <w:r>
        <w:rPr>
          <w:rFonts w:ascii="Arial" w:cs="Arial" w:eastAsia="Arial" w:hAnsi="Arial"/>
          <w:sz w:val="19"/>
          <w:szCs w:val="19"/>
          <w:color w:val="auto"/>
        </w:rPr>
        <w:t>”), but in no event less than two (2) times the sum of your annual base salary plus your target annual bonus, each as in effect at the time your employment terminates. Sixty percent (60%) of the Severance Amount (the “</w:t>
      </w:r>
      <w:r>
        <w:rPr>
          <w:rFonts w:ascii="Arial" w:cs="Arial" w:eastAsia="Arial" w:hAnsi="Arial"/>
          <w:sz w:val="19"/>
          <w:szCs w:val="19"/>
          <w:i w:val="1"/>
          <w:iCs w:val="1"/>
          <w:color w:val="auto"/>
        </w:rPr>
        <w:t>First Payment</w:t>
      </w:r>
      <w:r>
        <w:rPr>
          <w:rFonts w:ascii="Arial" w:cs="Arial" w:eastAsia="Arial" w:hAnsi="Arial"/>
          <w:sz w:val="19"/>
          <w:szCs w:val="19"/>
          <w:color w:val="auto"/>
        </w:rPr>
        <w:t>”) will be payable to you on the six-month anniversary of the date your employment so terminates (the “</w:t>
      </w:r>
      <w:r>
        <w:rPr>
          <w:rFonts w:ascii="Arial" w:cs="Arial" w:eastAsia="Arial" w:hAnsi="Arial"/>
          <w:sz w:val="19"/>
          <w:szCs w:val="19"/>
          <w:i w:val="1"/>
          <w:iCs w:val="1"/>
          <w:color w:val="auto"/>
        </w:rPr>
        <w:t>Termination Date</w:t>
      </w:r>
      <w:r>
        <w:rPr>
          <w:rFonts w:ascii="Arial" w:cs="Arial" w:eastAsia="Arial" w:hAnsi="Arial"/>
          <w:sz w:val="19"/>
          <w:szCs w:val="19"/>
          <w:color w:val="auto"/>
        </w:rPr>
        <w:t xml:space="preserve">”) and the remaining forty percent (40%) of the Severance Amount will be payable to you on the twelve-month anniversary of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maximum portion of the First Payment that is exempt from Section 409A (as defined below) will be payable to you on or before the seventy-fifth (75) day following the date your employment so terminates;</w:t>
      </w:r>
    </w:p>
    <w:p>
      <w:pPr>
        <w:sectPr>
          <w:pgSz w:w="11900" w:h="16838" w:orient="portrait"/>
          <w:cols w:equalWidth="0" w:num="1">
            <w:col w:w="11240"/>
          </w:cols>
          <w:pgMar w:left="320" w:top="1428" w:right="339" w:bottom="1440" w:gutter="0" w:footer="0" w:header="0"/>
        </w:sectPr>
      </w:pPr>
    </w:p>
    <w:bookmarkStart w:id="73" w:name="page74"/>
    <w:bookmarkEnd w:id="73"/>
    <w:p>
      <w:pPr>
        <w:spacing w:after="0" w:line="231" w:lineRule="exact"/>
        <w:rPr>
          <w:sz w:val="20"/>
          <w:szCs w:val="20"/>
          <w:color w:val="auto"/>
        </w:rPr>
      </w:pPr>
    </w:p>
    <w:p>
      <w:pPr>
        <w:ind w:left="332" w:right="240" w:hanging="332"/>
        <w:spacing w:after="0" w:line="251" w:lineRule="auto"/>
        <w:tabs>
          <w:tab w:leader="none" w:pos="3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prorated bonus based on the amount of your base salary actually earned by you during the fiscal year through the Termination Date, provided, that such bonus, if any, will be payable to you if and when such bonuses are generally paid to similarly situated employees and will be based on your then current annual target bonus as well as Company and your business unit performance as determined by the Compensation Committee in its discretion, but without adjustment for your individual performance;</w:t>
      </w:r>
    </w:p>
    <w:p>
      <w:pPr>
        <w:spacing w:after="0" w:line="216" w:lineRule="exact"/>
        <w:rPr>
          <w:rFonts w:ascii="Arial" w:cs="Arial" w:eastAsia="Arial" w:hAnsi="Arial"/>
          <w:sz w:val="22"/>
          <w:szCs w:val="22"/>
          <w:color w:val="auto"/>
        </w:rPr>
      </w:pPr>
    </w:p>
    <w:p>
      <w:pPr>
        <w:jc w:val="both"/>
        <w:ind w:left="332" w:hanging="332"/>
        <w:spacing w:after="0" w:line="264" w:lineRule="auto"/>
        <w:tabs>
          <w:tab w:leader="none" w:pos="319" w:val="left"/>
        </w:tabs>
        <w:numPr>
          <w:ilvl w:val="0"/>
          <w:numId w:val="41"/>
        </w:numPr>
        <w:rPr>
          <w:rFonts w:ascii="Arial" w:cs="Arial" w:eastAsia="Arial" w:hAnsi="Arial"/>
          <w:sz w:val="21"/>
          <w:szCs w:val="21"/>
          <w:color w:val="auto"/>
        </w:rPr>
      </w:pPr>
      <w:r>
        <w:rPr>
          <w:rFonts w:ascii="Arial" w:cs="Arial" w:eastAsia="Arial" w:hAnsi="Arial"/>
          <w:sz w:val="21"/>
          <w:szCs w:val="21"/>
          <w:color w:val="auto"/>
        </w:rPr>
        <w:t>If, as of the Termination Date, annual bonuses had not yet generally been paid to similarly situated employees with respect to the prior fiscal year, a bonus based on the amount of your base salary actually paid to you during such prior fiscal year, provided, that such bonus, if any, will be payable to you if and when such bonuses are generally paid to similarly situated employees and will be based on your annual target bonus that was in effect with respect to such prior fiscal year as well as Company and your business unit performance as determined by the Compensation Committee in its discretion, but without adjustment for your individual performance;</w:t>
      </w:r>
    </w:p>
    <w:p>
      <w:pPr>
        <w:spacing w:after="0" w:line="201" w:lineRule="exact"/>
        <w:rPr>
          <w:rFonts w:ascii="Arial" w:cs="Arial" w:eastAsia="Arial" w:hAnsi="Arial"/>
          <w:sz w:val="21"/>
          <w:szCs w:val="21"/>
          <w:color w:val="auto"/>
        </w:rPr>
      </w:pPr>
    </w:p>
    <w:p>
      <w:pPr>
        <w:jc w:val="both"/>
        <w:ind w:left="332" w:hanging="332"/>
        <w:spacing w:after="0" w:line="290" w:lineRule="auto"/>
        <w:tabs>
          <w:tab w:leader="none" w:pos="327"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i w:val="1"/>
          <w:iCs w:val="1"/>
          <w:color w:val="auto"/>
        </w:rPr>
        <w:t>Time-Vested Restricted Stock and RSU Awards (including RSU Awards that are subject to achievement of a performance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condition and RSU Awards that have no performance conditions). </w:t>
      </w:r>
      <w:r>
        <w:rPr>
          <w:rFonts w:ascii="Arial" w:cs="Arial" w:eastAsia="Arial" w:hAnsi="Arial"/>
          <w:sz w:val="19"/>
          <w:szCs w:val="19"/>
          <w:color w:val="auto"/>
        </w:rPr>
        <w:t>Each of your outstanding restricted stock or restricted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units awards granted to you under the plans of the Company (other than the Special Equity Award) shall continue to vest in accordance with their original vesting schedule irrespective of the termination of the term hereof and payments or deliveries with respect to your restricted stock and restricted stock units shall be made on the original vesting date(s) (or, in the case of restricted stock units, on the original distribution date(s)); </w:t>
      </w:r>
      <w:r>
        <w:rPr>
          <w:rFonts w:ascii="Arial" w:cs="Arial" w:eastAsia="Arial" w:hAnsi="Arial"/>
          <w:sz w:val="19"/>
          <w:szCs w:val="19"/>
          <w:i w:val="1"/>
          <w:iCs w:val="1"/>
          <w:color w:val="auto"/>
        </w:rPr>
        <w:t>provided, however</w:t>
      </w:r>
      <w:r>
        <w:rPr>
          <w:rFonts w:ascii="Arial" w:cs="Arial" w:eastAsia="Arial" w:hAnsi="Arial"/>
          <w:sz w:val="19"/>
          <w:szCs w:val="19"/>
          <w:color w:val="auto"/>
        </w:rPr>
        <w:t>, that at the time of your termination from employment, the Company shall withhold and settle a portion of each of your outstanding restricted stock and restricted stock unit awards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restricted stock or restricted stock unit award, and make a payroll tax contribution in such amount on your behalf;</w:t>
      </w:r>
    </w:p>
    <w:p>
      <w:pPr>
        <w:spacing w:after="0" w:line="187" w:lineRule="exact"/>
        <w:rPr>
          <w:rFonts w:ascii="Arial" w:cs="Arial" w:eastAsia="Arial" w:hAnsi="Arial"/>
          <w:sz w:val="19"/>
          <w:szCs w:val="19"/>
          <w:color w:val="auto"/>
        </w:rPr>
      </w:pPr>
    </w:p>
    <w:p>
      <w:pPr>
        <w:jc w:val="both"/>
        <w:ind w:left="332" w:hanging="8"/>
        <w:spacing w:after="0" w:line="264" w:lineRule="auto"/>
        <w:tabs>
          <w:tab w:leader="none" w:pos="663" w:val="left"/>
        </w:tabs>
        <w:numPr>
          <w:ilvl w:val="1"/>
          <w:numId w:val="41"/>
        </w:numPr>
        <w:rPr>
          <w:rFonts w:ascii="Arial" w:cs="Arial" w:eastAsia="Arial" w:hAnsi="Arial"/>
          <w:sz w:val="21"/>
          <w:szCs w:val="21"/>
          <w:color w:val="auto"/>
        </w:rPr>
      </w:pPr>
      <w:r>
        <w:rPr>
          <w:rFonts w:ascii="Arial" w:cs="Arial" w:eastAsia="Arial" w:hAnsi="Arial"/>
          <w:sz w:val="21"/>
          <w:szCs w:val="21"/>
          <w:i w:val="1"/>
          <w:iCs w:val="1"/>
          <w:color w:val="auto"/>
        </w:rPr>
        <w:t>Performance-Based RSU Awards</w:t>
      </w:r>
      <w:r>
        <w:rPr>
          <w:rFonts w:ascii="Arial" w:cs="Arial" w:eastAsia="Arial" w:hAnsi="Arial"/>
          <w:sz w:val="21"/>
          <w:szCs w:val="21"/>
          <w:color w:val="auto"/>
        </w:rPr>
        <w:t>. Each of your outstanding performance-based restricted stock unit (“</w:t>
      </w:r>
      <w:r>
        <w:rPr>
          <w:rFonts w:ascii="Arial" w:cs="Arial" w:eastAsia="Arial" w:hAnsi="Arial"/>
          <w:sz w:val="21"/>
          <w:szCs w:val="21"/>
          <w:i w:val="1"/>
          <w:iCs w:val="1"/>
          <w:color w:val="auto"/>
        </w:rPr>
        <w:t>PRSUs</w:t>
      </w:r>
      <w:r>
        <w:rPr>
          <w:rFonts w:ascii="Arial" w:cs="Arial" w:eastAsia="Arial" w:hAnsi="Arial"/>
          <w:sz w:val="21"/>
          <w:szCs w:val="21"/>
          <w:color w:val="auto"/>
        </w:rPr>
        <w:t>”) awards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granted under the plans of the Company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applicable performance objectives are not satisfied then any such PRSUs will be forfeited;</w:t>
      </w:r>
    </w:p>
    <w:p>
      <w:pPr>
        <w:spacing w:after="0" w:line="201" w:lineRule="exact"/>
        <w:rPr>
          <w:rFonts w:ascii="Arial" w:cs="Arial" w:eastAsia="Arial" w:hAnsi="Arial"/>
          <w:sz w:val="21"/>
          <w:szCs w:val="21"/>
          <w:color w:val="auto"/>
        </w:rPr>
      </w:pPr>
    </w:p>
    <w:p>
      <w:pPr>
        <w:ind w:left="332" w:right="100" w:hanging="8"/>
        <w:spacing w:after="0" w:line="259" w:lineRule="auto"/>
        <w:tabs>
          <w:tab w:leader="none" w:pos="710" w:val="left"/>
        </w:tabs>
        <w:numPr>
          <w:ilvl w:val="1"/>
          <w:numId w:val="41"/>
        </w:numPr>
        <w:rPr>
          <w:rFonts w:ascii="Arial" w:cs="Arial" w:eastAsia="Arial" w:hAnsi="Arial"/>
          <w:sz w:val="22"/>
          <w:szCs w:val="22"/>
          <w:color w:val="auto"/>
        </w:rPr>
      </w:pPr>
      <w:r>
        <w:rPr>
          <w:rFonts w:ascii="Arial" w:cs="Arial" w:eastAsia="Arial" w:hAnsi="Arial"/>
          <w:sz w:val="22"/>
          <w:szCs w:val="22"/>
          <w:color w:val="auto"/>
        </w:rPr>
        <w:t>Each of your outstanding long-term cash performance awards (“CPAs”) granted under the plans of the Company, if any, shall immediately vest in full and shall be payable to you at the same time as such awards are paid to active employees of the Company and the payment</w:t>
      </w:r>
    </w:p>
    <w:p>
      <w:pPr>
        <w:sectPr>
          <w:pgSz w:w="11900" w:h="16838" w:orient="portrait"/>
          <w:cols w:equalWidth="0" w:num="1">
            <w:col w:w="11232"/>
          </w:cols>
          <w:pgMar w:left="328" w:top="1440" w:right="339" w:bottom="1440" w:gutter="0" w:footer="0" w:header="0"/>
        </w:sectPr>
      </w:pPr>
    </w:p>
    <w:bookmarkStart w:id="74" w:name="page75"/>
    <w:bookmarkEnd w:id="74"/>
    <w:p>
      <w:pPr>
        <w:jc w:val="both"/>
        <w:ind w:left="340" w:right="140"/>
        <w:spacing w:after="0" w:line="312" w:lineRule="auto"/>
        <w:rPr>
          <w:sz w:val="20"/>
          <w:szCs w:val="20"/>
          <w:color w:val="auto"/>
        </w:rPr>
      </w:pPr>
      <w:r>
        <w:rPr>
          <w:rFonts w:ascii="Arial" w:cs="Arial" w:eastAsia="Arial" w:hAnsi="Arial"/>
          <w:sz w:val="19"/>
          <w:szCs w:val="19"/>
          <w:color w:val="auto"/>
        </w:rPr>
        <w:t>amount of such award shall be to the same extent that other similarly situated executives receive payment for such awards as determined by the Compensation Committee (subject to the satisfaction of any applicable performance objectives); provided that, if the applicable performance objectives are not satisfied then any such CPAs will be forfeited; and</w:t>
      </w:r>
    </w:p>
    <w:p>
      <w:pPr>
        <w:spacing w:after="0" w:line="174" w:lineRule="exact"/>
        <w:rPr>
          <w:sz w:val="20"/>
          <w:szCs w:val="20"/>
          <w:color w:val="auto"/>
        </w:rPr>
      </w:pPr>
    </w:p>
    <w:p>
      <w:pPr>
        <w:jc w:val="both"/>
        <w:ind w:left="340" w:hanging="8"/>
        <w:spacing w:after="0" w:line="250" w:lineRule="auto"/>
        <w:tabs>
          <w:tab w:leader="none" w:pos="736" w:val="left"/>
        </w:tabs>
        <w:numPr>
          <w:ilvl w:val="1"/>
          <w:numId w:val="42"/>
        </w:numPr>
        <w:rPr>
          <w:rFonts w:ascii="Arial" w:cs="Arial" w:eastAsia="Arial" w:hAnsi="Arial"/>
          <w:sz w:val="22"/>
          <w:szCs w:val="22"/>
          <w:color w:val="auto"/>
        </w:rPr>
      </w:pPr>
      <w:r>
        <w:rPr>
          <w:rFonts w:ascii="Arial" w:cs="Arial" w:eastAsia="Arial" w:hAnsi="Arial"/>
          <w:sz w:val="22"/>
          <w:szCs w:val="22"/>
          <w:color w:val="auto"/>
        </w:rPr>
        <w:t>Each of your outstanding stock options and stock appreciation awards under the plans of the Company, if any, shall continue to vest in accordance with their original vesting schedule irrespective of the termination of the term hereof and you shall have the right to exercise each of those options and stock appreciation awards for the remainder of the term of such option or award; and</w:t>
      </w:r>
    </w:p>
    <w:p>
      <w:pPr>
        <w:spacing w:after="0" w:line="214" w:lineRule="exact"/>
        <w:rPr>
          <w:rFonts w:ascii="Arial" w:cs="Arial" w:eastAsia="Arial" w:hAnsi="Arial"/>
          <w:sz w:val="22"/>
          <w:szCs w:val="22"/>
          <w:color w:val="auto"/>
        </w:rPr>
      </w:pPr>
    </w:p>
    <w:p>
      <w:pPr>
        <w:jc w:val="both"/>
        <w:ind w:left="340" w:hanging="332"/>
        <w:spacing w:after="0" w:line="248" w:lineRule="auto"/>
        <w:tabs>
          <w:tab w:leader="none" w:pos="371"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addition, you will be provided, at the Company’s expense, with continued coverage for yourself and your eligible dependents under the Company’s group health, dental and vision plans for a period of two years following the date of termination (or until you are eligible for comparable coverage under the health, dental and vision plans of a subsequent employer), provided that, if requested by the Company, you make a timely election under COBRA to continue such coverage. If this agreement to provide benefits continuation raises any compliance issues or impositions of penalties under the Patient Protection and Affordable Care Act or other applicable law, then the parties agree to modify this Agreement so that it complies with the terms of such laws.</w:t>
      </w:r>
    </w:p>
    <w:p>
      <w:pPr>
        <w:spacing w:after="0" w:line="235" w:lineRule="exact"/>
        <w:rPr>
          <w:rFonts w:ascii="Arial" w:cs="Arial" w:eastAsia="Arial" w:hAnsi="Arial"/>
          <w:sz w:val="22"/>
          <w:szCs w:val="22"/>
          <w:color w:val="auto"/>
        </w:rPr>
      </w:pPr>
    </w:p>
    <w:p>
      <w:pPr>
        <w:jc w:val="both"/>
        <w:ind w:left="340" w:hanging="332"/>
        <w:spacing w:after="0" w:line="248" w:lineRule="auto"/>
        <w:tabs>
          <w:tab w:leader="none" w:pos="350"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Notwithstanding any provisions to the contrary, to the extent that (i) any awards granted prior to the date hereof that are payable under Section (4) above constitute “nonqualified deferred compensation” subject to Section 409A of the Internal Revenue Code of 1986, as amended (the “</w:t>
      </w:r>
      <w:r>
        <w:rPr>
          <w:rFonts w:ascii="Arial" w:cs="Arial" w:eastAsia="Arial" w:hAnsi="Arial"/>
          <w:sz w:val="22"/>
          <w:szCs w:val="22"/>
          <w:i w:val="1"/>
          <w:iCs w:val="1"/>
          <w:color w:val="auto"/>
        </w:rPr>
        <w:t>Code</w:t>
      </w:r>
      <w:r>
        <w:rPr>
          <w:rFonts w:ascii="Arial" w:cs="Arial" w:eastAsia="Arial" w:hAnsi="Arial"/>
          <w:sz w:val="22"/>
          <w:szCs w:val="22"/>
          <w:color w:val="auto"/>
        </w:rPr>
        <w:t>”) and any regulations and guidelines promulgated thereunder (collectively, “</w:t>
      </w:r>
      <w:r>
        <w:rPr>
          <w:rFonts w:ascii="Arial" w:cs="Arial" w:eastAsia="Arial" w:hAnsi="Arial"/>
          <w:sz w:val="22"/>
          <w:szCs w:val="22"/>
          <w:i w:val="1"/>
          <w:iCs w:val="1"/>
          <w:color w:val="auto"/>
        </w:rPr>
        <w:t>Section 409A</w:t>
      </w:r>
      <w:r>
        <w:rPr>
          <w:rFonts w:ascii="Arial" w:cs="Arial" w:eastAsia="Arial" w:hAnsi="Arial"/>
          <w:sz w:val="22"/>
          <w:szCs w:val="22"/>
          <w:color w:val="auto"/>
        </w:rPr>
        <w:t>”); and (ii) accelerated payout pursuant to the terms of this Agreement of such awards is not permitted by Section 409A, then such awards shall be payable to you at such time as is provided under the terms of such awards or otherwise in compliance with Section 409A.</w:t>
      </w:r>
    </w:p>
    <w:p>
      <w:pPr>
        <w:spacing w:after="0" w:line="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If you die after a termination of your employment that is subject to the above, your estate or beneficiaries will be provided any remaining benefits and rights under the above Sections (1) through (5).</w:t>
      </w:r>
    </w:p>
    <w:p>
      <w:pPr>
        <w:spacing w:after="0" w:line="21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If, on or after January 1, 2024, your employment with the Company is terminated by you without Good Reason but only if you had provided the Company with at least four months advance written notice of your intent to so terminate your employment under this provision, and such written notice specifies an effective date of termination no sooner than January 1, 2024, and at the time of such termination, Cause does not exist, then, subject to your execution and delivery (without revocation) to the Company of a Severance Agreement (as defined above), you will be provided with the benefits and rights under the above Sections (2) through (5).</w:t>
      </w:r>
    </w:p>
    <w:p>
      <w:pPr>
        <w:spacing w:after="0" w:line="22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Except as otherwise set forth herein, in connection with any termination of your employment, your then outstanding equity and cash incentive awards shall be treated in accordance with their terms and, other than as provided in this Agreement, you shall not be</w:t>
      </w:r>
    </w:p>
    <w:p>
      <w:pPr>
        <w:sectPr>
          <w:pgSz w:w="11900" w:h="16838" w:orient="portrait"/>
          <w:cols w:equalWidth="0" w:num="1">
            <w:col w:w="11240"/>
          </w:cols>
          <w:pgMar w:left="320" w:top="1428" w:right="339" w:bottom="1440" w:gutter="0" w:footer="0" w:header="0"/>
        </w:sectPr>
      </w:pPr>
    </w:p>
    <w:bookmarkStart w:id="75" w:name="page76"/>
    <w:bookmarkEnd w:id="75"/>
    <w:p>
      <w:pPr>
        <w:jc w:val="both"/>
        <w:spacing w:after="0" w:line="270" w:lineRule="auto"/>
        <w:rPr>
          <w:sz w:val="20"/>
          <w:szCs w:val="20"/>
          <w:color w:val="auto"/>
        </w:rPr>
      </w:pPr>
      <w:r>
        <w:rPr>
          <w:rFonts w:ascii="Arial" w:cs="Arial" w:eastAsia="Arial" w:hAnsi="Arial"/>
          <w:sz w:val="21"/>
          <w:szCs w:val="21"/>
          <w:color w:val="auto"/>
        </w:rPr>
        <w:t>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spacing w:after="0" w:line="19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Sections (2) and (3) above, and each of your outstanding equity, cash incentive, stock option, and stock appreciation awards granted under the plans of the Company shall immediately vest in full, whether or not subject to performance criteria and shall be payable on the 90th day after the termination of your employment; </w:t>
      </w:r>
      <w:r>
        <w:rPr>
          <w:rFonts w:ascii="Arial" w:cs="Arial" w:eastAsia="Arial" w:hAnsi="Arial"/>
          <w:sz w:val="21"/>
          <w:szCs w:val="21"/>
          <w:i w:val="1"/>
          <w:iCs w:val="1"/>
          <w:color w:val="auto"/>
        </w:rPr>
        <w:t>provided</w:t>
      </w:r>
      <w:r>
        <w:rPr>
          <w:rFonts w:ascii="Arial" w:cs="Arial" w:eastAsia="Arial" w:hAnsi="Arial"/>
          <w:sz w:val="21"/>
          <w:szCs w:val="21"/>
          <w:color w:val="auto"/>
        </w:rPr>
        <w:t>,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 to the extent that other similarly situated executives receive payment as determined by the Compensation Committee (subject to satisfaction of the applicable performance criteria).</w:t>
      </w:r>
    </w:p>
    <w:p>
      <w:pPr>
        <w:spacing w:after="0" w:line="20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This Agreement does not constitute a guarantee of employment or benefits for any definite period. Your employment may be terminated by you or the Company at any time, with or without notice, liability (subject to the terms of this Agreement) or Cause. With the exception of the provisions that, by their term, survive your death, this Agreement shall automatically terminate upon your death.</w:t>
      </w:r>
    </w:p>
    <w:p>
      <w:pPr>
        <w:spacing w:after="0" w:line="212" w:lineRule="exact"/>
        <w:rPr>
          <w:sz w:val="20"/>
          <w:szCs w:val="20"/>
          <w:color w:val="auto"/>
        </w:rPr>
      </w:pPr>
    </w:p>
    <w:p>
      <w:pPr>
        <w:jc w:val="both"/>
        <w:ind w:firstLine="1296"/>
        <w:spacing w:after="0" w:line="260" w:lineRule="exact"/>
        <w:rPr>
          <w:sz w:val="20"/>
          <w:szCs w:val="20"/>
          <w:color w:val="auto"/>
        </w:rPr>
      </w:pPr>
      <w:r>
        <w:rPr>
          <w:rFonts w:ascii="Arial" w:cs="Arial" w:eastAsia="Arial" w:hAnsi="Arial"/>
          <w:sz w:val="21"/>
          <w:szCs w:val="21"/>
          <w:color w:val="auto"/>
        </w:rPr>
        <w:t>If and to the extent that any payment or benefit hereunder, or any plan, award or arrangement of the Company or its affiliates, is determined by the Company to constitute “non</w:t>
      </w:r>
      <w:r>
        <w:rPr>
          <w:rFonts w:ascii="MS PGothic" w:cs="MS PGothic" w:eastAsia="MS PGothic" w:hAnsi="MS PGothic"/>
          <w:sz w:val="21"/>
          <w:szCs w:val="21"/>
          <w:color w:val="auto"/>
        </w:rPr>
        <w:t>‑</w:t>
      </w:r>
      <w:r>
        <w:rPr>
          <w:rFonts w:ascii="Arial" w:cs="Arial" w:eastAsia="Arial" w:hAnsi="Arial"/>
          <w:sz w:val="21"/>
          <w:szCs w:val="21"/>
          <w:color w:val="auto"/>
        </w:rPr>
        <w:t>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Any amount not paid or benefit not provided in respect of the six-month period specified in the preceding sentence will be paid to you in a lump sum or provided to you as soon as practicable after the expiration of such six-month period. Each payment or benefit hereunder shall be treated as a separate payment for purposes of Section 409A to the extent Section 409A applies to such payments or benefits.</w:t>
      </w:r>
    </w:p>
    <w:p>
      <w:pPr>
        <w:spacing w:after="0" w:line="23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To the extent you are entitled to any expense reimbursement from the Company that is subject to Section 409A, (i) the amount of any such expenses eligible for reimbursement in one calendar year shall not affect the expenses eligible for reimbursement in any other taxable</w:t>
      </w:r>
    </w:p>
    <w:p>
      <w:pPr>
        <w:sectPr>
          <w:pgSz w:w="11900" w:h="16838" w:orient="portrait"/>
          <w:cols w:equalWidth="0" w:num="1">
            <w:col w:w="11240"/>
          </w:cols>
          <w:pgMar w:left="320" w:top="1428" w:right="3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21"/>
          <w:szCs w:val="21"/>
          <w:color w:val="auto"/>
        </w:rPr>
        <w:t>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spacing w:after="0" w:line="20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The Company may withhold from any payment due to you hereunder any taxes that are required to be withheld under any law, rule or regulation. If any payment otherwise due to you hereunder would result in the imposition of the excise tax imposed by Section 4999 of the Internal Revenue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w:t>
      </w:r>
      <w:r>
        <w:rPr>
          <w:rFonts w:ascii="Arial" w:cs="Arial" w:eastAsia="Arial" w:hAnsi="Arial"/>
          <w:sz w:val="19"/>
          <w:szCs w:val="19"/>
          <w:i w:val="1"/>
          <w:iCs w:val="1"/>
          <w:color w:val="auto"/>
        </w:rPr>
        <w:t>i.e.</w:t>
      </w:r>
      <w:r>
        <w:rPr>
          <w:rFonts w:ascii="Arial" w:cs="Arial" w:eastAsia="Arial" w:hAnsi="Arial"/>
          <w:sz w:val="19"/>
          <w:szCs w:val="19"/>
          <w:color w:val="auto"/>
        </w:rPr>
        <w:t>, later payments will be reduced first) until the reduction specified is achieved.</w:t>
      </w:r>
    </w:p>
    <w:p>
      <w:pPr>
        <w:spacing w:after="0" w:line="181"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 penalties under Section 409A. Neither party shall take any action to accelerate or delay the payment of any monies and/or provision of any benefits that are subject to Section 409A in any manner that would not be in compliance with Section 409A.</w:t>
      </w:r>
    </w:p>
    <w:p>
      <w:pPr>
        <w:spacing w:after="0" w:line="173" w:lineRule="exact"/>
        <w:rPr>
          <w:sz w:val="20"/>
          <w:szCs w:val="20"/>
          <w:color w:val="auto"/>
        </w:rPr>
      </w:pPr>
    </w:p>
    <w:p>
      <w:pPr>
        <w:jc w:val="both"/>
        <w:ind w:firstLine="1296"/>
        <w:spacing w:after="0" w:line="262" w:lineRule="exact"/>
        <w:rPr>
          <w:sz w:val="20"/>
          <w:szCs w:val="20"/>
          <w:color w:val="auto"/>
        </w:rPr>
      </w:pPr>
      <w:r>
        <w:rPr>
          <w:rFonts w:ascii="Arial" w:cs="Arial" w:eastAsia="Arial" w:hAnsi="Arial"/>
          <w:sz w:val="21"/>
          <w:szCs w:val="21"/>
          <w:color w:val="auto"/>
        </w:rPr>
        <w:t>The Company hereby agrees that it shall indemnify and hold you harmless to the fullest extent provided in Article VIII of the Company’s By</w:t>
      </w:r>
      <w:r>
        <w:rPr>
          <w:rFonts w:ascii="MS PGothic" w:cs="MS PGothic" w:eastAsia="MS PGothic" w:hAnsi="MS PGothic"/>
          <w:sz w:val="21"/>
          <w:szCs w:val="21"/>
          <w:color w:val="auto"/>
        </w:rPr>
        <w:t>‑</w:t>
      </w:r>
      <w:r>
        <w:rPr>
          <w:rFonts w:ascii="Arial" w:cs="Arial" w:eastAsia="Arial" w:hAnsi="Arial"/>
          <w:sz w:val="21"/>
          <w:szCs w:val="21"/>
          <w:color w:val="auto"/>
        </w:rPr>
        <w:t>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also apply to your service prior to the Effective Date and shall survive the expiration or termination of your employment and/or this Agreement as well as your execution of the Severance Agreement as provided for herein.</w:t>
      </w:r>
    </w:p>
    <w:p>
      <w:pPr>
        <w:spacing w:after="0" w:line="22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192" w:lineRule="exact"/>
        <w:rPr>
          <w:sz w:val="20"/>
          <w:szCs w:val="20"/>
          <w:color w:val="auto"/>
        </w:rPr>
      </w:pPr>
    </w:p>
    <w:p>
      <w:pPr>
        <w:jc w:val="both"/>
        <w:ind w:firstLine="1093"/>
        <w:spacing w:after="0" w:line="243" w:lineRule="auto"/>
        <w:rPr>
          <w:sz w:val="20"/>
          <w:szCs w:val="20"/>
          <w:color w:val="auto"/>
        </w:rPr>
      </w:pPr>
      <w:r>
        <w:rPr>
          <w:rFonts w:ascii="Arial" w:cs="Arial" w:eastAsia="Arial" w:hAnsi="Arial"/>
          <w:sz w:val="22"/>
          <w:szCs w:val="22"/>
          <w:b w:val="1"/>
          <w:bCs w:val="1"/>
          <w:color w:val="auto"/>
        </w:rPr>
        <w:t>To the extent permitted by law, you hereby waive any and all rights to a jury trial with respect to any claim arising out of or in any way connected with or related to this Agreement, your employment by the Company or the termination of your employment with the Company.</w:t>
      </w:r>
    </w:p>
    <w:p>
      <w:pPr>
        <w:sectPr>
          <w:pgSz w:w="11900" w:h="16838" w:orient="portrait"/>
          <w:cols w:equalWidth="0" w:num="1">
            <w:col w:w="11240"/>
          </w:cols>
          <w:pgMar w:left="320" w:top="1428" w:right="339" w:bottom="1440" w:gutter="0" w:footer="0" w:header="0"/>
        </w:sectPr>
      </w:pPr>
    </w:p>
    <w:bookmarkStart w:id="77" w:name="page78"/>
    <w:bookmarkEnd w:id="77"/>
    <w:p>
      <w:pPr>
        <w:spacing w:after="0" w:line="225" w:lineRule="exact"/>
        <w:rPr>
          <w:sz w:val="20"/>
          <w:szCs w:val="20"/>
          <w:color w:val="auto"/>
        </w:rPr>
      </w:pPr>
    </w:p>
    <w:p>
      <w:pPr>
        <w:jc w:val="both"/>
        <w:ind w:firstLine="1093"/>
        <w:spacing w:after="0" w:line="269" w:lineRule="auto"/>
        <w:rPr>
          <w:sz w:val="20"/>
          <w:szCs w:val="20"/>
          <w:color w:val="auto"/>
        </w:rPr>
      </w:pPr>
      <w:r>
        <w:rPr>
          <w:rFonts w:ascii="Arial" w:cs="Arial" w:eastAsia="Arial" w:hAnsi="Arial"/>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9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You and the Company hereby irrevocably submit to the jurisdiction of the courts of the State of New York and the federal courts of the United States of America located in the State of New York solely in respect of the interpretation and enforcement of the provisions of this Agreement, and you and the Company hereby waive, and agree not to assert, as a defense that you are not subject thereto or that the venue thereof may not be appropriate.</w:t>
      </w:r>
    </w:p>
    <w:p>
      <w:pPr>
        <w:spacing w:after="0" w:line="212"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You and the Company hereby agree that mailing of notice, process or other papers in connection with any such action or proceeding in any manner as may be permitted by law shall be valid and sufficient service thereof if delivered to you at your address set forth above or to the Company at 11 Penn Plaza, New York, NY 10001, respectively, or to such other address as you or the Company may later designate in writing for the receipt of such notices.</w:t>
      </w:r>
    </w:p>
    <w:p>
      <w:pPr>
        <w:spacing w:after="0" w:line="165"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This Agreement may not be amended or modified otherwise than by a written agreement executed by the parties hereto or their respective successors and legal representatives.</w:t>
      </w:r>
    </w:p>
    <w:p>
      <w:pPr>
        <w:spacing w:after="0" w:line="2"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2"/>
          <w:szCs w:val="22"/>
          <w:color w:val="auto"/>
        </w:rPr>
        <w:t>This Agreement may be executed in counterparts, each of which shall be deemed to be an original, and all of which together shall constitute one and the same agreement.</w:t>
      </w:r>
    </w:p>
    <w:p>
      <w:pPr>
        <w:spacing w:after="0" w:line="23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Capitalized terms used in this Agreement, including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attached hereto, shall have the meanings set forth</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2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xml:space="preserve">” 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in each case, any crime involving moral turpitude or any felony.</w:t>
      </w:r>
    </w:p>
    <w:p>
      <w:pPr>
        <w:spacing w:after="0" w:line="21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means that (1) without your consent, (A) your base salary or annual bonus target (as each may be increased from time to time in the Compensation Committee’s discretion) is reduced, (B) your title is diminished, (C) you report to someone other than the Company’s Chief Executive Officer or the Executive Chairman of the Company’s Board of Directors,</w:t>
      </w:r>
    </w:p>
    <w:p>
      <w:pPr>
        <w:spacing w:after="0" w:line="1" w:lineRule="exact"/>
        <w:rPr>
          <w:sz w:val="20"/>
          <w:szCs w:val="20"/>
          <w:color w:val="auto"/>
        </w:rPr>
      </w:pPr>
    </w:p>
    <w:p>
      <w:pPr>
        <w:jc w:val="both"/>
        <w:ind w:firstLine="8"/>
        <w:spacing w:after="0" w:line="251" w:lineRule="auto"/>
        <w:tabs>
          <w:tab w:leader="none" w:pos="381" w:val="left"/>
        </w:tabs>
        <w:numPr>
          <w:ilvl w:val="0"/>
          <w:numId w:val="44"/>
        </w:numPr>
        <w:rPr>
          <w:rFonts w:ascii="Arial" w:cs="Arial" w:eastAsia="Arial" w:hAnsi="Arial"/>
          <w:sz w:val="22"/>
          <w:szCs w:val="22"/>
          <w:color w:val="auto"/>
        </w:rPr>
      </w:pPr>
      <w:r>
        <w:rPr>
          <w:rFonts w:ascii="Arial" w:cs="Arial" w:eastAsia="Arial" w:hAnsi="Arial"/>
          <w:sz w:val="22"/>
          <w:szCs w:val="22"/>
          <w:color w:val="auto"/>
        </w:rPr>
        <w:t>your responsibilities as in effect immediately after the date hereof are thereafter materially diminished, (E) the Company materially breaches its obligations to you under this Agreement or, (F) the Company requires that your principal office be located more than fifty</w:t>
      </w:r>
    </w:p>
    <w:p>
      <w:pPr>
        <w:sectPr>
          <w:pgSz w:w="11900" w:h="16838" w:orient="portrait"/>
          <w:cols w:equalWidth="0" w:num="1">
            <w:col w:w="11240"/>
          </w:cols>
          <w:pgMar w:left="320" w:top="1440" w:right="339" w:bottom="1440" w:gutter="0" w:footer="0" w:header="0"/>
        </w:sectPr>
      </w:pPr>
    </w:p>
    <w:bookmarkStart w:id="78" w:name="page79"/>
    <w:bookmarkEnd w:id="78"/>
    <w:p>
      <w:pPr>
        <w:jc w:val="both"/>
        <w:ind w:firstLine="8"/>
        <w:spacing w:after="0" w:line="254" w:lineRule="auto"/>
        <w:tabs>
          <w:tab w:leader="none" w:pos="415"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miles from Manhattan, (2) you have given the Company written notice, referring specifically to this letter and definition, that you do not consent to such action, (3) the Company has not corrected such action within 30 days of receiving such notice,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(4) you voluntarily terminate your employment with the Company within 90 days following the happening of the action described in subsection (1) above.</w:t>
      </w:r>
    </w:p>
    <w:p>
      <w:pPr>
        <w:spacing w:after="0" w:line="212" w:lineRule="exact"/>
        <w:rPr>
          <w:sz w:val="20"/>
          <w:szCs w:val="20"/>
          <w:color w:val="auto"/>
        </w:rPr>
      </w:pPr>
    </w:p>
    <w:p>
      <w:pPr>
        <w:ind w:right="120" w:firstLine="648"/>
        <w:spacing w:after="0" w:line="262" w:lineRule="auto"/>
        <w:rPr>
          <w:sz w:val="20"/>
          <w:szCs w:val="20"/>
          <w:color w:val="auto"/>
        </w:rPr>
      </w:pPr>
      <w:r>
        <w:rPr>
          <w:rFonts w:ascii="Arial" w:cs="Arial" w:eastAsia="Arial" w:hAnsi="Arial"/>
          <w:sz w:val="21"/>
          <w:szCs w:val="21"/>
          <w:color w:val="auto"/>
        </w:rPr>
        <w:t>It is the parties’ intention that this Agreement not be construed more strictly with regard to you or the Company. This Agreement (together with your outstanding grant agreements under the Company’s long-term equity and other incentive programs) reflects the entire understanding and agreement of you and the Company with respect to the subject matter hereof and supersedes all prior understandings and agreements, including, as of the Effective Date, the Employment Agreement dated October 12, 2018 between you and the Company; provided, however, no provision in this Agreement shall be construed to adversely affect any of your rights to compensation, expense reimbursement or benefits accrued as of the Effective Date with respect to your service with the Company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428" w:right="339" w:bottom="1440" w:gutter="0" w:footer="0" w:header="0"/>
        </w:sectPr>
      </w:pPr>
    </w:p>
    <w:bookmarkStart w:id="79" w:name="page80"/>
    <w:bookmarkEnd w:id="79"/>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24130</wp:posOffset>
            </wp:positionV>
            <wp:extent cx="23228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8"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Christina Spade</w:t>
      </w:r>
    </w:p>
    <w:p>
      <w:pPr>
        <w:spacing w:after="0" w:line="44"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/s/ James Gallagher</w:t>
            </w:r>
          </w:p>
        </w:tc>
      </w:tr>
      <w:tr>
        <w:trPr>
          <w:trHeight w:val="280"/>
        </w:trPr>
        <w:tc>
          <w:tcPr>
            <w:tcW w:w="70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2800" w:type="dxa"/>
            <w:vAlign w:val="bottom"/>
          </w:tcPr>
          <w:p>
            <w:pPr>
              <w:ind w:left="240"/>
              <w:spacing w:after="0"/>
              <w:rPr>
                <w:sz w:val="20"/>
                <w:szCs w:val="20"/>
                <w:color w:val="auto"/>
              </w:rPr>
            </w:pPr>
            <w:r>
              <w:rPr>
                <w:rFonts w:ascii="Arial" w:cs="Arial" w:eastAsia="Arial" w:hAnsi="Arial"/>
                <w:sz w:val="22"/>
                <w:szCs w:val="22"/>
                <w:color w:val="auto"/>
              </w:rPr>
              <w:t>James Gallagher</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Date: October 19, 2022</w:t>
      </w:r>
    </w:p>
    <w:p>
      <w:pPr>
        <w:sectPr>
          <w:pgSz w:w="11900" w:h="16838" w:orient="portrait"/>
          <w:cols w:equalWidth="0" w:num="1">
            <w:col w:w="10139"/>
          </w:cols>
          <w:pgMar w:left="320" w:top="1440"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i w:val="1"/>
          <w:iCs w:val="1"/>
          <w:color w:val="auto"/>
        </w:rPr>
        <w:t>ANNEX I</w:t>
      </w:r>
    </w:p>
    <w:p>
      <w:pPr>
        <w:spacing w:after="0" w:line="247"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constitutes part of the Agreement, dated October 19, 2022, by and between James G. Gallagher (“</w:t>
      </w:r>
      <w:r>
        <w:rPr>
          <w:rFonts w:ascii="Arial" w:cs="Arial" w:eastAsia="Arial" w:hAnsi="Arial"/>
          <w:sz w:val="19"/>
          <w:szCs w:val="19"/>
          <w:i w:val="1"/>
          <w:iCs w:val="1"/>
          <w:color w:val="auto"/>
        </w:rPr>
        <w:t>You</w:t>
      </w:r>
      <w:r>
        <w:rPr>
          <w:rFonts w:ascii="Arial" w:cs="Arial" w:eastAsia="Arial" w:hAnsi="Arial"/>
          <w:sz w:val="19"/>
          <w:szCs w:val="19"/>
          <w:color w:val="auto"/>
        </w:rPr>
        <w:t>”) and AMC Networks Inc. (the “</w:t>
      </w:r>
      <w:r>
        <w:rPr>
          <w:rFonts w:ascii="Arial" w:cs="Arial" w:eastAsia="Arial" w:hAnsi="Arial"/>
          <w:sz w:val="19"/>
          <w:szCs w:val="19"/>
          <w:i w:val="1"/>
          <w:iCs w:val="1"/>
          <w:color w:val="auto"/>
        </w:rPr>
        <w:t>Company</w:t>
      </w:r>
      <w:r>
        <w:rPr>
          <w:rFonts w:ascii="Arial" w:cs="Arial" w:eastAsia="Arial" w:hAnsi="Arial"/>
          <w:sz w:val="19"/>
          <w:szCs w:val="19"/>
          <w:color w:val="auto"/>
        </w:rPr>
        <w:t xml:space="preserve">”). Terms defined in the Agreement shall have the same meanings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241"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52" w:lineRule="exact"/>
        <w:rPr>
          <w:rFonts w:ascii="Arial" w:cs="Arial" w:eastAsia="Arial" w:hAnsi="Arial"/>
          <w:sz w:val="22"/>
          <w:szCs w:val="22"/>
          <w:b w:val="1"/>
          <w:bCs w:val="1"/>
          <w:color w:val="auto"/>
        </w:rPr>
      </w:pPr>
    </w:p>
    <w:p>
      <w:pPr>
        <w:jc w:val="both"/>
        <w:ind w:firstLine="1304"/>
        <w:spacing w:after="0" w:line="261" w:lineRule="auto"/>
        <w:tabs>
          <w:tab w:leader="none" w:pos="1581"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You agree to keep the existence and terms of this Agreement confidential (unless it is made public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spacing w:after="0" w:line="207" w:lineRule="exact"/>
        <w:rPr>
          <w:rFonts w:ascii="Arial" w:cs="Arial" w:eastAsia="Arial" w:hAnsi="Arial"/>
          <w:sz w:val="21"/>
          <w:szCs w:val="21"/>
          <w:color w:val="auto"/>
        </w:rPr>
      </w:pPr>
    </w:p>
    <w:p>
      <w:pPr>
        <w:jc w:val="both"/>
        <w:ind w:firstLine="1304"/>
        <w:spacing w:after="0" w:line="288" w:lineRule="auto"/>
        <w:tabs>
          <w:tab w:leader="none" w:pos="1593"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Arial" w:cs="Arial" w:eastAsia="Arial" w:hAnsi="Arial"/>
          <w:sz w:val="19"/>
          <w:szCs w:val="19"/>
          <w:i w:val="1"/>
          <w:iCs w:val="1"/>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ectPr>
          <w:pgSz w:w="11900" w:h="16838" w:orient="portrait"/>
          <w:cols w:equalWidth="0" w:num="1">
            <w:col w:w="11240"/>
          </w:cols>
          <w:pgMar w:left="320" w:top="1428" w:right="339" w:bottom="1440" w:gutter="0" w:footer="0" w:header="0"/>
        </w:sectPr>
      </w:pPr>
    </w:p>
    <w:bookmarkStart w:id="81" w:name="page82"/>
    <w:bookmarkEnd w:id="81"/>
    <w:p>
      <w:pPr>
        <w:jc w:val="both"/>
        <w:ind w:firstLine="1304"/>
        <w:spacing w:after="0" w:line="253" w:lineRule="auto"/>
        <w:tabs>
          <w:tab w:leader="none" w:pos="1635"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Exception for Disclosure Pursuant to Law</w:t>
      </w:r>
      <w:r>
        <w:rPr>
          <w:rFonts w:ascii="Arial" w:cs="Arial" w:eastAsia="Arial" w:hAnsi="Arial"/>
          <w:sz w:val="22"/>
          <w:szCs w:val="22"/>
          <w:color w:val="auto"/>
        </w:rPr>
        <w:t>. Notwithstanding the foregoing, the obligations set forth in subsection (b) above, other than with respect to subscriber or customer information, shall not apply to Confidential Information that is:</w:t>
      </w:r>
    </w:p>
    <w:p>
      <w:pPr>
        <w:spacing w:after="0" w:line="306" w:lineRule="exact"/>
        <w:rPr>
          <w:rFonts w:ascii="Arial" w:cs="Arial" w:eastAsia="Arial" w:hAnsi="Arial"/>
          <w:sz w:val="22"/>
          <w:szCs w:val="22"/>
          <w:color w:val="auto"/>
        </w:rPr>
      </w:pPr>
    </w:p>
    <w:p>
      <w:pPr>
        <w:ind w:left="900" w:hanging="874"/>
        <w:spacing w:after="0"/>
        <w:tabs>
          <w:tab w:leader="none" w:pos="9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165" w:lineRule="exact"/>
        <w:rPr>
          <w:rFonts w:ascii="Arial" w:cs="Arial" w:eastAsia="Arial" w:hAnsi="Arial"/>
          <w:sz w:val="22"/>
          <w:szCs w:val="22"/>
          <w:color w:val="auto"/>
        </w:rPr>
      </w:pPr>
    </w:p>
    <w:p>
      <w:pPr>
        <w:ind w:left="900" w:hanging="874"/>
        <w:spacing w:after="0"/>
        <w:tabs>
          <w:tab w:leader="none" w:pos="9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disclosed to you by a third party with the right to disclose it in good faith; or</w:t>
      </w:r>
    </w:p>
    <w:p>
      <w:pPr>
        <w:spacing w:after="0" w:line="179" w:lineRule="exact"/>
        <w:rPr>
          <w:rFonts w:ascii="Arial" w:cs="Arial" w:eastAsia="Arial" w:hAnsi="Arial"/>
          <w:sz w:val="22"/>
          <w:szCs w:val="22"/>
          <w:color w:val="auto"/>
        </w:rPr>
      </w:pPr>
    </w:p>
    <w:p>
      <w:pPr>
        <w:ind w:left="900" w:hanging="874"/>
        <w:spacing w:after="0"/>
        <w:tabs>
          <w:tab w:leader="none" w:pos="9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specifically exempted in writing by the applicable Covered Party from the applicability of this Agreement.</w:t>
      </w:r>
    </w:p>
    <w:p>
      <w:pPr>
        <w:spacing w:after="0" w:line="125"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212" w:lineRule="exact"/>
        <w:rPr>
          <w:sz w:val="20"/>
          <w:szCs w:val="20"/>
          <w:color w:val="auto"/>
        </w:rPr>
      </w:pPr>
    </w:p>
    <w:p>
      <w:pPr>
        <w:ind w:right="60" w:firstLine="1296"/>
        <w:spacing w:after="0" w:line="294" w:lineRule="auto"/>
        <w:rPr>
          <w:sz w:val="20"/>
          <w:szCs w:val="20"/>
          <w:color w:val="auto"/>
        </w:rPr>
      </w:pPr>
      <w:r>
        <w:rPr>
          <w:rFonts w:ascii="Arial" w:cs="Arial" w:eastAsia="Arial" w:hAnsi="Arial"/>
          <w:sz w:val="19"/>
          <w:szCs w:val="19"/>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Non-Compete</w:t>
      </w:r>
    </w:p>
    <w:p>
      <w:pPr>
        <w:spacing w:after="0" w:line="2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and to the extent permissible under applicable rules of professional responsibility, you will not represent, become employed by, consult to, advise in any manner or have any material interest, directly or indirectly, in any Competitive Entity (as defined below). A “</w:t>
      </w:r>
      <w:r>
        <w:rPr>
          <w:rFonts w:ascii="Arial" w:cs="Arial" w:eastAsia="Arial" w:hAnsi="Arial"/>
          <w:sz w:val="21"/>
          <w:szCs w:val="21"/>
          <w:i w:val="1"/>
          <w:iCs w:val="1"/>
          <w:color w:val="auto"/>
        </w:rPr>
        <w:t>Competitive Entity</w:t>
      </w:r>
      <w:r>
        <w:rPr>
          <w:rFonts w:ascii="Arial" w:cs="Arial" w:eastAsia="Arial" w:hAnsi="Arial"/>
          <w:sz w:val="21"/>
          <w:szCs w:val="21"/>
          <w:color w:val="auto"/>
        </w:rPr>
        <w:t>” 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 avoidance of doubt, this agreement not to compete will expire on the Expiration Date if the termination of your employment with the Company occurs on the Expiration Date.</w:t>
      </w:r>
    </w:p>
    <w:p>
      <w:pPr>
        <w:sectPr>
          <w:pgSz w:w="11900" w:h="16838" w:orient="portrait"/>
          <w:cols w:equalWidth="0" w:num="1">
            <w:col w:w="11240"/>
          </w:cols>
          <w:pgMar w:left="320" w:top="1428" w:right="339" w:bottom="1440" w:gutter="0" w:footer="0" w:header="0"/>
        </w:sectPr>
      </w:pPr>
    </w:p>
    <w:bookmarkStart w:id="82" w:name="page83"/>
    <w:bookmarkEnd w:id="82"/>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Additional Understandings</w:t>
      </w:r>
    </w:p>
    <w:p>
      <w:pPr>
        <w:spacing w:after="0" w:line="25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21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This Agreement in no way restricts or prevents you from providing truthful testimony concerning the Company or its affiliates (i) as required by court order or other legal process;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you afford the Company written notice and an opportunity to respond prior to such disclosure; or (ii) in proceedings to enforce or defend your rights under this Agreement or any other written agreement between you and the Company or its affiliates</w:t>
      </w:r>
    </w:p>
    <w:p>
      <w:pPr>
        <w:spacing w:after="0" w:line="21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Arial" w:cs="Arial" w:eastAsia="Arial" w:hAnsi="Arial"/>
          <w:sz w:val="21"/>
          <w:szCs w:val="21"/>
          <w:i w:val="1"/>
          <w:iCs w:val="1"/>
          <w:color w:val="auto"/>
        </w:rPr>
        <w:t>Materials</w:t>
      </w:r>
      <w:r>
        <w:rPr>
          <w:rFonts w:ascii="Arial" w:cs="Arial" w:eastAsia="Arial" w:hAnsi="Arial"/>
          <w:sz w:val="21"/>
          <w:szCs w:val="21"/>
          <w:color w:val="auto"/>
        </w:rPr>
        <w:t>”). The Company will have the sole and exclusive authority to use the Materials in any manner that it deems appropriate, in perpetuity, without additional payment to you.</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Further Cooperation</w:t>
      </w:r>
    </w:p>
    <w:p>
      <w:pPr>
        <w:spacing w:after="0" w:line="25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$6,800.00 per day for each day or part thereof, within 30 days of the approval of the invoice thereof.</w:t>
      </w:r>
    </w:p>
    <w:p>
      <w:pPr>
        <w:spacing w:after="0" w:line="18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w:t>
      </w:r>
    </w:p>
    <w:p>
      <w:pPr>
        <w:sectPr>
          <w:pgSz w:w="11900" w:h="16838" w:orient="portrait"/>
          <w:cols w:equalWidth="0" w:num="1">
            <w:col w:w="11240"/>
          </w:cols>
          <w:pgMar w:left="320" w:top="1440" w:right="3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expenses. You agree to provide the Company with an estimate of any such expense before it is incurred.</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No Hire or Solicit</w:t>
      </w:r>
    </w:p>
    <w:p>
      <w:pPr>
        <w:spacing w:after="0" w:line="25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For the term of the Agreement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restriction does not apply to any employee who was discharged by the Company or any of its affiliates. In addition, this restriction will not prevent you from providing references.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Acknowledgments</w:t>
      </w:r>
    </w:p>
    <w:p>
      <w:pPr>
        <w:spacing w:after="0" w:line="25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You acknowledge that the restrictions contained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raise the defense that the Company has an adequate remedy at law. Nothing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construed as prohibiting the Company from pursuing any other remedies at law or in equity that it may have or any other rights that it may have under any other agreement. If it is determined that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Survival</w:t>
      </w:r>
    </w:p>
    <w:p>
      <w:pPr>
        <w:spacing w:after="0" w:line="2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The covenants and agreement set forth in this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survive any termination or expiration of this Agreement and any termination of your employment with the Company, in accordance with their respective terms.</w:t>
      </w:r>
    </w:p>
    <w:p>
      <w:pPr>
        <w:sectPr>
          <w:pgSz w:w="11900" w:h="16838" w:orient="portrait"/>
          <w:cols w:equalWidth="0" w:num="1">
            <w:col w:w="11240"/>
          </w:cols>
          <w:pgMar w:left="320" w:top="1428"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ind w:left="1240"/>
              <w:spacing w:after="0"/>
              <w:rPr>
                <w:sz w:val="20"/>
                <w:szCs w:val="20"/>
                <w:color w:val="auto"/>
              </w:rPr>
            </w:pPr>
            <w:r>
              <w:rPr>
                <w:rFonts w:ascii="Arial" w:cs="Arial" w:eastAsia="Arial" w:hAnsi="Arial"/>
                <w:sz w:val="18"/>
                <w:szCs w:val="18"/>
                <w:color w:val="auto"/>
                <w:w w:val="93"/>
              </w:rPr>
              <w:t>Exhibit 22</w:t>
            </w:r>
          </w:p>
        </w:tc>
      </w:tr>
      <w:tr>
        <w:trPr>
          <w:trHeight w:val="810"/>
        </w:trPr>
        <w:tc>
          <w:tcPr>
            <w:tcW w:w="9240" w:type="dxa"/>
            <w:vAlign w:val="bottom"/>
            <w:gridSpan w:val="3"/>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00" w:type="dxa"/>
            <w:vAlign w:val="bottom"/>
          </w:tcPr>
          <w:p>
            <w:pPr>
              <w:spacing w:after="0"/>
              <w:rPr>
                <w:sz w:val="24"/>
                <w:szCs w:val="24"/>
                <w:color w:val="auto"/>
              </w:rPr>
            </w:pPr>
          </w:p>
        </w:tc>
      </w:tr>
      <w:tr>
        <w:trPr>
          <w:trHeight w:val="270"/>
        </w:trPr>
        <w:tc>
          <w:tcPr>
            <w:tcW w:w="9240" w:type="dxa"/>
            <w:vAlign w:val="bottom"/>
            <w:gridSpan w:val="3"/>
          </w:tcPr>
          <w:p>
            <w:pPr>
              <w:spacing w:after="0"/>
              <w:rPr>
                <w:sz w:val="20"/>
                <w:szCs w:val="20"/>
                <w:color w:val="auto"/>
              </w:rPr>
            </w:pPr>
            <w:r>
              <w:rPr>
                <w:rFonts w:ascii="Arial" w:cs="Arial" w:eastAsia="Arial" w:hAnsi="Arial"/>
                <w:sz w:val="18"/>
                <w:szCs w:val="18"/>
                <w:color w:val="auto"/>
                <w:w w:val="91"/>
              </w:rPr>
              <w:t>As of September 30, 2022, the following subsidiaries of AMC Networks Inc. guarantee the notes issued by AMC Networks Inc.</w:t>
            </w:r>
          </w:p>
        </w:tc>
        <w:tc>
          <w:tcPr>
            <w:tcW w:w="2000" w:type="dxa"/>
            <w:vAlign w:val="bottom"/>
          </w:tcPr>
          <w:p>
            <w:pPr>
              <w:spacing w:after="0"/>
              <w:rPr>
                <w:sz w:val="23"/>
                <w:szCs w:val="23"/>
                <w:color w:val="auto"/>
              </w:rPr>
            </w:pPr>
          </w:p>
        </w:tc>
      </w:tr>
      <w:tr>
        <w:trPr>
          <w:trHeight w:val="240"/>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61st Street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Across the River Productions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Aesir Media Group, LLC</w:t>
            </w:r>
          </w:p>
        </w:tc>
        <w:tc>
          <w:tcPr>
            <w:tcW w:w="2000" w:type="dxa"/>
            <w:vAlign w:val="bottom"/>
          </w:tcPr>
          <w:p>
            <w:pPr>
              <w:spacing w:after="0"/>
              <w:rPr>
                <w:sz w:val="20"/>
                <w:szCs w:val="20"/>
                <w:color w:val="auto"/>
              </w:rPr>
            </w:pPr>
            <w:r>
              <w:rPr>
                <w:rFonts w:ascii="Arial" w:cs="Arial" w:eastAsia="Arial" w:hAnsi="Arial"/>
                <w:sz w:val="16"/>
                <w:szCs w:val="16"/>
                <w:color w:val="auto"/>
              </w:rPr>
              <w:t>Texas</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 Games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Network Entertainment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New York</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00" w:type="dxa"/>
            <w:vAlign w:val="bottom"/>
          </w:tcPr>
          <w:p>
            <w:pPr>
              <w:spacing w:after="0"/>
              <w:rPr>
                <w:sz w:val="20"/>
                <w:szCs w:val="20"/>
                <w:color w:val="auto"/>
              </w:rPr>
            </w:pPr>
            <w:r>
              <w:rPr>
                <w:rFonts w:ascii="Arial" w:cs="Arial" w:eastAsia="Arial" w:hAnsi="Arial"/>
                <w:sz w:val="16"/>
                <w:szCs w:val="16"/>
                <w:color w:val="auto"/>
              </w:rPr>
              <w:t>New York</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Networks International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 Networks Productions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Plus Holdings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 Premiere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TV Studios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AMCN Properties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Animal Control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Anime Network LLC</w:t>
            </w:r>
          </w:p>
        </w:tc>
        <w:tc>
          <w:tcPr>
            <w:tcW w:w="2000" w:type="dxa"/>
            <w:vAlign w:val="bottom"/>
          </w:tcPr>
          <w:p>
            <w:pPr>
              <w:spacing w:after="0"/>
              <w:rPr>
                <w:sz w:val="20"/>
                <w:szCs w:val="20"/>
                <w:color w:val="auto"/>
              </w:rPr>
            </w:pPr>
            <w:r>
              <w:rPr>
                <w:rFonts w:ascii="Arial" w:cs="Arial" w:eastAsia="Arial" w:hAnsi="Arial"/>
                <w:sz w:val="16"/>
                <w:szCs w:val="16"/>
                <w:color w:val="auto"/>
              </w:rPr>
              <w:t>Texas</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Anthem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Badlands Productions I LLC</w:t>
            </w:r>
          </w:p>
        </w:tc>
        <w:tc>
          <w:tcPr>
            <w:tcW w:w="2000" w:type="dxa"/>
            <w:vAlign w:val="bottom"/>
          </w:tcPr>
          <w:p>
            <w:pPr>
              <w:spacing w:after="0"/>
              <w:rPr>
                <w:sz w:val="20"/>
                <w:szCs w:val="20"/>
                <w:color w:val="auto"/>
              </w:rPr>
            </w:pPr>
            <w:r>
              <w:rPr>
                <w:rFonts w:ascii="Arial" w:cs="Arial" w:eastAsia="Arial" w:hAnsi="Arial"/>
                <w:sz w:val="16"/>
                <w:szCs w:val="16"/>
                <w:color w:val="auto"/>
              </w:rPr>
              <w:t>Louisiana</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Badlands Productions II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Brockmire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Cobalt Productions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Comic Scribe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Crossed Pens Development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Dark Winds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Digital Store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Dispatches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Expedition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Five Families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Five Moons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Geese Productions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Ground Work Productions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Halt and Catch Fire Productions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Hap and Leonard Productions II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Hap and Leonard Productions III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HIDIVE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Entertainment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Entertainment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Films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In Theaters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Television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Theatres,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TV Studios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Infinite Frontiers,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Japan Creative Contents Alliance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Kindred Spirit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Kopus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Kopus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Lodge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Mechanical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Moonhaven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Newfound Lake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NOS4A2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Rhode Island</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Peach Pit Properties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Peachwood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Premier Quills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Film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Media Enterprises, Inc.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Red Monday Programming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RNC Holding Corporation</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RNC II Holding Corporation</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Roughhouse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Selects VOD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Sentai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Texas</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Sentai Filmworks,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Shudder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Stalwart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Stan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 Film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Sxion 23,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Tales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X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Unio Mystica Holding,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Universe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Vampire Chronicles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Studios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Woodbury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Christina Spade, certify that:</w:t>
      </w:r>
    </w:p>
    <w:p>
      <w:pPr>
        <w:spacing w:after="0" w:line="17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November 4, 2022</w:t>
            </w:r>
          </w:p>
        </w:tc>
        <w:tc>
          <w:tcPr>
            <w:tcW w:w="6180" w:type="dxa"/>
            <w:vAlign w:val="bottom"/>
            <w:gridSpan w:val="2"/>
          </w:tcPr>
          <w:p>
            <w:pPr>
              <w:ind w:left="2320"/>
              <w:spacing w:after="0"/>
              <w:rPr>
                <w:sz w:val="20"/>
                <w:szCs w:val="20"/>
                <w:color w:val="auto"/>
              </w:rPr>
            </w:pPr>
            <w:r>
              <w:rPr>
                <w:rFonts w:ascii="Arial" w:cs="Arial" w:eastAsia="Arial" w:hAnsi="Arial"/>
                <w:sz w:val="18"/>
                <w:szCs w:val="18"/>
                <w:color w:val="auto"/>
              </w:rPr>
              <w:t>By:  /s/ Christina Spade</w:t>
            </w:r>
          </w:p>
        </w:tc>
      </w:tr>
      <w:tr>
        <w:trPr>
          <w:trHeight w:val="222"/>
        </w:trPr>
        <w:tc>
          <w:tcPr>
            <w:tcW w:w="42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230"/>
        </w:trPr>
        <w:tc>
          <w:tcPr>
            <w:tcW w:w="4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Patrick O’Connell, certify that:</w:t>
      </w:r>
    </w:p>
    <w:p>
      <w:pPr>
        <w:spacing w:after="0" w:line="17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November 4, 2022</w:t>
            </w:r>
          </w:p>
        </w:tc>
        <w:tc>
          <w:tcPr>
            <w:tcW w:w="5880" w:type="dxa"/>
            <w:vAlign w:val="bottom"/>
            <w:gridSpan w:val="2"/>
          </w:tcPr>
          <w:p>
            <w:pPr>
              <w:ind w:left="2320"/>
              <w:spacing w:after="0"/>
              <w:rPr>
                <w:sz w:val="20"/>
                <w:szCs w:val="20"/>
                <w:color w:val="auto"/>
              </w:rPr>
            </w:pPr>
            <w:r>
              <w:rPr>
                <w:rFonts w:ascii="Arial" w:cs="Arial" w:eastAsia="Arial" w:hAnsi="Arial"/>
                <w:sz w:val="18"/>
                <w:szCs w:val="18"/>
                <w:color w:val="auto"/>
              </w:rPr>
              <w:t>By:  /s/ Patrick O’Connell</w:t>
            </w:r>
          </w:p>
        </w:tc>
      </w:tr>
      <w:tr>
        <w:trPr>
          <w:trHeight w:val="222"/>
        </w:trPr>
        <w:tc>
          <w:tcPr>
            <w:tcW w:w="42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Patrick O’Connell</w:t>
            </w:r>
          </w:p>
        </w:tc>
      </w:tr>
      <w:tr>
        <w:trPr>
          <w:trHeight w:val="176"/>
        </w:trPr>
        <w:tc>
          <w:tcPr>
            <w:tcW w:w="4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w:t>
            </w:r>
          </w:p>
        </w:tc>
      </w:tr>
      <w:tr>
        <w:trPr>
          <w:trHeight w:val="230"/>
        </w:trPr>
        <w:tc>
          <w:tcPr>
            <w:tcW w:w="4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September 30, 2022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November 4, 2022</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Spade</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Christina Spade</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20"/>
              <w:spacing w:after="0"/>
              <w:rPr>
                <w:sz w:val="20"/>
                <w:szCs w:val="20"/>
                <w:color w:val="auto"/>
              </w:rPr>
            </w:pPr>
            <w:r>
              <w:rPr>
                <w:rFonts w:ascii="Arial" w:cs="Arial" w:eastAsia="Arial" w:hAnsi="Arial"/>
                <w:sz w:val="18"/>
                <w:szCs w:val="18"/>
                <w:color w:val="auto"/>
              </w:rPr>
              <w:t>November 4, 2022</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O’Connell</w:t>
            </w:r>
          </w:p>
        </w:tc>
        <w:tc>
          <w:tcPr>
            <w:tcW w:w="20" w:type="dxa"/>
            <w:vAlign w:val="bottom"/>
            <w:tcBorders>
              <w:bottom w:val="single" w:sz="8" w:color="auto"/>
            </w:tcBorders>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Patrick O’Connell</w:t>
            </w:r>
          </w:p>
        </w:tc>
        <w:tc>
          <w:tcPr>
            <w:tcW w:w="20" w:type="dxa"/>
            <w:vAlign w:val="bottom"/>
          </w:tcPr>
          <w:p>
            <w:pPr>
              <w:spacing w:after="0"/>
              <w:rPr>
                <w:sz w:val="19"/>
                <w:szCs w:val="19"/>
                <w:color w:val="auto"/>
              </w:rPr>
            </w:pPr>
          </w:p>
        </w:tc>
      </w:tr>
      <w:tr>
        <w:trPr>
          <w:trHeight w:val="176"/>
        </w:trPr>
        <w:tc>
          <w:tcPr>
            <w:tcW w:w="5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c>
          <w:tcPr>
            <w:tcW w:w="2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2"/>
      <w:numFmt w:val="bullet"/>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decimal"/>
      <w:start w:val="22"/>
    </w:lvl>
  </w:abstractNum>
  <w:abstractNum w:abstractNumId="16">
    <w:nsid w:val="3006C83E"/>
    <w:multiLevelType w:val="hybridMultilevel"/>
    <w:lvl w:ilvl="0">
      <w:lvlJc w:val="left"/>
      <w:lvlText w:val="%1"/>
      <w:numFmt w:val="decimal"/>
      <w:start w:val="32"/>
    </w:lvl>
  </w:abstractNum>
  <w:abstractNum w:abstractNumId="17">
    <w:nsid w:val="614FD4A1"/>
    <w:multiLevelType w:val="hybridMultilevel"/>
    <w:lvl w:ilvl="0">
      <w:lvlJc w:val="left"/>
      <w:lvlText w:val="%1"/>
      <w:numFmt w:val="decimal"/>
      <w:start w:val="104"/>
    </w:lvl>
  </w:abstractNum>
  <w:abstractNum w:abstractNumId="18">
    <w:nsid w:val="419AC241"/>
    <w:multiLevelType w:val="hybridMultilevel"/>
    <w:lvl w:ilvl="0">
      <w:lvlJc w:val="left"/>
      <w:lvlText w:val="(%1)"/>
      <w:numFmt w:val="decimal"/>
      <w:start w:val="30"/>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21">
    <w:nsid w:val="5072367"/>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4"/>
    </w:lvl>
  </w:abstractNum>
  <w:abstractNum w:abstractNumId="22">
    <w:nsid w:val="3804823E"/>
    <w:multiLevelType w:val="hybridMultilevel"/>
    <w:lvl w:ilvl="0">
      <w:lvlJc w:val="left"/>
      <w:lvlText w:val="%1"/>
      <w:numFmt w:val="lowerLetter"/>
      <w:start w:val="1"/>
    </w:lvl>
    <w:lvl w:ilvl="1">
      <w:lvlJc w:val="left"/>
      <w:lvlText w:val="1"/>
      <w:numFmt w:val="bullet"/>
      <w:start w:val="1"/>
    </w:lvl>
    <w:lvl w:ilvl="2">
      <w:lvlJc w:val="left"/>
      <w:lvlText w:val="(%3)"/>
      <w:numFmt w:val="lowerLetter"/>
      <w:start w:val="1"/>
    </w:lvl>
  </w:abstractNum>
  <w:abstractNum w:abstractNumId="23">
    <w:nsid w:val="77465F01"/>
    <w:multiLevelType w:val="hybridMultilevel"/>
    <w:lvl w:ilvl="0">
      <w:lvlJc w:val="left"/>
      <w:lvlText w:val="(%1)"/>
      <w:numFmt w:val="lowerLetter"/>
      <w:start w:val="61"/>
    </w:lvl>
    <w:lvl w:ilvl="1">
      <w:lvlJc w:val="left"/>
      <w:lvlText w:val="1"/>
      <w:numFmt w:val="bullet"/>
      <w:start w:val="1"/>
    </w:lvl>
    <w:lvl w:ilvl="2">
      <w:lvlJc w:val="left"/>
      <w:lvlText w:val="%3"/>
      <w:numFmt w:val="lowerLetter"/>
      <w:start w:val="1"/>
    </w:lvl>
  </w:abstractNum>
  <w:abstractNum w:abstractNumId="24">
    <w:nsid w:val="7724C67E"/>
    <w:multiLevelType w:val="hybridMultilevel"/>
    <w:lvl w:ilvl="0">
      <w:lvlJc w:val="left"/>
      <w:lvlText w:val="%1"/>
      <w:numFmt w:val="decimal"/>
      <w:start w:val="1"/>
    </w:lvl>
    <w:lvl w:ilvl="1">
      <w:lvlJc w:val="left"/>
      <w:lvlText w:val="(%2)"/>
      <w:numFmt w:val="lowerLetter"/>
      <w:start w:val="3"/>
    </w:lvl>
  </w:abstractNum>
  <w:abstractNum w:abstractNumId="25">
    <w:nsid w:val="5C482A97"/>
    <w:multiLevelType w:val="hybridMultilevel"/>
    <w:lvl w:ilvl="0">
      <w:lvlJc w:val="left"/>
      <w:lvlText w:val="%1)"/>
      <w:numFmt w:val="decimal"/>
      <w:start w:val="1"/>
    </w:lvl>
    <w:lvl w:ilvl="1">
      <w:lvlJc w:val="left"/>
      <w:lvlText w:val="%2"/>
      <w:numFmt w:val="lowerLetter"/>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4"/>
    </w:lvl>
  </w:abstractNum>
  <w:abstractNum w:abstractNumId="29">
    <w:nsid w:val="2D517796"/>
    <w:multiLevelType w:val="hybridMultilevel"/>
    <w:lvl w:ilvl="0">
      <w:lvlJc w:val="left"/>
      <w:lvlText w:val="(%1)"/>
      <w:numFmt w:val="lowerRoman"/>
      <w:start w:val="2"/>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3"/>
    </w:lvl>
    <w:lvl w:ilvl="1">
      <w:lvlJc w:val="left"/>
      <w:lvlText w:val="%2)"/>
      <w:numFmt w:val="decimal"/>
      <w:start w:val="1"/>
    </w:lvl>
  </w:abstractNum>
  <w:abstractNum w:abstractNumId="32">
    <w:nsid w:val="3855585C"/>
    <w:multiLevelType w:val="hybridMultilevel"/>
    <w:lvl w:ilvl="0">
      <w:lvlJc w:val="left"/>
      <w:lvlText w:val="%1."/>
      <w:numFmt w:val="decimal"/>
      <w:start w:val="2"/>
    </w:lvl>
  </w:abstractNum>
  <w:abstractNum w:abstractNumId="33">
    <w:nsid w:val="70A64E2A"/>
    <w:multiLevelType w:val="hybridMultilevel"/>
    <w:lvl w:ilvl="0">
      <w:lvlJc w:val="left"/>
      <w:lvlText w:val="%1."/>
      <w:numFmt w:val="decimal"/>
      <w:start w:val="3"/>
    </w:lvl>
  </w:abstractNum>
  <w:abstractNum w:abstractNumId="34">
    <w:nsid w:val="6A2342EC"/>
    <w:multiLevelType w:val="hybridMultilevel"/>
    <w:lvl w:ilvl="0">
      <w:lvlJc w:val="left"/>
      <w:lvlText w:val="%1."/>
      <w:numFmt w:val="decimal"/>
      <w:start w:val="4"/>
    </w:lvl>
  </w:abstractNum>
  <w:abstractNum w:abstractNumId="35">
    <w:nsid w:val="2A487CB0"/>
    <w:multiLevelType w:val="hybridMultilevel"/>
    <w:lvl w:ilvl="0">
      <w:lvlJc w:val="left"/>
      <w:lvlText w:val="%1."/>
      <w:numFmt w:val="decimal"/>
      <w:start w:val="5"/>
    </w:lvl>
  </w:abstractNum>
  <w:abstractNum w:abstractNumId="36">
    <w:nsid w:val="1D4ED43B"/>
    <w:multiLevelType w:val="hybridMultilevel"/>
    <w:lvl w:ilvl="0">
      <w:lvlJc w:val="left"/>
      <w:lvlText w:val="%1."/>
      <w:numFmt w:val="decimal"/>
      <w:start w:val="6"/>
    </w:lvl>
  </w:abstractNum>
  <w:abstractNum w:abstractNumId="37">
    <w:nsid w:val="725A06FB"/>
    <w:multiLevelType w:val="hybridMultilevel"/>
    <w:lvl w:ilvl="0">
      <w:lvlJc w:val="left"/>
      <w:lvlText w:val="%1."/>
      <w:numFmt w:val="decimal"/>
      <w:start w:val="7"/>
    </w:lvl>
  </w:abstractNum>
  <w:abstractNum w:abstractNumId="38">
    <w:nsid w:val="2CD89A32"/>
    <w:multiLevelType w:val="hybridMultilevel"/>
    <w:lvl w:ilvl="0">
      <w:lvlJc w:val="left"/>
      <w:lvlText w:val="(%1)"/>
      <w:numFmt w:val="decimal"/>
      <w:start w:val="3"/>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2"/>
    </w:lvl>
    <w:lvl w:ilvl="1">
      <w:lvlJc w:val="left"/>
      <w:lvlText w:val="(%2)"/>
      <w:numFmt w:val="lowerRoman"/>
      <w:start w:val="2"/>
    </w:lvl>
  </w:abstractNum>
  <w:abstractNum w:abstractNumId="41">
    <w:nsid w:val="4B588F54"/>
    <w:multiLevelType w:val="hybridMultilevel"/>
    <w:lvl w:ilvl="0">
      <w:lvlJc w:val="left"/>
      <w:lvlText w:val="%1"/>
      <w:numFmt w:val="decimal"/>
      <w:start w:val="1"/>
    </w:lvl>
    <w:lvl w:ilvl="1">
      <w:lvlJc w:val="left"/>
      <w:lvlText w:val="(%2)"/>
      <w:numFmt w:val="lowerRoman"/>
      <w:start w:val="4"/>
    </w:lvl>
  </w:abstractNum>
  <w:abstractNum w:abstractNumId="42">
    <w:nsid w:val="542289EC"/>
    <w:multiLevelType w:val="hybridMultilevel"/>
    <w:lvl w:ilvl="0">
      <w:lvlJc w:val="left"/>
      <w:lvlText w:val="(%1)"/>
      <w:numFmt w:val="decimal"/>
      <w:start w:val="5"/>
    </w:lvl>
    <w:lvl w:ilvl="1">
      <w:lvlJc w:val="left"/>
      <w:lvlText w:val="%2"/>
      <w:numFmt w:val="lowerRoman"/>
      <w:start w:val="1"/>
    </w:lvl>
  </w:abstractNum>
  <w:abstractNum w:abstractNumId="43">
    <w:nsid w:val="6DE91B18"/>
    <w:multiLevelType w:val="hybridMultilevel"/>
    <w:lvl w:ilvl="0">
      <w:lvlJc w:val="left"/>
      <w:lvlText w:val="(%1)"/>
      <w:numFmt w:val="upperLetter"/>
      <w:start w:val="4"/>
    </w:lvl>
  </w:abstractNum>
  <w:abstractNum w:abstractNumId="44">
    <w:nsid w:val="38437FDB"/>
    <w:multiLevelType w:val="hybridMultilevel"/>
    <w:lvl w:ilvl="0">
      <w:lvlJc w:val="left"/>
      <w:lvlText w:val="(%1)"/>
      <w:numFmt w:val="decimal"/>
      <w:start w:val="50"/>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3"/>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2022-11-04T15:54:28Z</dcterms:created>
  <dcterms:modified xsi:type="dcterms:W3CDTF">2022-11-04T15:54:28Z</dcterms:modified>
</cp:coreProperties>
</file>