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1-35106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AMC Networks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539"/>
        <w:gridCol w:w="473"/>
        <w:gridCol w:w="473"/>
        <w:gridCol w:w="473"/>
        <w:gridCol w:w="473"/>
        <w:gridCol w:w="494"/>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27-5403694</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 Penn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324-8500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p>
      <w:pPr>
        <w:pStyle w:val="TextBody"/>
        <w:bidi w:val="0"/>
        <w:spacing w:before="0" w:after="0"/>
        <w:jc w:val="center"/>
        <w:rPr/>
      </w:pPr>
      <w:r>
        <w:rPr/>
      </w:r>
    </w:p>
    <w:tbl>
      <w:tblPr>
        <w:tblW w:w="8978" w:type="dxa"/>
        <w:jc w:val="center"/>
        <w:tblInd w:w="0" w:type="dxa"/>
        <w:tblLayout w:type="fixed"/>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AMCX</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The</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(as defined in Exchange Act Rule 12b-2).</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outstanding as of October 27, 2023:</w:t>
      </w:r>
    </w:p>
    <w:tbl>
      <w:tblPr>
        <w:tblW w:w="4636" w:type="dxa"/>
        <w:jc w:val="left"/>
        <w:tblInd w:w="0" w:type="dxa"/>
        <w:tblLayout w:type="fixed"/>
        <w:tblCellMar>
          <w:top w:w="28" w:type="dxa"/>
          <w:left w:w="28" w:type="dxa"/>
          <w:bottom w:w="28" w:type="dxa"/>
          <w:right w:w="28" w:type="dxa"/>
        </w:tblCellMar>
      </w:tblPr>
      <w:tblGrid>
        <w:gridCol w:w="1332"/>
        <w:gridCol w:w="1167"/>
        <w:gridCol w:w="1176"/>
        <w:gridCol w:w="281"/>
        <w:gridCol w:w="281"/>
        <w:gridCol w:w="399"/>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32,073,020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11,484,408</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AMC NETWORKS INC.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9195" w:type="dxa"/>
        <w:jc w:val="left"/>
        <w:tblInd w:w="0" w:type="dxa"/>
        <w:tblLayout w:type="fixed"/>
        <w:tblCellMar>
          <w:top w:w="28" w:type="dxa"/>
          <w:left w:w="28" w:type="dxa"/>
          <w:bottom w:w="28" w:type="dxa"/>
          <w:right w:w="28" w:type="dxa"/>
        </w:tblCellMar>
      </w:tblPr>
      <w:tblGrid>
        <w:gridCol w:w="3126"/>
        <w:gridCol w:w="2741"/>
        <w:gridCol w:w="2757"/>
        <w:gridCol w:w="167"/>
        <w:gridCol w:w="167"/>
        <w:gridCol w:w="237"/>
      </w:tblGrid>
      <w:tr>
        <w:trPr/>
        <w:tc>
          <w:tcPr>
            <w:tcW w:w="312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0">
              <w:r>
                <w:rPr>
                  <w:rStyle w:val="InternetLink"/>
                  <w:rFonts w:ascii="Times New Roman;sans-serif" w:hAnsi="Times New Roman;sans-serif"/>
                  <w:b/>
                  <w:color w:val="0000FF"/>
                  <w:sz w:val="20"/>
                  <w:u w:val="single"/>
                </w:rPr>
                <w:t>PART I.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3">
              <w:r>
                <w:rPr>
                  <w:rStyle w:val="InternetLink"/>
                  <w:rFonts w:ascii="Times New Roman;sans-serif" w:hAnsi="Times New Roman;sans-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6">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6">
              <w:r>
                <w:rPr>
                  <w:rStyle w:val="InternetLink"/>
                  <w:rFonts w:ascii="Times New Roman;sans-serif" w:hAnsi="Times New Roman;sans-serif"/>
                  <w:b w:val="false"/>
                  <w:color w:val="0000FF"/>
                  <w:sz w:val="20"/>
                  <w:u w:val="single"/>
                </w:rPr>
                <w:t>1</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bda96c6e80d4849953b9263580631d1_19">
              <w:r>
                <w:rPr>
                  <w:rStyle w:val="InternetLink"/>
                  <w:rFonts w:ascii="Times New Roman;sans-serif" w:hAnsi="Times New Roman;sans-serif"/>
                  <w:b w:val="false"/>
                  <w:color w:val="0000FF"/>
                  <w:sz w:val="20"/>
                  <w:u w:val="single"/>
                </w:rPr>
                <w:t>Condensed Consolidated Statements of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9">
              <w:r>
                <w:rPr>
                  <w:rStyle w:val="InternetLink"/>
                  <w:rFonts w:ascii="Times New Roman;sans-serif" w:hAnsi="Times New Roman;sans-serif"/>
                  <w:b w:val="false"/>
                  <w:color w:val="0000FF"/>
                  <w:sz w:val="20"/>
                  <w:u w:val="single"/>
                </w:rPr>
                <w:t>2</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bda96c6e80d4849953b9263580631d1_22">
              <w:r>
                <w:rPr>
                  <w:rStyle w:val="InternetLink"/>
                  <w:rFonts w:ascii="Times New Roman;sans-serif" w:hAnsi="Times New Roman;sans-serif"/>
                  <w:b w:val="false"/>
                  <w:color w:val="0000FF"/>
                  <w:sz w:val="20"/>
                  <w:u w:val="single"/>
                </w:rPr>
                <w:t>Condensed 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22">
              <w:r>
                <w:rPr>
                  <w:rStyle w:val="InternetLink"/>
                  <w:rFonts w:ascii="Times New Roman;sans-serif" w:hAnsi="Times New Roman;sans-serif"/>
                  <w:b w:val="false"/>
                  <w:color w:val="0000FF"/>
                  <w:sz w:val="20"/>
                  <w:u w:val="single"/>
                </w:rPr>
                <w:t>3</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bda96c6e80d4849953b9263580631d1_25">
              <w:r>
                <w:rPr>
                  <w:rStyle w:val="InternetLink"/>
                  <w:rFonts w:ascii="Times New Roman;sans-serif" w:hAnsi="Times New Roman;sans-serif"/>
                  <w:b w:val="false"/>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25">
              <w:r>
                <w:rPr>
                  <w:rStyle w:val="InternetLink"/>
                  <w:rFonts w:ascii="Times New Roman;sans-serif" w:hAnsi="Times New Roman;sans-serif"/>
                  <w:b w:val="false"/>
                  <w:color w:val="0000FF"/>
                  <w:sz w:val="20"/>
                  <w:u w:val="single"/>
                </w:rPr>
                <w:t>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bda96c6e80d4849953b9263580631d1_31">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31">
              <w:r>
                <w:rPr>
                  <w:rStyle w:val="InternetLink"/>
                  <w:rFonts w:ascii="Times New Roman;sans-serif" w:hAnsi="Times New Roman;sans-serif"/>
                  <w:b w:val="false"/>
                  <w:color w:val="0000FF"/>
                  <w:sz w:val="20"/>
                  <w:u w:val="single"/>
                </w:rPr>
                <w:t>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34">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34">
              <w:r>
                <w:rPr>
                  <w:rStyle w:val="InternetLink"/>
                  <w:rFonts w:ascii="Times New Roman;sans-serif" w:hAnsi="Times New Roman;sans-serif"/>
                  <w:b w:val="false"/>
                  <w:color w:val="0000FF"/>
                  <w:sz w:val="20"/>
                  <w:u w:val="single"/>
                </w:rPr>
                <w:t>7</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0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09">
              <w:r>
                <w:rPr>
                  <w:rStyle w:val="InternetLink"/>
                  <w:rFonts w:ascii="Times New Roman;sans-serif" w:hAnsi="Times New Roman;sans-serif"/>
                  <w:b w:val="false"/>
                  <w:color w:val="0000FF"/>
                  <w:sz w:val="20"/>
                  <w:u w:val="single"/>
                </w:rPr>
                <w:t>25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36">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36">
              <w:r>
                <w:rPr>
                  <w:rStyle w:val="InternetLink"/>
                  <w:rFonts w:ascii="Times New Roman;sans-serif" w:hAnsi="Times New Roman;sans-serif"/>
                  <w:b w:val="false"/>
                  <w:color w:val="0000FF"/>
                  <w:sz w:val="20"/>
                  <w:u w:val="single"/>
                </w:rPr>
                <w:t>42</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39">
              <w:r>
                <w:rPr>
                  <w:rStyle w:val="InternetLink"/>
                  <w:rFonts w:ascii="Times New Roman;sans-serif" w:hAnsi="Times New Roman;sans-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39">
              <w:r>
                <w:rPr>
                  <w:rStyle w:val="InternetLink"/>
                  <w:rFonts w:ascii="Times New Roman;sans-serif" w:hAnsi="Times New Roman;sans-serif"/>
                  <w:b w:val="false"/>
                  <w:color w:val="0000FF"/>
                  <w:sz w:val="20"/>
                  <w:u w:val="single"/>
                </w:rPr>
                <w:t>43</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42">
              <w:r>
                <w:rPr>
                  <w:rStyle w:val="InternetLink"/>
                  <w:rFonts w:ascii="Times New Roman;sans-serif" w:hAnsi="Times New Roman;sans-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45">
              <w:r>
                <w:rPr>
                  <w:rStyle w:val="InternetLink"/>
                  <w:rFonts w:ascii="Times New Roman;sans-serif" w:hAnsi="Times New Roman;sans-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45">
              <w:r>
                <w:rPr>
                  <w:rStyle w:val="InternetLink"/>
                  <w:rFonts w:ascii="Times New Roman;sans-serif" w:hAnsi="Times New Roman;sans-serif"/>
                  <w:b w:val="false"/>
                  <w:color w:val="0000FF"/>
                  <w:sz w:val="20"/>
                  <w:u w:val="single"/>
                </w:rPr>
                <w:t>44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48">
              <w:r>
                <w:rPr>
                  <w:rStyle w:val="InternetLink"/>
                  <w:rFonts w:ascii="Times New Roman;sans-serif" w:hAnsi="Times New Roman;sans-serif"/>
                  <w:b w:val="false"/>
                  <w:color w:val="000080"/>
                  <w:sz w:val="20"/>
                  <w:u w:val="single"/>
                </w:rPr>
                <w:t>Item 2. Unregistered Sales of Equity Securities</w:t>
              </w:r>
            </w:hyperlink>
            <w:hyperlink w:anchor="iabda96c6e80d4849953b9263580631d1_148">
              <w:r>
                <w:rPr>
                  <w:rStyle w:val="InternetLink"/>
                  <w:rFonts w:ascii="Times New Roman;sans-serif" w:hAnsi="Times New Roman;sans-serif"/>
                  <w:b w:val="false"/>
                  <w:color w:val="000080"/>
                  <w:sz w:val="20"/>
                  <w:u w:val="single"/>
                </w:rPr>
                <w:t>,</w:t>
              </w:r>
            </w:hyperlink>
            <w:hyperlink w:anchor="iabda96c6e80d4849953b9263580631d1_148">
              <w:r>
                <w:rPr>
                  <w:rStyle w:val="InternetLink"/>
                  <w:rFonts w:ascii="Times New Roman;sans-serif" w:hAnsi="Times New Roman;sans-serif"/>
                  <w:b w:val="false"/>
                  <w:color w:val="000080"/>
                  <w:sz w:val="20"/>
                  <w:u w:val="single"/>
                </w:rPr>
                <w:t xml:space="preserve"> Use</w:t>
              </w:r>
            </w:hyperlink>
            <w:hyperlink w:anchor="iabda96c6e80d4849953b9263580631d1_148">
              <w:r>
                <w:rPr>
                  <w:rStyle w:val="InternetLink"/>
                  <w:rFonts w:ascii="Times New Roman;sans-serif" w:hAnsi="Times New Roman;sans-serif"/>
                  <w:b w:val="false"/>
                  <w:color w:val="000080"/>
                  <w:sz w:val="20"/>
                  <w:u w:val="single"/>
                </w:rPr>
                <w:t xml:space="preserve"> of Proceeds</w:t>
              </w:r>
            </w:hyperlink>
            <w:r>
              <w:rPr>
                <w:rFonts w:ascii="Times New Roman;sans-serif" w:hAnsi="Times New Roman;sans-serif"/>
                <w:b w:val="false"/>
                <w:color w:val="0000FF"/>
                <w:sz w:val="20"/>
                <w:u w:val="single"/>
              </w:rPr>
              <w:t>, and Issuer Purchases of Equity Securities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48">
              <w:r>
                <w:rPr>
                  <w:rStyle w:val="InternetLink"/>
                  <w:rFonts w:ascii="Times New Roman;sans-serif" w:hAnsi="Times New Roman;sans-serif"/>
                  <w:b w:val="false"/>
                  <w:color w:val="0000FF"/>
                  <w:sz w:val="20"/>
                  <w:u w:val="single"/>
                </w:rPr>
                <w:t>44</w:t>
              </w:r>
            </w:hyperlink>
          </w:p>
        </w:tc>
      </w:tr>
      <w:tr>
        <w:trPr/>
        <w:tc>
          <w:tcPr>
            <w:tcW w:w="862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54">
              <w:r>
                <w:rPr>
                  <w:rStyle w:val="InternetLink"/>
                  <w:rFonts w:ascii="Times New Roman;sans-serif" w:hAnsi="Times New Roman;sans-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54">
              <w:r>
                <w:rPr>
                  <w:rStyle w:val="InternetLink"/>
                  <w:rFonts w:ascii="Times New Roman;sans-serif" w:hAnsi="Times New Roman;sans-serif"/>
                  <w:b w:val="false"/>
                  <w:color w:val="0000FF"/>
                  <w:sz w:val="20"/>
                  <w:u w:val="single"/>
                </w:rPr>
                <w:t>44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da96c6e80d4849953b9263580631d1_157">
              <w:r>
                <w:rPr>
                  <w:rStyle w:val="InternetLink"/>
                  <w:rFonts w:ascii="Times New Roman;sans-serif" w:hAnsi="Times New Roman;sans-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da96c6e80d4849953b9263580631d1_157">
              <w:r>
                <w:rPr>
                  <w:rStyle w:val="InternetLink"/>
                  <w:rFonts w:ascii="Times New Roman;sans-serif" w:hAnsi="Times New Roman;sans-serif"/>
                  <w:b w:val="false"/>
                  <w:color w:val="0000FF"/>
                  <w:sz w:val="20"/>
                  <w:u w:val="single"/>
                </w:rPr>
                <w:t>45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02"/>
        <w:gridCol w:w="2113"/>
        <w:gridCol w:w="2124"/>
        <w:gridCol w:w="235"/>
        <w:gridCol w:w="1046"/>
        <w:gridCol w:w="130"/>
        <w:gridCol w:w="109"/>
        <w:gridCol w:w="109"/>
        <w:gridCol w:w="109"/>
        <w:gridCol w:w="228"/>
        <w:gridCol w:w="1016"/>
        <w:gridCol w:w="184"/>
      </w:tblGrid>
      <w:tr>
        <w:trPr/>
        <w:tc>
          <w:tcPr>
            <w:tcW w:w="2802"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955,187 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trade (less allowance for doubtful accounts of $9,581 and $8,725)</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657,656 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722,185 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1,901,105 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1,949,869 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$390,887 and $344,906</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202,034 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1,807,549 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1,762,939 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354,676 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640,143 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643,419 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471,003 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5,390,785 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5,633,836 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172,009 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obligations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Current portion of lease obligations </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1,300,167 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1,170,233 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obligations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2,334,216 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2,778,703 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obligations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124,799 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4,083,098 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4,526,354 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360,000 shares authorized, 66,666 and 66,118 shares issued and 32,073 and 31,525 shares outstanding, respectively</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B Common Stock, $0.01 par value, 90,000 shares authorized, 11,484 shares issued and outstanding </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45,000 shares authorized; none issued</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360,251 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earnings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2,342,914 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2,105,641 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(34,593 and 34,593 shares Class A Common Stock,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(1,419,882)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(246,052)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(239,798)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AMC Networks stockholders' equity</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1,050,686 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806,988 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1,082,287 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853,813 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5,390,785 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5,633,836 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21"/>
        <w:gridCol w:w="1256"/>
        <w:gridCol w:w="1237"/>
        <w:gridCol w:w="225"/>
        <w:gridCol w:w="882"/>
        <w:gridCol w:w="116"/>
        <w:gridCol w:w="116"/>
        <w:gridCol w:w="116"/>
        <w:gridCol w:w="116"/>
        <w:gridCol w:w="225"/>
        <w:gridCol w:w="882"/>
        <w:gridCol w:w="116"/>
        <w:gridCol w:w="109"/>
        <w:gridCol w:w="109"/>
        <w:gridCol w:w="109"/>
        <w:gridCol w:w="211"/>
        <w:gridCol w:w="976"/>
        <w:gridCol w:w="109"/>
        <w:gridCol w:w="109"/>
        <w:gridCol w:w="109"/>
        <w:gridCol w:w="109"/>
        <w:gridCol w:w="211"/>
        <w:gridCol w:w="976"/>
        <w:gridCol w:w="160"/>
      </w:tblGrid>
      <w:tr>
        <w:trPr/>
        <w:tc>
          <w:tcPr>
            <w:tcW w:w="162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AMC Networks' stockholders:</w:t>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81"/>
        <w:gridCol w:w="1378"/>
        <w:gridCol w:w="1385"/>
        <w:gridCol w:w="240"/>
        <w:gridCol w:w="821"/>
        <w:gridCol w:w="124"/>
        <w:gridCol w:w="124"/>
        <w:gridCol w:w="124"/>
        <w:gridCol w:w="124"/>
        <w:gridCol w:w="240"/>
        <w:gridCol w:w="821"/>
        <w:gridCol w:w="124"/>
        <w:gridCol w:w="109"/>
        <w:gridCol w:w="109"/>
        <w:gridCol w:w="109"/>
        <w:gridCol w:w="220"/>
        <w:gridCol w:w="865"/>
        <w:gridCol w:w="113"/>
        <w:gridCol w:w="113"/>
        <w:gridCol w:w="113"/>
        <w:gridCol w:w="113"/>
        <w:gridCol w:w="220"/>
        <w:gridCol w:w="865"/>
        <w:gridCol w:w="170"/>
      </w:tblGrid>
      <w:tr>
        <w:trPr/>
        <w:tc>
          <w:tcPr>
            <w:tcW w:w="158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290,446 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(125,229)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165,217 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AMC Networks' stockholders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231,019 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152,103 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361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(219,276)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share issuances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372,925 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2,342,914 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(246,052)</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1,050,686 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31,601 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1,082,287 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61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(243,292)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48,778 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share issuances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2022</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347,204 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2,370,330 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(295,998)</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1,002,430 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47,064 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1,049,494 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tbl>
      <w:tblPr>
        <w:tblW w:w="1361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(239,798)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share issuances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372,925 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2,342,914 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(246,052)</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1,050,686 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31,601 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1,082,287 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61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(175,818)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51,584 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902,672 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noncontrolling interest, net of tax</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share issuances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2022</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347,204 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2,370,330 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(295,998)</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1,002,430 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47,064 </w:t>
            </w:r>
          </w:p>
        </w:tc>
        <w:tc>
          <w:tcPr>
            <w:tcW w:w="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1,049,494 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 (unaudited)</w:t>
      </w:r>
    </w:p>
    <w:tbl>
      <w:tblPr>
        <w:tblW w:w="9146" w:type="dxa"/>
        <w:jc w:val="center"/>
        <w:tblInd w:w="0" w:type="dxa"/>
        <w:tblLayout w:type="fixed"/>
        <w:tblCellMar>
          <w:top w:w="28" w:type="dxa"/>
          <w:left w:w="28" w:type="dxa"/>
          <w:bottom w:w="28" w:type="dxa"/>
          <w:right w:w="28" w:type="dxa"/>
        </w:tblCellMar>
      </w:tblPr>
      <w:tblGrid>
        <w:gridCol w:w="2208"/>
        <w:gridCol w:w="1946"/>
        <w:gridCol w:w="1950"/>
        <w:gridCol w:w="241"/>
        <w:gridCol w:w="944"/>
        <w:gridCol w:w="124"/>
        <w:gridCol w:w="124"/>
        <w:gridCol w:w="124"/>
        <w:gridCol w:w="124"/>
        <w:gridCol w:w="241"/>
        <w:gridCol w:w="944"/>
        <w:gridCol w:w="176"/>
      </w:tblGrid>
      <w:tr>
        <w:trPr/>
        <w:tc>
          <w:tcPr>
            <w:tcW w:w="2208"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 related to equity classified awards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restructuring and other related charges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program rights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carriage fees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transaction loss (gain)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discounts on indebtedness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trade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and obligations,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(844,332)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(1,065,937)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carriage fees, net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liabilities and other liabilities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 from investees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investments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to investees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 received on loan to investee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repurchases of restricted stock units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 interests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from operations</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955,187 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790,930 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Description of Business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Inc. ("AMC Networks") and its subsidiaries (collectively referred to as the "Company," "we," "us," or "our") own and operate entertainment businesses and assets. The Company is comprised of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Includes our programming services, which consist of our five national programming networks, our global streaming services, our AMC Studios operation and IFC Films. Our national programming networks are AMC, WE tv, BBC AMERICA, IFC, and SundanceTV. Our global streaming services consist of our targeted subscription streaming services (Acorn TV, Shudder, Sundance Now, ALLBLK, and HIDIVE) and AMC+. Our AMC Studios operation produces original programming for our programming networks and third parties and also licenses programming worldwide, and IFC Films is our film distribution business. The operating segment also includes AMC Networks Broadcasting &amp; Technology, our technical services business, which primarily services most of the national programming networks.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International and Other</w:t>
      </w:r>
      <w:r>
        <w:rPr>
          <w:rFonts w:ascii="Times New Roman;sans-serif" w:hAnsi="Times New Roman;sans-serif"/>
          <w:b w:val="false"/>
          <w:color w:val="000000"/>
          <w:sz w:val="20"/>
        </w:rPr>
        <w:t>: Includes AMC Networks International ("AMCNI"), our international programming businesses consisting of a portfolio of channels around the world, and 25/7 Media, our production services business.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business entities in which the Company lacks control but does have the ability to exercise significant influence over operating and financial policies are accounted for using the equity method of accounting.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Interim Financial Statements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2022 contained in the Company's Annual Report on Form 10-K (our "2022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the results that might be expected for future interim periods or for the full year ending December 31, 2023.</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2. Revenue Recognition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Transaction Price Allocated to Future Performance Obligations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As of September 30, 2023, other than contracts for which the Company has applied the practical expedients, the aggregate amount of transaction price allocated to future performance obligations was </w:t>
      </w:r>
      <w:r>
        <w:rPr>
          <w:rFonts w:ascii="Times New Roman;sans-serif" w:hAnsi="Times New Roman;sans-serif"/>
          <w:b w:val="false"/>
          <w:color w:val="000000"/>
          <w:sz w:val="20"/>
          <w:shd w:fill="FFFFFF" w:val="clear"/>
        </w:rPr>
        <w:t>not material</w:t>
      </w:r>
      <w:r>
        <w:rPr>
          <w:color w:val="000000"/>
        </w:rPr>
        <w:t xml:space="preserve"> </w:t>
      </w:r>
      <w:r>
        <w:rPr>
          <w:rFonts w:ascii="Times New Roman;sans-serif" w:hAnsi="Times New Roman;sans-serif"/>
          <w:b w:val="false"/>
          <w:color w:val="000000"/>
          <w:sz w:val="20"/>
        </w:rPr>
        <w:t>to our consolidated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Contract Balances from Contracts with Customers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receivables, contract assets, and contract liabilities from contracts with customers. </w:t>
      </w:r>
    </w:p>
    <w:tbl>
      <w:tblPr>
        <w:tblW w:w="10205" w:type="dxa"/>
        <w:jc w:val="left"/>
        <w:tblInd w:w="0" w:type="dxa"/>
        <w:tblLayout w:type="fixed"/>
        <w:tblCellMar>
          <w:top w:w="28" w:type="dxa"/>
          <w:left w:w="28" w:type="dxa"/>
          <w:bottom w:w="28" w:type="dxa"/>
          <w:right w:w="28" w:type="dxa"/>
        </w:tblCellMar>
      </w:tblPr>
      <w:tblGrid>
        <w:gridCol w:w="2343"/>
        <w:gridCol w:w="2041"/>
        <w:gridCol w:w="2044"/>
        <w:gridCol w:w="109"/>
        <w:gridCol w:w="109"/>
        <w:gridCol w:w="109"/>
        <w:gridCol w:w="286"/>
        <w:gridCol w:w="1123"/>
        <w:gridCol w:w="147"/>
        <w:gridCol w:w="109"/>
        <w:gridCol w:w="109"/>
        <w:gridCol w:w="109"/>
        <w:gridCol w:w="246"/>
        <w:gridCol w:w="1138"/>
        <w:gridCol w:w="183"/>
      </w:tblGrid>
      <w:tr>
        <w:trPr/>
        <w:tc>
          <w:tcPr>
            <w:tcW w:w="234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 (including long-term receivables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1,003,505 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Contract assets, short-term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Contract liabilities, short-term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Contract liabilities, long-term (Deferred revenue included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Revenue recognized for the nine months ended September 30, 2023 and 2022 relating to the contract liabilities at December 31, 2022 and 2021 was $102.6 million </w:t>
      </w:r>
      <w:r>
        <w:rPr>
          <w:rFonts w:ascii="Times New Roman;sans-serif" w:hAnsi="Times New Roman;sans-serif"/>
          <w:b w:val="false"/>
          <w:color w:val="000000"/>
          <w:sz w:val="20"/>
          <w:shd w:fill="FFFFFF" w:val="clear"/>
        </w:rPr>
        <w:t>and $63.1 million, respectively</w:t>
      </w:r>
      <w:r>
        <w:rPr>
          <w:rFonts w:ascii="Times New Roman;sans-serif" w:hAnsi="Times New Roman;sans-serif"/>
          <w:b w:val="false"/>
          <w:color w:val="000000"/>
          <w:sz w:val="20"/>
        </w:rPr>
        <w:t>.</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the date of this report, the Company has not yet sold any customer receivables under this agreement.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3. Net Income per Share</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between basic and diluted weighted average common shares outstanding:</w:t>
      </w:r>
    </w:p>
    <w:tbl>
      <w:tblPr>
        <w:tblW w:w="10205" w:type="dxa"/>
        <w:jc w:val="left"/>
        <w:tblInd w:w="0" w:type="dxa"/>
        <w:tblLayout w:type="fixed"/>
        <w:tblCellMar>
          <w:top w:w="28" w:type="dxa"/>
          <w:left w:w="28" w:type="dxa"/>
          <w:bottom w:w="28" w:type="dxa"/>
          <w:right w:w="28" w:type="dxa"/>
        </w:tblCellMar>
      </w:tblPr>
      <w:tblGrid>
        <w:gridCol w:w="1399"/>
        <w:gridCol w:w="1234"/>
        <w:gridCol w:w="1227"/>
        <w:gridCol w:w="500"/>
        <w:gridCol w:w="301"/>
        <w:gridCol w:w="280"/>
        <w:gridCol w:w="280"/>
        <w:gridCol w:w="280"/>
        <w:gridCol w:w="280"/>
        <w:gridCol w:w="500"/>
        <w:gridCol w:w="301"/>
        <w:gridCol w:w="280"/>
        <w:gridCol w:w="109"/>
        <w:gridCol w:w="109"/>
        <w:gridCol w:w="109"/>
        <w:gridCol w:w="500"/>
        <w:gridCol w:w="286"/>
        <w:gridCol w:w="265"/>
        <w:gridCol w:w="265"/>
        <w:gridCol w:w="265"/>
        <w:gridCol w:w="265"/>
        <w:gridCol w:w="500"/>
        <w:gridCol w:w="286"/>
        <w:gridCol w:w="384"/>
      </w:tblGrid>
      <w:tr>
        <w:trPr/>
        <w:tc>
          <w:tcPr>
            <w:tcW w:w="139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3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860"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43,070 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dilution:</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8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44,041 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43,732 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43,905 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43,707 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As of September 30, 2023 and September 30, 2022, </w:t>
      </w:r>
      <w:r>
        <w:rPr>
          <w:rFonts w:ascii="Times New Roman;sans-serif" w:hAnsi="Times New Roman;sans-serif"/>
          <w:b w:val="false"/>
          <w:color w:val="000000"/>
          <w:sz w:val="20"/>
          <w:shd w:fill="FFFFFF" w:val="clear"/>
        </w:rPr>
        <w:t>1.9 million</w:t>
      </w:r>
      <w:r>
        <w:rPr>
          <w:color w:val="000000"/>
        </w:rPr>
        <w:t xml:space="preserve"> </w:t>
      </w:r>
      <w:r>
        <w:rPr>
          <w:rFonts w:ascii="Times New Roman;sans-serif" w:hAnsi="Times New Roman;sans-serif"/>
          <w:b w:val="false"/>
          <w:color w:val="000000"/>
          <w:sz w:val="20"/>
        </w:rPr>
        <w:t xml:space="preserve">and 0.9 million, respectively, of restricted stock units have been excluded from diluted weighted average common shares outstanding, as their impact would have been anti-dilutive. </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The Company's Board of Directors previously authorized a program to repurchase up to </w:t>
      </w:r>
      <w:r>
        <w:rPr>
          <w:rFonts w:ascii="Times New Roman;sans-serif" w:hAnsi="Times New Roman;sans-serif"/>
          <w:b w:val="false"/>
          <w:color w:val="000000"/>
          <w:sz w:val="20"/>
          <w:shd w:fill="FFFFFF" w:val="clear"/>
        </w:rPr>
        <w:t>$1.5 billion</w:t>
      </w:r>
      <w:r>
        <w:rPr>
          <w:color w:val="000000"/>
        </w:rPr>
        <w:t xml:space="preserve"> </w:t>
      </w:r>
      <w:r>
        <w:rPr>
          <w:rFonts w:ascii="Times New Roman;sans-serif" w:hAnsi="Times New Roman;sans-serif"/>
          <w:b w:val="false"/>
          <w:color w:val="000000"/>
          <w:sz w:val="20"/>
        </w:rPr>
        <w:t xml:space="preserve">of its outstanding shares of common stock (the "Stock Repurchase Program"). The Stock Repurchase Program has no pre-established closing date and may be suspended or discontinued at any time. For the three and nine months ended September 30, 2023 and 2022, the Company did not repurchase any shares of its Class A Common Stock. As of September 30, 2023, the Company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of authorization remaining for repurchase under the Stock Repurchase Program.</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4. Restructuring and Other Related Charges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 xml:space="preserve">On November 28, 2022, the Company commenced a restructuring plan (the “Plan”) designed to </w:t>
      </w:r>
      <w:r>
        <w:rPr>
          <w:rFonts w:ascii="Times New Roman;sans-serif" w:hAnsi="Times New Roman;sans-serif"/>
          <w:b w:val="false"/>
          <w:color w:val="000000"/>
          <w:sz w:val="20"/>
        </w:rPr>
        <w:t>achieve significant cost reductions</w:t>
      </w:r>
      <w:r>
        <w:rPr>
          <w:color w:val="000000"/>
          <w:shd w:fill="FFFFFF" w:val="clear"/>
        </w:rPr>
        <w:t xml:space="preserve"> </w:t>
      </w:r>
      <w:r>
        <w:rPr>
          <w:rFonts w:ascii="Times New Roman;sans-serif" w:hAnsi="Times New Roman;sans-serif"/>
          <w:b w:val="false"/>
          <w:color w:val="000000"/>
          <w:sz w:val="20"/>
          <w:shd w:fill="FFFFFF" w:val="clear"/>
        </w:rPr>
        <w:t xml:space="preserve">in light of “cord cutting” and the related impacts being felt across the media industry as well as the broader economic outlook. The Plan encompasses </w:t>
      </w:r>
      <w:r>
        <w:rPr>
          <w:rFonts w:ascii="Times New Roman;sans-serif" w:hAnsi="Times New Roman;sans-serif"/>
          <w:b w:val="false"/>
          <w:color w:val="000000"/>
          <w:sz w:val="20"/>
        </w:rPr>
        <w:t>initiatives that include, among other things, strategic programming assessments and organizational restructuring costs</w:t>
      </w:r>
      <w:r>
        <w:rPr>
          <w:rFonts w:ascii="Times New Roman;sans-serif" w:hAnsi="Times New Roman;sans-serif"/>
          <w:b w:val="false"/>
          <w:color w:val="000000"/>
          <w:sz w:val="20"/>
          <w:shd w:fill="FFFFFF" w:val="clear"/>
        </w:rPr>
        <w:t xml:space="preserve">. The Plan is intended to improve the organizational design of the Company through the elimination of certain roles and centralization of certain functional areas of the Company. The programming assessments pertain to a broad mix of owned and licensed content, including legacy television series and films that will no longer be in active rotation on the Company’s linear or streaming platforms.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 xml:space="preserve">During the third quarter of 2023, the Company substantially completed the Plan and exited a portion of its office space in its corporate headquarters in New York and office space in Silver Spring, Maryland and Woodland Hills, California. In connection with exiting a portion of the New York office, the Company recorded impairment charges of $11.6 million, consisting of $9.1 million for operating lease right-of use assets and $2.5 million for leasehold improvements. </w:t>
      </w:r>
      <w:r>
        <w:rPr>
          <w:rFonts w:ascii="Times New Roman;sans-serif" w:hAnsi="Times New Roman;sans-serif"/>
          <w:b w:val="false"/>
          <w:color w:val="000000"/>
          <w:sz w:val="20"/>
        </w:rPr>
        <w:t xml:space="preserve">Fair values used to determine the impairment charge were determined using an income approach, specifically a discounted cash flow ("DCF") model. The DCF model includes significant assumptions about sublease income and enterprise specific discount rates. Given the uncertainty in determining assumptions underlying the DCF approach, actual results may differ from those used in the valuations.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As a result of the Plan, the Company recorded r</w:t>
      </w:r>
      <w:r>
        <w:rPr>
          <w:rFonts w:ascii="Times New Roman;sans-serif" w:hAnsi="Times New Roman;sans-serif"/>
          <w:b w:val="false"/>
          <w:color w:val="000000"/>
          <w:sz w:val="20"/>
        </w:rPr>
        <w:t>estructuring and other related charges of $10.6 million and $22.5 million for the three and nine months ended September 30, 2023, consisting primarily of charges relating to exiting a portion of office space in New York and severance and other personnel costs.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restructuring and other related charges for the three and nine months ended September 30, 2022.</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and other related charges (credits) recognized by operating segment:</w:t>
      </w:r>
    </w:p>
    <w:tbl>
      <w:tblPr>
        <w:tblW w:w="10205" w:type="dxa"/>
        <w:jc w:val="left"/>
        <w:tblInd w:w="0" w:type="dxa"/>
        <w:tblLayout w:type="fixed"/>
        <w:tblCellMar>
          <w:top w:w="28" w:type="dxa"/>
          <w:left w:w="28" w:type="dxa"/>
          <w:bottom w:w="28" w:type="dxa"/>
          <w:right w:w="28" w:type="dxa"/>
        </w:tblCellMar>
      </w:tblPr>
      <w:tblGrid>
        <w:gridCol w:w="1244"/>
        <w:gridCol w:w="1052"/>
        <w:gridCol w:w="1042"/>
        <w:gridCol w:w="528"/>
        <w:gridCol w:w="1807"/>
        <w:gridCol w:w="273"/>
        <w:gridCol w:w="109"/>
        <w:gridCol w:w="2516"/>
        <w:gridCol w:w="109"/>
        <w:gridCol w:w="109"/>
        <w:gridCol w:w="109"/>
        <w:gridCol w:w="211"/>
        <w:gridCol w:w="721"/>
        <w:gridCol w:w="109"/>
        <w:gridCol w:w="109"/>
        <w:gridCol w:w="157"/>
      </w:tblGrid>
      <w:tr>
        <w:trPr/>
        <w:tc>
          <w:tcPr>
            <w:tcW w:w="12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634" w:type="dxa"/>
            <w:gridSpan w:val="8"/>
            <w:tcBorders/>
          </w:tcPr>
          <w:p>
            <w:pPr>
              <w:pStyle w:val="TableContents"/>
              <w:bidi w:val="0"/>
              <w:spacing w:before="0" w:after="283"/>
              <w:jc w:val="left"/>
              <w:rPr>
                <w:sz w:val="4"/>
                <w:szCs w:val="4"/>
              </w:rPr>
            </w:pPr>
            <w:r>
              <w:rPr>
                <w:sz w:val="4"/>
                <w:szCs w:val="4"/>
              </w:rPr>
            </w:r>
          </w:p>
        </w:tc>
      </w:tr>
      <w:tr>
        <w:trPr/>
        <w:tc>
          <w:tcPr>
            <w:tcW w:w="3338" w:type="dxa"/>
            <w:gridSpan w:val="3"/>
            <w:vMerge w:val="continue"/>
            <w:tcBorders/>
            <w:tcMar>
              <w:top w:w="0" w:type="dxa"/>
              <w:left w:w="0" w:type="dxa"/>
              <w:bottom w:w="0" w:type="dxa"/>
              <w:right w:w="0" w:type="dxa"/>
            </w:tcMar>
            <w:vAlign w:val="center"/>
          </w:tcPr>
          <w:p>
            <w:pPr>
              <w:pStyle w:val="Normal"/>
              <w:bidi w:val="0"/>
              <w:jc w:val="left"/>
              <w:rPr/>
            </w:pPr>
            <w:r>
              <w:rPr/>
            </w:r>
          </w:p>
        </w:tc>
        <w:tc>
          <w:tcPr>
            <w:tcW w:w="2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266" w:type="dxa"/>
            <w:gridSpan w:val="2"/>
            <w:tcBorders/>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other related charges</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accrued restructuring and other related costs:</w:t>
      </w:r>
    </w:p>
    <w:tbl>
      <w:tblPr>
        <w:tblW w:w="10205" w:type="dxa"/>
        <w:jc w:val="left"/>
        <w:tblInd w:w="0" w:type="dxa"/>
        <w:tblLayout w:type="fixed"/>
        <w:tblCellMar>
          <w:top w:w="28" w:type="dxa"/>
          <w:left w:w="28" w:type="dxa"/>
          <w:bottom w:w="28" w:type="dxa"/>
          <w:right w:w="28" w:type="dxa"/>
        </w:tblCellMar>
      </w:tblPr>
      <w:tblGrid>
        <w:gridCol w:w="891"/>
        <w:gridCol w:w="749"/>
        <w:gridCol w:w="752"/>
        <w:gridCol w:w="582"/>
        <w:gridCol w:w="1990"/>
        <w:gridCol w:w="302"/>
        <w:gridCol w:w="109"/>
        <w:gridCol w:w="109"/>
        <w:gridCol w:w="109"/>
        <w:gridCol w:w="625"/>
        <w:gridCol w:w="2139"/>
        <w:gridCol w:w="325"/>
        <w:gridCol w:w="109"/>
        <w:gridCol w:w="109"/>
        <w:gridCol w:w="109"/>
        <w:gridCol w:w="211"/>
        <w:gridCol w:w="826"/>
        <w:gridCol w:w="159"/>
      </w:tblGrid>
      <w:tr>
        <w:trPr/>
        <w:tc>
          <w:tcPr>
            <w:tcW w:w="8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and Employee-Related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Content Impairments and 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(credits), net</w:t>
            </w:r>
          </w:p>
        </w:tc>
        <w:tc>
          <w:tcPr>
            <w:tcW w:w="2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(61,305)</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w:t>
            </w:r>
          </w:p>
        </w:tc>
        <w:tc>
          <w:tcPr>
            <w:tcW w:w="2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12,077 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restructuring and other related costs of $20.1 million and $2.2 million are included in Accrued liabilities and Other liabilities, respectively, in the consolidated balance sheet at September 30, 2023. Accrued restructuring and other related costs of $108.0 million and $3.9 million are included in Accrued liabilities and Other liabilities, respectively, in the consolidated balance sheet at December 31, 2022. </w:t>
      </w:r>
    </w:p>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5. Program Rights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Total capitalized produced and licensed content by predominant monetization strategy is as follows:</w:t>
      </w:r>
    </w:p>
    <w:tbl>
      <w:tblPr>
        <w:tblW w:w="10205" w:type="dxa"/>
        <w:jc w:val="left"/>
        <w:tblInd w:w="0" w:type="dxa"/>
        <w:tblLayout w:type="fixed"/>
        <w:tblCellMar>
          <w:top w:w="28" w:type="dxa"/>
          <w:left w:w="28" w:type="dxa"/>
          <w:bottom w:w="28" w:type="dxa"/>
          <w:right w:w="28" w:type="dxa"/>
        </w:tblCellMar>
      </w:tblPr>
      <w:tblGrid>
        <w:gridCol w:w="1119"/>
        <w:gridCol w:w="830"/>
        <w:gridCol w:w="833"/>
        <w:gridCol w:w="508"/>
        <w:gridCol w:w="1995"/>
        <w:gridCol w:w="265"/>
        <w:gridCol w:w="109"/>
        <w:gridCol w:w="109"/>
        <w:gridCol w:w="109"/>
        <w:gridCol w:w="431"/>
        <w:gridCol w:w="1999"/>
        <w:gridCol w:w="225"/>
        <w:gridCol w:w="109"/>
        <w:gridCol w:w="109"/>
        <w:gridCol w:w="109"/>
        <w:gridCol w:w="211"/>
        <w:gridCol w:w="976"/>
        <w:gridCol w:w="159"/>
      </w:tblGrid>
      <w:tr>
        <w:trPr/>
        <w:tc>
          <w:tcPr>
            <w:tcW w:w="11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198,647 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822,043 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570,027 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content versioning costs</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5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795,477 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798,837 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202,007 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1,617,520 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1,819,527 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1,819,527 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119"/>
        <w:gridCol w:w="830"/>
        <w:gridCol w:w="833"/>
        <w:gridCol w:w="508"/>
        <w:gridCol w:w="1995"/>
        <w:gridCol w:w="265"/>
        <w:gridCol w:w="109"/>
        <w:gridCol w:w="109"/>
        <w:gridCol w:w="109"/>
        <w:gridCol w:w="431"/>
        <w:gridCol w:w="1999"/>
        <w:gridCol w:w="225"/>
        <w:gridCol w:w="109"/>
        <w:gridCol w:w="109"/>
        <w:gridCol w:w="109"/>
        <w:gridCol w:w="211"/>
        <w:gridCol w:w="976"/>
        <w:gridCol w:w="159"/>
      </w:tblGrid>
      <w:tr>
        <w:trPr/>
        <w:tc>
          <w:tcPr>
            <w:tcW w:w="11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215,496 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322,248 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260,594 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616,334 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876,928 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642,768 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176,791 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content versioning costs</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888,353 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896,818 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269,059 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1,773,746 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1,762,939 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1,773,746 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owned and licensed program rights, included in Technical and operating expenses in the condensed consolidated statements of income, is as follows:</w:t>
      </w:r>
    </w:p>
    <w:tbl>
      <w:tblPr>
        <w:tblW w:w="10205" w:type="dxa"/>
        <w:jc w:val="left"/>
        <w:tblInd w:w="0" w:type="dxa"/>
        <w:tblLayout w:type="fixed"/>
        <w:tblCellMar>
          <w:top w:w="28" w:type="dxa"/>
          <w:left w:w="28" w:type="dxa"/>
          <w:bottom w:w="28" w:type="dxa"/>
          <w:right w:w="28" w:type="dxa"/>
        </w:tblCellMar>
      </w:tblPr>
      <w:tblGrid>
        <w:gridCol w:w="497"/>
        <w:gridCol w:w="320"/>
        <w:gridCol w:w="321"/>
        <w:gridCol w:w="273"/>
        <w:gridCol w:w="903"/>
        <w:gridCol w:w="152"/>
        <w:gridCol w:w="109"/>
        <w:gridCol w:w="109"/>
        <w:gridCol w:w="109"/>
        <w:gridCol w:w="247"/>
        <w:gridCol w:w="933"/>
        <w:gridCol w:w="140"/>
        <w:gridCol w:w="109"/>
        <w:gridCol w:w="109"/>
        <w:gridCol w:w="109"/>
        <w:gridCol w:w="196"/>
        <w:gridCol w:w="736"/>
        <w:gridCol w:w="109"/>
        <w:gridCol w:w="109"/>
        <w:gridCol w:w="109"/>
        <w:gridCol w:w="109"/>
        <w:gridCol w:w="249"/>
        <w:gridCol w:w="939"/>
        <w:gridCol w:w="140"/>
        <w:gridCol w:w="109"/>
        <w:gridCol w:w="109"/>
        <w:gridCol w:w="109"/>
        <w:gridCol w:w="247"/>
        <w:gridCol w:w="933"/>
        <w:gridCol w:w="140"/>
        <w:gridCol w:w="109"/>
        <w:gridCol w:w="109"/>
        <w:gridCol w:w="109"/>
        <w:gridCol w:w="196"/>
        <w:gridCol w:w="736"/>
        <w:gridCol w:w="163"/>
      </w:tblGrid>
      <w:tr>
        <w:trPr/>
        <w:tc>
          <w:tcPr>
            <w:tcW w:w="4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original program rights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101,947 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165,547 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267,494 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Licensed program rights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amortization</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21,601 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174,698 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104,567 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522,118 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626,685 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97"/>
        <w:gridCol w:w="320"/>
        <w:gridCol w:w="321"/>
        <w:gridCol w:w="273"/>
        <w:gridCol w:w="903"/>
        <w:gridCol w:w="152"/>
        <w:gridCol w:w="109"/>
        <w:gridCol w:w="109"/>
        <w:gridCol w:w="109"/>
        <w:gridCol w:w="247"/>
        <w:gridCol w:w="933"/>
        <w:gridCol w:w="140"/>
        <w:gridCol w:w="109"/>
        <w:gridCol w:w="109"/>
        <w:gridCol w:w="109"/>
        <w:gridCol w:w="196"/>
        <w:gridCol w:w="736"/>
        <w:gridCol w:w="109"/>
        <w:gridCol w:w="109"/>
        <w:gridCol w:w="109"/>
        <w:gridCol w:w="109"/>
        <w:gridCol w:w="249"/>
        <w:gridCol w:w="939"/>
        <w:gridCol w:w="140"/>
        <w:gridCol w:w="109"/>
        <w:gridCol w:w="109"/>
        <w:gridCol w:w="109"/>
        <w:gridCol w:w="247"/>
        <w:gridCol w:w="933"/>
        <w:gridCol w:w="140"/>
        <w:gridCol w:w="109"/>
        <w:gridCol w:w="109"/>
        <w:gridCol w:w="109"/>
        <w:gridCol w:w="196"/>
        <w:gridCol w:w="736"/>
        <w:gridCol w:w="163"/>
      </w:tblGrid>
      <w:tr>
        <w:trPr/>
        <w:tc>
          <w:tcPr>
            <w:tcW w:w="4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original program rights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33,728 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35,534 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82,850 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210,922 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Licensed program rights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amortization</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46,325 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166,884 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157,910 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452,189 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610,099 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495"/>
        <w:jc w:val="both"/>
        <w:rPr/>
      </w:pPr>
      <w:r>
        <w:rPr>
          <w:rFonts w:ascii="Times New Roman;sans-serif" w:hAnsi="Times New Roman;sans-serif"/>
          <w:b w:val="false"/>
          <w:color w:val="000000"/>
          <w:sz w:val="20"/>
          <w:shd w:fill="FFFFFF" w:val="clear"/>
        </w:rPr>
        <w:t>For programming rights predominantly monetized individually or as a group, 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There were</w:t>
      </w:r>
      <w:r>
        <w:rPr>
          <w:color w:val="000000"/>
        </w:rPr>
        <w:t xml:space="preserv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significant program rights write-offs included in technical and operating expenses f</w:t>
      </w:r>
      <w:r>
        <w:rPr>
          <w:rFonts w:ascii="Times New Roman;sans-serif" w:hAnsi="Times New Roman;sans-serif"/>
          <w:b w:val="false"/>
          <w:color w:val="000000"/>
          <w:sz w:val="20"/>
        </w:rPr>
        <w:t>or the three and nine months ended September 30, 2023 or 2022.</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may qualify for tax incentives through eligible investments in productions. Receivables related to tax incentives earned on production spend were $191.7 million and $143.1 million as of September 30, 2023 and December 31, 2022, respectively, recorded in Prepaid expenses and other current assets, and $84.6 million and $104.5 million as of September 30, 2023 and December 31, 2022, respectively, recorded in Other assets.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Investments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several investments in and loans to non-consolidated entities which are included in Other assets in the condensed consolidated balance sheet.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Equity method investments were</w:t>
      </w:r>
      <w:r>
        <w:rPr>
          <w:color w:val="000000"/>
          <w:shd w:fill="FFFFFF" w:val="clear"/>
        </w:rPr>
        <w:t xml:space="preserve"> </w:t>
      </w:r>
      <w:r>
        <w:rPr>
          <w:rFonts w:ascii="Times New Roman;sans-serif" w:hAnsi="Times New Roman;sans-serif"/>
          <w:b w:val="false"/>
          <w:color w:val="000000"/>
          <w:sz w:val="20"/>
        </w:rPr>
        <w:t>$82.7 million</w:t>
      </w:r>
      <w:r>
        <w:rPr>
          <w:color w:val="000000"/>
          <w:shd w:fill="FFFFFF" w:val="clear"/>
        </w:rPr>
        <w:t xml:space="preserve"> </w:t>
      </w:r>
      <w:r>
        <w:rPr>
          <w:rFonts w:ascii="Times New Roman;sans-serif" w:hAnsi="Times New Roman;sans-serif"/>
          <w:b w:val="false"/>
          <w:color w:val="000000"/>
          <w:sz w:val="20"/>
        </w:rPr>
        <w:t>and $79.6 million at September 30, 2023 and December 31, 2022, respectively.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Marketable Equity Securities</w:t>
      </w:r>
    </w:p>
    <w:p>
      <w:pPr>
        <w:pStyle w:val="TextBody"/>
        <w:bidi w:val="0"/>
        <w:spacing w:lineRule="auto" w:line="268" w:before="120" w:after="120"/>
        <w:ind w:left="0" w:right="0" w:firstLine="450"/>
        <w:jc w:val="both"/>
        <w:rPr/>
      </w:pPr>
      <w:r>
        <w:rPr>
          <w:rFonts w:ascii="Times New Roman;sans-serif" w:hAnsi="Times New Roman;sans-serif"/>
          <w:b w:val="false"/>
          <w:color w:val="000000"/>
          <w:sz w:val="20"/>
        </w:rPr>
        <w:t xml:space="preserve">There were </w:t>
      </w:r>
      <w:r>
        <w:rPr>
          <w:rFonts w:ascii="Times New Roman;sans-serif" w:hAnsi="Times New Roman;sans-serif"/>
          <w:b w:val="false"/>
          <w:color w:val="000000"/>
          <w:sz w:val="20"/>
          <w:shd w:fill="FFFFFF" w:val="clear"/>
        </w:rPr>
        <w:t>no </w:t>
      </w:r>
      <w:r>
        <w:rPr>
          <w:rFonts w:ascii="Times New Roman;sans-serif" w:hAnsi="Times New Roman;sans-serif"/>
          <w:b w:val="false"/>
          <w:color w:val="000000"/>
          <w:sz w:val="20"/>
        </w:rPr>
        <w:t xml:space="preserve">investments in marketable equity securities at September 30, 2023 or December 31, 2022. </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realized or unrealized gains or losses on marketable equity securities for the three and nine months ended September 30, 2023. No gains or losses were recorded on marketable equity securities for the three months ended September 30, 2022, and $4.1 million of gains were recorded for the nine months ended September 30, 2022, included in miscellaneous, net in the condensed consolidated statements of income. In April 2022, the Company sold its interest in a marketable equity security for $9.9 million.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Non-marketable Equity Securities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Investments in non-marketable equity securities were </w:t>
      </w:r>
      <w:r>
        <w:rPr>
          <w:rFonts w:ascii="Times New Roman;sans-serif" w:hAnsi="Times New Roman;sans-serif"/>
          <w:b w:val="false"/>
          <w:color w:val="000000"/>
          <w:sz w:val="20"/>
          <w:shd w:fill="FFFFFF" w:val="clear"/>
        </w:rPr>
        <w:t>$41.3 million and $42.7 million a</w:t>
      </w:r>
      <w:r>
        <w:rPr>
          <w:rFonts w:ascii="Times New Roman;sans-serif" w:hAnsi="Times New Roman;sans-serif"/>
          <w:b w:val="false"/>
          <w:color w:val="000000"/>
          <w:sz w:val="20"/>
        </w:rPr>
        <w:t xml:space="preserve">t September 30, 2023 and December 31, 2022, respectively. No gains or losses were recorded on non-marketable equity securities for the three months ended September 30, 2023, or the three and nine months ended September 30, 2022. During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September 30, 2023, the Company recognized impairment charges of $1.7 million on certain investments, which were included in miscellaneous, net in the consolidated statements of income.</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7. Goodwill and Other Intangible Assets</w:t>
      </w:r>
    </w:p>
    <w:p>
      <w:pPr>
        <w:pStyle w:val="TextBody"/>
        <w:bidi w:val="0"/>
        <w:spacing w:lineRule="auto" w:line="288" w:before="12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by operating segment is as follows:</w:t>
      </w:r>
    </w:p>
    <w:tbl>
      <w:tblPr>
        <w:tblW w:w="8639" w:type="dxa"/>
        <w:jc w:val="left"/>
        <w:tblInd w:w="0" w:type="dxa"/>
        <w:tblLayout w:type="fixed"/>
        <w:tblCellMar>
          <w:top w:w="28" w:type="dxa"/>
          <w:left w:w="28" w:type="dxa"/>
          <w:bottom w:w="28" w:type="dxa"/>
          <w:right w:w="28" w:type="dxa"/>
        </w:tblCellMar>
      </w:tblPr>
      <w:tblGrid>
        <w:gridCol w:w="1414"/>
        <w:gridCol w:w="1248"/>
        <w:gridCol w:w="1252"/>
        <w:gridCol w:w="315"/>
        <w:gridCol w:w="1233"/>
        <w:gridCol w:w="162"/>
        <w:gridCol w:w="109"/>
        <w:gridCol w:w="109"/>
        <w:gridCol w:w="109"/>
        <w:gridCol w:w="215"/>
        <w:gridCol w:w="844"/>
        <w:gridCol w:w="111"/>
        <w:gridCol w:w="109"/>
        <w:gridCol w:w="109"/>
        <w:gridCol w:w="109"/>
        <w:gridCol w:w="211"/>
        <w:gridCol w:w="826"/>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International </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"second component" goodwill</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291,411 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95"/>
        <w:jc w:val="both"/>
        <w:rPr/>
      </w:pPr>
      <w:r>
        <w:rPr>
          <w:rFonts w:ascii="Times New Roman;sans-serif" w:hAnsi="Times New Roman;sans-serif"/>
          <w:b w:val="false"/>
          <w:color w:val="000000"/>
          <w:sz w:val="20"/>
        </w:rPr>
        <w:t xml:space="preserve">As of September 30, 2023 and December 31, 2022, accumulated impairment charges in the International and Other segment totaled $165.7 million and </w:t>
      </w:r>
      <w:r>
        <w:rPr>
          <w:rFonts w:ascii="Times New Roman;sans-serif" w:hAnsi="Times New Roman;sans-serif"/>
          <w:b w:val="false"/>
          <w:color w:val="000000"/>
          <w:sz w:val="20"/>
          <w:shd w:fill="FFFFFF" w:val="clear"/>
        </w:rPr>
        <w:t>$163.8 million, respectively</w:t>
      </w:r>
      <w:r>
        <w:rPr>
          <w:rFonts w:ascii="Times New Roman;sans-serif" w:hAnsi="Times New Roman;sans-serif"/>
          <w:b w:val="false"/>
          <w:color w:val="000000"/>
          <w:sz w:val="20"/>
        </w:rPr>
        <w:t>.</w:t>
      </w:r>
    </w:p>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$1.9 million impairment charge for International and Other relates to the 25/7 Media reporting unit. See "Impairment Test of Long-Lived Assets and Goodwill" below for more details.</w:t>
      </w:r>
    </w:p>
    <w:p>
      <w:pPr>
        <w:pStyle w:val="TextBody"/>
        <w:bidi w:val="0"/>
        <w:spacing w:lineRule="auto" w:line="288" w:before="120" w:after="60"/>
        <w:ind w:left="0" w:right="0" w:firstLine="495"/>
        <w:jc w:val="both"/>
        <w:rPr/>
      </w:pPr>
      <w:r>
        <w:rPr>
          <w:rFonts w:ascii="Times New Roman;sans-serif" w:hAnsi="Times New Roman;sans-serif"/>
          <w:b w:val="false"/>
          <w:color w:val="000000"/>
          <w:sz w:val="20"/>
        </w:rPr>
        <w:t>The reduction of</w:t>
      </w:r>
      <w:r>
        <w:rPr>
          <w:color w:val="000000"/>
          <w:shd w:fill="FFFFFF" w:val="clear"/>
        </w:rPr>
        <w:t xml:space="preserve"> </w:t>
      </w:r>
      <w:r>
        <w:rPr>
          <w:rFonts w:ascii="Times New Roman;sans-serif" w:hAnsi="Times New Roman;sans-serif"/>
          <w:b w:val="false"/>
          <w:color w:val="000000"/>
          <w:sz w:val="20"/>
          <w:shd w:fill="FFFFFF" w:val="clear"/>
        </w:rPr>
        <w:t>$0.6 million in</w:t>
      </w:r>
      <w:r>
        <w:rPr>
          <w:color w:val="000000"/>
        </w:rPr>
        <w:t xml:space="preserve"> </w:t>
      </w:r>
      <w:r>
        <w:rPr>
          <w:rFonts w:ascii="Times New Roman;sans-serif" w:hAnsi="Times New Roman;sans-serif"/>
          <w:b w:val="false"/>
          <w:color w:val="000000"/>
          <w:sz w:val="20"/>
        </w:rPr>
        <w:t xml:space="preserve">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 All remaining tax benefits were realized during the second quarter of 2023. </w:t>
      </w:r>
    </w:p>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information relating to the Company's identifiable intangible assets:</w:t>
      </w:r>
    </w:p>
    <w:tbl>
      <w:tblPr>
        <w:tblW w:w="10205" w:type="dxa"/>
        <w:jc w:val="left"/>
        <w:tblInd w:w="0" w:type="dxa"/>
        <w:tblLayout w:type="fixed"/>
        <w:tblCellMar>
          <w:top w:w="28" w:type="dxa"/>
          <w:left w:w="28" w:type="dxa"/>
          <w:bottom w:w="28" w:type="dxa"/>
          <w:right w:w="28" w:type="dxa"/>
        </w:tblCellMar>
      </w:tblPr>
      <w:tblGrid>
        <w:gridCol w:w="1286"/>
        <w:gridCol w:w="1073"/>
        <w:gridCol w:w="1084"/>
        <w:gridCol w:w="211"/>
        <w:gridCol w:w="826"/>
        <w:gridCol w:w="109"/>
        <w:gridCol w:w="109"/>
        <w:gridCol w:w="109"/>
        <w:gridCol w:w="109"/>
        <w:gridCol w:w="326"/>
        <w:gridCol w:w="1377"/>
        <w:gridCol w:w="168"/>
        <w:gridCol w:w="109"/>
        <w:gridCol w:w="109"/>
        <w:gridCol w:w="109"/>
        <w:gridCol w:w="211"/>
        <w:gridCol w:w="826"/>
        <w:gridCol w:w="109"/>
        <w:gridCol w:w="109"/>
        <w:gridCol w:w="109"/>
        <w:gridCol w:w="109"/>
        <w:gridCol w:w="471"/>
        <w:gridCol w:w="471"/>
        <w:gridCol w:w="676"/>
      </w:tblGrid>
      <w:tr>
        <w:trPr/>
        <w:tc>
          <w:tcPr>
            <w:tcW w:w="12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w:t>
            </w:r>
          </w:p>
        </w:tc>
      </w:tr>
      <w:tr>
        <w:trPr/>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(410,571)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 to 25 years</w:t>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(56,216)</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to 20 years</w:t>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(504,385)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(504,385)</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(450,844)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(450,844)</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120" w:after="120"/>
        <w:ind w:left="0" w:right="0" w:firstLine="450"/>
        <w:jc w:val="both"/>
        <w:rPr/>
      </w:pPr>
      <w:r>
        <w:rPr/>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Aggregate amortization expense for amortizable intangible assets for the three months ended September 30, 2023 and 2022 was $9.8 million</w:t>
      </w:r>
      <w:r>
        <w:rPr>
          <w:color w:val="000000"/>
          <w:shd w:fill="FFFFFF" w:val="clear"/>
        </w:rPr>
        <w:t xml:space="preserve"> </w:t>
      </w:r>
      <w:r>
        <w:rPr>
          <w:rFonts w:ascii="Times New Roman;sans-serif" w:hAnsi="Times New Roman;sans-serif"/>
          <w:b w:val="false"/>
          <w:color w:val="000000"/>
          <w:sz w:val="20"/>
        </w:rPr>
        <w:t>and $10.2 million, respectively, and for the nine months ended September 30, 2023 and 2022 was $30.7 million and $31.2 million, respectively. Estimated aggregate amortization expense for intangible assets subject to amortization for each of the following five years is:</w:t>
      </w:r>
    </w:p>
    <w:tbl>
      <w:tblPr>
        <w:tblW w:w="3350" w:type="dxa"/>
        <w:jc w:val="left"/>
        <w:tblInd w:w="0" w:type="dxa"/>
        <w:tblLayout w:type="fixed"/>
        <w:tblCellMar>
          <w:top w:w="28" w:type="dxa"/>
          <w:left w:w="28" w:type="dxa"/>
          <w:bottom w:w="28" w:type="dxa"/>
          <w:right w:w="28" w:type="dxa"/>
        </w:tblCellMar>
      </w:tblPr>
      <w:tblGrid>
        <w:gridCol w:w="818"/>
        <w:gridCol w:w="722"/>
        <w:gridCol w:w="724"/>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Impairment Test of Long-Lived Assets and Goodwill</w:t>
      </w:r>
    </w:p>
    <w:p>
      <w:pPr>
        <w:pStyle w:val="TextBody"/>
        <w:bidi w:val="0"/>
        <w:spacing w:lineRule="auto" w:line="268" w:before="0" w:after="60"/>
        <w:ind w:left="0" w:right="0" w:firstLine="450"/>
        <w:jc w:val="both"/>
        <w:rPr/>
      </w:pPr>
      <w:r>
        <w:rPr>
          <w:rFonts w:ascii="Times New Roman;sans-serif" w:hAnsi="Times New Roman;sans-serif"/>
          <w:b w:val="false"/>
          <w:color w:val="000000"/>
          <w:sz w:val="20"/>
        </w:rPr>
        <w:t>25/7 Media is our production services business and is part of our International and Other operating segment. See "Item 1. Business - International and Other" in our 2022 Form 10-K for further details. During the second quarter of 2023, given the impact of market challenges at 25/7 Media, specifically as it relates to reduced demand for new content and series cancellations from third parties, the Company revised its outlook for the 25/7 Media business, resulting in lower expected future cash flows.</w:t>
      </w:r>
      <w:r>
        <w:rPr>
          <w:color w:val="000000"/>
        </w:rPr>
        <w:t xml:space="preserve"> </w:t>
      </w:r>
      <w:r>
        <w:rPr>
          <w:rFonts w:ascii="Times New Roman;sans-serif" w:hAnsi="Times New Roman;sans-serif"/>
          <w:b w:val="false"/>
          <w:color w:val="000000"/>
          <w:sz w:val="20"/>
        </w:rPr>
        <w:t>As a result, the Company determined that sufficient indicators of potential impairment of long-lived assets existed at 25/7 Media. 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consolidated statement of income within the International and Other operating segment. Fair values used to determine the impairment charge were determined using an income approach, specifically a DCF model, and a market comparables approach.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the Company also determined that a triggering event had occurred with respect to the 25/7 Media reporting unit, which required an interim goodwill impairment test to be performed. Accordingly, the Company performed a quantitative assessment using an income approach, specifically a DCF model, and a market comparables approach. Based on the valuations performed, a $1.9 million goodwill impairment charge was recorded, which is included in impairment and other charges in the consolidated statement of income, within the International and Other operating segment.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Note 8. Accrued Liabilities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w:t>
      </w:r>
    </w:p>
    <w:tbl>
      <w:tblPr>
        <w:tblW w:w="6819" w:type="dxa"/>
        <w:jc w:val="left"/>
        <w:tblInd w:w="0" w:type="dxa"/>
        <w:tblLayout w:type="fixed"/>
        <w:tblCellMar>
          <w:top w:w="28" w:type="dxa"/>
          <w:left w:w="28" w:type="dxa"/>
          <w:bottom w:w="28" w:type="dxa"/>
          <w:right w:w="28" w:type="dxa"/>
        </w:tblCellMar>
      </w:tblPr>
      <w:tblGrid>
        <w:gridCol w:w="1192"/>
        <w:gridCol w:w="1052"/>
        <w:gridCol w:w="1055"/>
        <w:gridCol w:w="295"/>
        <w:gridCol w:w="1157"/>
        <w:gridCol w:w="152"/>
        <w:gridCol w:w="109"/>
        <w:gridCol w:w="109"/>
        <w:gridCol w:w="109"/>
        <w:gridCol w:w="281"/>
        <w:gridCol w:w="1103"/>
        <w:gridCol w:w="205"/>
      </w:tblGrid>
      <w:tr>
        <w:trPr/>
        <w:tc>
          <w:tcPr>
            <w:tcW w:w="119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related costs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Participations and residuals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373,403 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419,065 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9. Long-term Debt</w:t>
      </w:r>
    </w:p>
    <w:p>
      <w:pPr>
        <w:pStyle w:val="TextBody"/>
        <w:bidi w:val="0"/>
        <w:spacing w:lineRule="auto" w:line="288" w:before="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long-term debt consists of the following:</w:t>
      </w:r>
    </w:p>
    <w:tbl>
      <w:tblPr>
        <w:tblW w:w="6670" w:type="dxa"/>
        <w:jc w:val="left"/>
        <w:tblInd w:w="0" w:type="dxa"/>
        <w:tblLayout w:type="fixed"/>
        <w:tblCellMar>
          <w:top w:w="28" w:type="dxa"/>
          <w:left w:w="28" w:type="dxa"/>
          <w:bottom w:w="28" w:type="dxa"/>
          <w:right w:w="28" w:type="dxa"/>
        </w:tblCellMar>
      </w:tblPr>
      <w:tblGrid>
        <w:gridCol w:w="1138"/>
        <w:gridCol w:w="1004"/>
        <w:gridCol w:w="1007"/>
        <w:gridCol w:w="261"/>
        <w:gridCol w:w="1209"/>
        <w:gridCol w:w="135"/>
        <w:gridCol w:w="109"/>
        <w:gridCol w:w="109"/>
        <w:gridCol w:w="109"/>
        <w:gridCol w:w="250"/>
        <w:gridCol w:w="1157"/>
        <w:gridCol w:w="182"/>
      </w:tblGrid>
      <w:tr>
        <w:trPr/>
        <w:tc>
          <w:tcPr>
            <w:tcW w:w="113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Credit Facility: </w:t>
            </w:r>
            <w:r>
              <w:rPr>
                <w:rFonts w:ascii="Times New Roman;sans-serif" w:hAnsi="Times New Roman;sans-serif"/>
                <w:b w:val="false"/>
                <w:color w:val="000000"/>
                <w:sz w:val="14"/>
              </w:rPr>
              <w:t>(a)</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April 2024</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Notes due August 2025</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Notes due February 2029</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2,815,938 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2,841,250 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2,793,279 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2,812,453 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long-term debt</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2,334,216 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2,778,703 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Company's revolving credit facility remains undrawn at September 30, 2023. Total undrawn revolver commitments are available to be drawn for general corporate purposes of the Company.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repaid a total of $25.3 million of the principal amount of the Term Loan A Facility in accordance with the terms of the agreement.</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entered into Amendment No. 2 ("Amendment No. 2") to the Second Amended and Restated Credit Agreement (the "Credit Agreement"). Amendment No. 2 (i) reduced the aggregate principal amount of the revolving loan commitments under the Credit Agreement from $500 million to $400 million, (ii) replaced the interest rate based on London Interbank Offered Rate with an interest rate based on the Secured Overnight Financing Rate,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 The maturity date of the Term Loan A Facility and revolving credit facility under the Credit Agreement is February 8, 2026. In connection with the modification of the revolving loan commitments, the Company recorded $0.6 million to write-off a portion of the unamortized deferred financing costs, which is included in interest expense within the consolidated statements of income for the nine months ended September 30, 2023.</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2023, the Company gave notice of its intention to redeem the remaining $400 million outstanding principal amount of its 5.00% senior notes due 2024 (the “2024 Notes”) on December 12, 2023 (the “Redemption Date”). The 2024 Notes will be redeemed at a redemption price of 100.000% of the principal amount of the 2024 Notes plus accrued and unpaid interest to, but excluding, the Redemption Date.</w:t>
      </w:r>
    </w:p>
    <w:p>
      <w:pPr>
        <w:pStyle w:val="TextBody"/>
        <w:bidi w:val="0"/>
        <w:spacing w:before="0" w:after="0"/>
        <w:ind w:left="0" w:right="0" w:firstLine="495"/>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Other Debt</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a majority owned subsidiary of the Company extended its credit facility totaling $4.5 million to July 21, 2024. The facility bears interest at the greater of 3.5% or the prime rate plus 1%. There were no outstanding borrowings under the credit facility as of September 30, 2023.</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leases included in the condensed consolidated balance sheets as follows:</w:t>
      </w:r>
    </w:p>
    <w:tbl>
      <w:tblPr>
        <w:tblW w:w="8676" w:type="dxa"/>
        <w:jc w:val="left"/>
        <w:tblInd w:w="0" w:type="dxa"/>
        <w:tblLayout w:type="fixed"/>
        <w:tblCellMar>
          <w:top w:w="28" w:type="dxa"/>
          <w:left w:w="28" w:type="dxa"/>
          <w:bottom w:w="28" w:type="dxa"/>
          <w:right w:w="28" w:type="dxa"/>
        </w:tblCellMar>
      </w:tblPr>
      <w:tblGrid>
        <w:gridCol w:w="661"/>
        <w:gridCol w:w="584"/>
        <w:gridCol w:w="585"/>
        <w:gridCol w:w="999"/>
        <w:gridCol w:w="999"/>
        <w:gridCol w:w="1001"/>
        <w:gridCol w:w="109"/>
        <w:gridCol w:w="109"/>
        <w:gridCol w:w="109"/>
        <w:gridCol w:w="295"/>
        <w:gridCol w:w="1157"/>
        <w:gridCol w:w="152"/>
        <w:gridCol w:w="109"/>
        <w:gridCol w:w="109"/>
        <w:gridCol w:w="109"/>
        <w:gridCol w:w="281"/>
        <w:gridCol w:w="1103"/>
        <w:gridCol w:w="205"/>
      </w:tblGrid>
      <w:tr>
        <w:trPr/>
        <w:tc>
          <w:tcPr>
            <w:tcW w:w="6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99,116 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exiting a portion of its office space in New York in the third quarter of 2023, the Company recorded an impairment charge of $9.1 million for operating lease right-of use assets. Refer to Note 4, Restructuring and Other Related Charges for additional details.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11. Fair Value Measurement</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 - Quoted prices for identical instruments in active markets.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III - Instruments whose significant value drivers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each of these hierarchy levels, the Company's financial assets and liabilities that are measured at fair value on a recurring basis at September 30, 2023 and December 31, 2022:</w:t>
      </w:r>
    </w:p>
    <w:tbl>
      <w:tblPr>
        <w:tblW w:w="7789" w:type="dxa"/>
        <w:jc w:val="left"/>
        <w:tblInd w:w="0" w:type="dxa"/>
        <w:tblLayout w:type="fixed"/>
        <w:tblCellMar>
          <w:top w:w="28" w:type="dxa"/>
          <w:left w:w="28" w:type="dxa"/>
          <w:bottom w:w="28" w:type="dxa"/>
          <w:right w:w="28" w:type="dxa"/>
        </w:tblCellMar>
      </w:tblPr>
      <w:tblGrid>
        <w:gridCol w:w="1030"/>
        <w:gridCol w:w="908"/>
        <w:gridCol w:w="911"/>
        <w:gridCol w:w="109"/>
        <w:gridCol w:w="109"/>
        <w:gridCol w:w="109"/>
        <w:gridCol w:w="211"/>
        <w:gridCol w:w="721"/>
        <w:gridCol w:w="109"/>
        <w:gridCol w:w="109"/>
        <w:gridCol w:w="109"/>
        <w:gridCol w:w="109"/>
        <w:gridCol w:w="211"/>
        <w:gridCol w:w="406"/>
        <w:gridCol w:w="109"/>
        <w:gridCol w:w="109"/>
        <w:gridCol w:w="109"/>
        <w:gridCol w:w="109"/>
        <w:gridCol w:w="226"/>
        <w:gridCol w:w="436"/>
        <w:gridCol w:w="117"/>
        <w:gridCol w:w="109"/>
        <w:gridCol w:w="109"/>
        <w:gridCol w:w="109"/>
        <w:gridCol w:w="211"/>
        <w:gridCol w:w="721"/>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(comprised of money market mutual funds) are classified within Level I of the fair value hierarchy because they are valued using quoted market prices.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Company did not have any material assets or liabilities measured at fair value on a recurring basis that would be considered Level III.</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Credit Facility Debt and Senior Notes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each of the Company's debt instruments are based on quoted market prices for the same or similar issues or on the current rates offered to the Company for instruments of the same remaining maturities.</w:t>
      </w:r>
    </w:p>
    <w:p>
      <w:pPr>
        <w:pStyle w:val="TextBody"/>
        <w:bidi w:val="0"/>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of the Company's financial instruments, excluding those that are carried at fair value in the condensed consolidated balance sheets, are summarized as follows:</w:t>
      </w:r>
    </w:p>
    <w:tbl>
      <w:tblPr>
        <w:tblW w:w="5694" w:type="dxa"/>
        <w:jc w:val="left"/>
        <w:tblInd w:w="0" w:type="dxa"/>
        <w:tblLayout w:type="fixed"/>
        <w:tblCellMar>
          <w:top w:w="28" w:type="dxa"/>
          <w:left w:w="28" w:type="dxa"/>
          <w:bottom w:w="28" w:type="dxa"/>
          <w:right w:w="28" w:type="dxa"/>
        </w:tblCellMar>
      </w:tblPr>
      <w:tblGrid>
        <w:gridCol w:w="987"/>
        <w:gridCol w:w="870"/>
        <w:gridCol w:w="873"/>
        <w:gridCol w:w="211"/>
        <w:gridCol w:w="976"/>
        <w:gridCol w:w="109"/>
        <w:gridCol w:w="109"/>
        <w:gridCol w:w="109"/>
        <w:gridCol w:w="109"/>
        <w:gridCol w:w="211"/>
        <w:gridCol w:w="97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730"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April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Notes due August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Notes due February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5694" w:type="dxa"/>
        <w:jc w:val="center"/>
        <w:tblInd w:w="0" w:type="dxa"/>
        <w:tblLayout w:type="fixed"/>
        <w:tblCellMar>
          <w:top w:w="28" w:type="dxa"/>
          <w:left w:w="28" w:type="dxa"/>
          <w:bottom w:w="28" w:type="dxa"/>
          <w:right w:w="28" w:type="dxa"/>
        </w:tblCellMar>
      </w:tblPr>
      <w:tblGrid>
        <w:gridCol w:w="987"/>
        <w:gridCol w:w="870"/>
        <w:gridCol w:w="873"/>
        <w:gridCol w:w="211"/>
        <w:gridCol w:w="976"/>
        <w:gridCol w:w="109"/>
        <w:gridCol w:w="109"/>
        <w:gridCol w:w="109"/>
        <w:gridCol w:w="109"/>
        <w:gridCol w:w="211"/>
        <w:gridCol w:w="97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3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April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Notes due August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Notes due February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2,218,766 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12. Derivative Financial Instruments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foreign currency risk to the extent that we enter into transactions denominated in currencies other than one of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as follows:</w:t>
      </w:r>
    </w:p>
    <w:tbl>
      <w:tblPr>
        <w:tblW w:w="10205" w:type="dxa"/>
        <w:jc w:val="left"/>
        <w:tblInd w:w="0" w:type="dxa"/>
        <w:tblLayout w:type="fixed"/>
        <w:tblCellMar>
          <w:top w:w="28" w:type="dxa"/>
          <w:left w:w="28" w:type="dxa"/>
          <w:bottom w:w="28" w:type="dxa"/>
          <w:right w:w="28" w:type="dxa"/>
        </w:tblCellMar>
      </w:tblPr>
      <w:tblGrid>
        <w:gridCol w:w="1258"/>
        <w:gridCol w:w="1109"/>
        <w:gridCol w:w="1100"/>
        <w:gridCol w:w="1081"/>
        <w:gridCol w:w="1081"/>
        <w:gridCol w:w="1083"/>
        <w:gridCol w:w="109"/>
        <w:gridCol w:w="109"/>
        <w:gridCol w:w="109"/>
        <w:gridCol w:w="319"/>
        <w:gridCol w:w="932"/>
        <w:gridCol w:w="165"/>
        <w:gridCol w:w="109"/>
        <w:gridCol w:w="109"/>
        <w:gridCol w:w="109"/>
        <w:gridCol w:w="305"/>
        <w:gridCol w:w="891"/>
        <w:gridCol w:w="227"/>
      </w:tblGrid>
      <w:tr>
        <w:trPr/>
        <w:tc>
          <w:tcPr>
            <w:tcW w:w="125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3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related to the Company's derivative financial instruments not designated as hedging instruments are as follows:</w:t>
      </w:r>
    </w:p>
    <w:tbl>
      <w:tblPr>
        <w:tblW w:w="10205" w:type="dxa"/>
        <w:jc w:val="left"/>
        <w:tblInd w:w="0" w:type="dxa"/>
        <w:tblLayout w:type="fixed"/>
        <w:tblCellMar>
          <w:top w:w="28" w:type="dxa"/>
          <w:left w:w="28" w:type="dxa"/>
          <w:bottom w:w="28" w:type="dxa"/>
          <w:right w:w="28" w:type="dxa"/>
        </w:tblCellMar>
      </w:tblPr>
      <w:tblGrid>
        <w:gridCol w:w="623"/>
        <w:gridCol w:w="531"/>
        <w:gridCol w:w="494"/>
        <w:gridCol w:w="1128"/>
        <w:gridCol w:w="913"/>
        <w:gridCol w:w="916"/>
        <w:gridCol w:w="109"/>
        <w:gridCol w:w="109"/>
        <w:gridCol w:w="109"/>
        <w:gridCol w:w="239"/>
        <w:gridCol w:w="580"/>
        <w:gridCol w:w="123"/>
        <w:gridCol w:w="123"/>
        <w:gridCol w:w="123"/>
        <w:gridCol w:w="123"/>
        <w:gridCol w:w="239"/>
        <w:gridCol w:w="750"/>
        <w:gridCol w:w="123"/>
        <w:gridCol w:w="111"/>
        <w:gridCol w:w="111"/>
        <w:gridCol w:w="111"/>
        <w:gridCol w:w="231"/>
        <w:gridCol w:w="676"/>
        <w:gridCol w:w="119"/>
        <w:gridCol w:w="119"/>
        <w:gridCol w:w="119"/>
        <w:gridCol w:w="119"/>
        <w:gridCol w:w="231"/>
        <w:gridCol w:w="724"/>
        <w:gridCol w:w="179"/>
      </w:tblGrid>
      <w:tr>
        <w:trPr/>
        <w:tc>
          <w:tcPr>
            <w:tcW w:w="62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6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or (Loss) Recognized in 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or (Loss) Recognized in Earnings on Derivatives</w:t>
            </w:r>
          </w:p>
        </w:tc>
      </w:tr>
      <w:tr>
        <w:trPr/>
        <w:tc>
          <w:tcPr>
            <w:tcW w:w="1648" w:type="dxa"/>
            <w:gridSpan w:val="3"/>
            <w:vMerge w:val="continue"/>
            <w:tcBorders/>
            <w:tcMar>
              <w:top w:w="0" w:type="dxa"/>
              <w:left w:w="0" w:type="dxa"/>
              <w:bottom w:w="0" w:type="dxa"/>
              <w:right w:w="0" w:type="dxa"/>
            </w:tcMar>
            <w:vAlign w:val="center"/>
          </w:tcPr>
          <w:p>
            <w:pPr>
              <w:pStyle w:val="Normal"/>
              <w:bidi w:val="0"/>
              <w:jc w:val="left"/>
              <w:rPr/>
            </w:pPr>
            <w:r>
              <w:rPr/>
            </w:r>
          </w:p>
        </w:tc>
        <w:tc>
          <w:tcPr>
            <w:tcW w:w="2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648" w:type="dxa"/>
            <w:gridSpan w:val="3"/>
            <w:vMerge w:val="continue"/>
            <w:tcBorders/>
            <w:tcMar>
              <w:top w:w="0" w:type="dxa"/>
              <w:left w:w="0" w:type="dxa"/>
              <w:bottom w:w="0" w:type="dxa"/>
              <w:right w:w="0" w:type="dxa"/>
            </w:tcMar>
            <w:vAlign w:val="center"/>
          </w:tcPr>
          <w:p>
            <w:pPr>
              <w:pStyle w:val="Normal"/>
              <w:bidi w:val="0"/>
              <w:jc w:val="left"/>
              <w:rPr/>
            </w:pPr>
            <w:r>
              <w:rPr/>
            </w:r>
          </w:p>
        </w:tc>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2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2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13. Income Taxes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income tax expense was $23.7 million and $82.7 million, respectively, representing an effective tax rate of 26% for both periods. The items resulting in variances from the federal statutory rate of 21% for the three and nine months ended September 30, 2023, primarily consisted of state and local income tax expense and tax expense related to non-deductible compensation.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2022, income tax expense was $28.5 million and $103.1 million, respectively, representing an effective tax rate of 24% and 26%, respectively. The items resulting in variances from the federal statutory rate of 21% for the three and nine months ended September 30, 2022, primarily consisted of state and local income tax expense, tax expense for an increase in the valuation allowance for foreign taxes and tax expense related to non-deductible compensation.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foreign tax credit carry forwards of approximately $53.9 million, expiring on various dates from 2024 through 2033. These carryforwards have been reduced by a valuation allowance of $53.9 million as it is more likely than not that these carry forwards will not be realized. For the nine months ended September 30, 2023, $0.4 million relating to amortization of tax deductible second component goodwill was realized as a reduction in tax liability (as determined on a 'with-and-without' approach).</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approximately $198.0 million of cash and cash equivalents, previously held by foreign subsidiaries, was repatriated to the United States. Our consolidated cash and cash equivalents balance of $955.2 million, as of September 30, 2023, includes approximately $170.9 million held by foreign subsidiaries. Of this amount, approximately $60.0 million is expected to be repatriated to the United States with the remaining amount continuing to be reinvested in foreign operations. Tax expense related to the repatriated amount, as well as the expected remaining repatriation amount, has been accrued in the current period and the Company does not expect to incur any significant, additional taxes related to the remaining balance.</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As of September 30, 2023, the Company's contractual obligations not reflected on the Company's condensed consolidated balance sheet increased</w:t>
      </w:r>
      <w:r>
        <w:rPr>
          <w:color w:val="000000"/>
        </w:rPr>
        <w:t xml:space="preserve"> </w:t>
      </w:r>
      <w:r>
        <w:rPr>
          <w:rFonts w:ascii="Times New Roman;sans-serif" w:hAnsi="Times New Roman;sans-serif"/>
          <w:b w:val="false"/>
          <w:color w:val="000000"/>
          <w:sz w:val="20"/>
        </w:rPr>
        <w:t>$20.6 million, as compared to December 31, 2022, to</w:t>
      </w:r>
      <w:r>
        <w:rPr>
          <w:color w:val="000000"/>
        </w:rPr>
        <w:t xml:space="preserve"> </w:t>
      </w:r>
      <w:r>
        <w:rPr>
          <w:rFonts w:ascii="Times New Roman;sans-serif" w:hAnsi="Times New Roman;sans-serif"/>
          <w:b w:val="false"/>
          <w:color w:val="000000"/>
          <w:sz w:val="20"/>
        </w:rPr>
        <w:t>$932.8 million. The increase was primarily driven by additional program rights commitments and the renewal of a third-party service contract, partially offset by payments for program rights.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The parties entered into an agreement to resolve through confidential binding arbitration the remaining claims in the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(consisting mainly of ordinary course profit participation audit claims), and as a result, the court formally dismissed the case. The arbitration to resolve the two remaining claims for breach of contract was held between October 16 through October 20, 2023 and a final decision is not expected until 2024. While the ultimate outcome of this litigation is uncertain, we expect that the ultimate outcome is unlikely to have a material impact on the Company’s financial condition or results of operations.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The motion is fully briefed and awaiting decision. The court has scheduled a trial date of September 17, 2024.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actions and claims arising from alleged violation of the federal Video Privacy Protection Act (the “VPPA”) and analogous state laws. In addition to certain putative class actions currently pending, the Company is facing a series of arbitration claims managed by multiple plaintiffs’ law firms. The class action complaints and the arbitration claims all allege that the Company’s use of a Meta Platforms, Inc. pixel on the websites for certain of its subscription video services, including AMC+ and Shudder, violated the privacy protection provisions of the VPPA and its state law analogues. On October 27, 2023, the Company reached a settlement in principle (which settlement is subject to court approval) with multiple plaintiffs’ law firms relating to their pending class actions alleging violations of the VPPA and analogous state laws. Although the outcome of the arbitration cannot be predicted with certainty, management does not believe that the resolution of these arbitrations will have a material adverse effect on the Company’s business or financial position or the Company’s ability to meet its financial obligations as they become due. Any potential liability is expected to be reimbursed by the Company’s insurance carriers.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15. Equity Plans</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second quarter of 2023, AMC Networks granted 1,792,097 restricted stock units ("RSUs") to certain executive officers and employees under the AMC Networks Inc. Amended and Restated 2016 Employee Stock Plan, which vest ratably over a three-year period, and 131,640 RSUs under the 2011 Stock Plan for Non-Employee Directors to non-employee directors that vested on the date of grant.</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February 2023, AMC Networks granted 297,325 RSUs under the AMC Networks Inc. Amended and Restated 2016 Employee Stock Plan to its chief executive officer. The RSUs vest ratably over a three-year period.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During the nine months ended September 30, 2023, 883,424</w:t>
      </w:r>
      <w:r>
        <w:rPr>
          <w:color w:val="000000"/>
          <w:shd w:fill="FFFFFF" w:val="clear"/>
        </w:rPr>
        <w:t xml:space="preserve"> </w:t>
      </w:r>
      <w:r>
        <w:rPr>
          <w:rFonts w:ascii="Times New Roman;sans-serif" w:hAnsi="Times New Roman;sans-serif"/>
          <w:b w:val="false"/>
          <w:color w:val="000000"/>
          <w:sz w:val="20"/>
          <w:shd w:fill="FFFFFF" w:val="clear"/>
        </w:rPr>
        <w:t xml:space="preserve">RSUs </w:t>
      </w:r>
      <w:r>
        <w:rPr>
          <w:rFonts w:ascii="Times New Roman;sans-serif" w:hAnsi="Times New Roman;sans-serif"/>
          <w:b w:val="false"/>
          <w:color w:val="000000"/>
          <w:sz w:val="20"/>
        </w:rPr>
        <w:t>of AMC Networks Class A Common Stock previously issued to employees of the Company vested, all of which occurred during the first two quarters of 2023. On the vesting dat</w:t>
      </w:r>
      <w:r>
        <w:rPr>
          <w:rFonts w:ascii="Times New Roman;sans-serif" w:hAnsi="Times New Roman;sans-serif"/>
          <w:b w:val="false"/>
          <w:color w:val="000000"/>
          <w:sz w:val="20"/>
          <w:shd w:fill="FFFFFF" w:val="clear"/>
        </w:rPr>
        <w:t xml:space="preserve">e, 387,675 RSUs </w:t>
      </w:r>
      <w:r>
        <w:rPr>
          <w:rFonts w:ascii="Times New Roman;sans-serif" w:hAnsi="Times New Roman;sans-serif"/>
          <w:b w:val="false"/>
          <w:color w:val="000000"/>
          <w:sz w:val="20"/>
        </w:rPr>
        <w:t>were surrendered to the Company to cover the required statutory tax withholding obligations an</w:t>
      </w:r>
      <w:r>
        <w:rPr>
          <w:rFonts w:ascii="Times New Roman;sans-serif" w:hAnsi="Times New Roman;sans-serif"/>
          <w:b w:val="false"/>
          <w:color w:val="000000"/>
          <w:sz w:val="20"/>
          <w:shd w:fill="FFFFFF" w:val="clear"/>
        </w:rPr>
        <w:t>d 495,749</w:t>
      </w:r>
      <w:r>
        <w:rPr>
          <w:color w:val="000000"/>
        </w:rPr>
        <w:t xml:space="preserve"> </w:t>
      </w:r>
      <w:r>
        <w:rPr>
          <w:rFonts w:ascii="Times New Roman;sans-serif" w:hAnsi="Times New Roman;sans-serif"/>
          <w:b w:val="false"/>
          <w:color w:val="000000"/>
          <w:sz w:val="20"/>
        </w:rPr>
        <w:t>shares of AMC Networks Class A Common Stock were issued. Units are surrendered to satisfy the employees' statutory minimu</w:t>
      </w:r>
      <w:r>
        <w:rPr>
          <w:rFonts w:ascii="Times New Roman;sans-serif" w:hAnsi="Times New Roman;sans-serif"/>
          <w:b w:val="false"/>
          <w:color w:val="000000"/>
          <w:sz w:val="20"/>
          <w:shd w:fill="FFFFFF" w:val="clear"/>
        </w:rPr>
        <w:t>m tax withholding obligations for the applicable income and other employment tax. The units surrendered during the</w:t>
      </w:r>
      <w:r>
        <w:rPr>
          <w:color w:val="000000"/>
        </w:rPr>
        <w:t xml:space="preserve"> </w:t>
      </w:r>
      <w:r>
        <w:rPr>
          <w:rFonts w:ascii="Times New Roman;sans-serif" w:hAnsi="Times New Roman;sans-serif"/>
          <w:b w:val="false"/>
          <w:color w:val="000000"/>
          <w:sz w:val="20"/>
        </w:rPr>
        <w:t>nine months ended September 30, 2023 h</w:t>
      </w:r>
      <w:r>
        <w:rPr>
          <w:rFonts w:ascii="Times New Roman;sans-serif" w:hAnsi="Times New Roman;sans-serif"/>
          <w:b w:val="false"/>
          <w:color w:val="000000"/>
          <w:sz w:val="20"/>
          <w:shd w:fill="FFFFFF" w:val="clear"/>
        </w:rPr>
        <w:t xml:space="preserve">ad an aggregate value of </w:t>
      </w:r>
      <w:r>
        <w:rPr>
          <w:rFonts w:ascii="Times New Roman;sans-serif" w:hAnsi="Times New Roman;sans-serif"/>
          <w:b w:val="false"/>
          <w:color w:val="000000"/>
          <w:sz w:val="20"/>
        </w:rPr>
        <w:t>$7.2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which has been reflected as a financing activity in the condensed consolidated statement of cash flows for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The Company recorded share-based compensation expenses of $6.4 million and $19.9 million (including $0.2 million recorded as part of Restructuring and other related charges) for the three and nine months ended September 30, 2023, respectively, and $7.1 million and </w:t>
      </w:r>
      <w:r>
        <w:rPr>
          <w:rFonts w:ascii="Times New Roman;sans-serif" w:hAnsi="Times New Roman;sans-serif"/>
          <w:b w:val="false"/>
          <w:color w:val="000000"/>
          <w:sz w:val="20"/>
          <w:shd w:fill="FFFFFF" w:val="clear"/>
        </w:rPr>
        <w:t xml:space="preserve">$23.9 million </w:t>
      </w:r>
      <w:r>
        <w:rPr>
          <w:rFonts w:ascii="Times New Roman;sans-serif" w:hAnsi="Times New Roman;sans-serif"/>
          <w:b w:val="false"/>
          <w:color w:val="000000"/>
          <w:sz w:val="20"/>
        </w:rPr>
        <w:t>for the three and nine months ended September 30, 2022</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 Share-based compensation expenses are recognized in the consolidated statements of income as part of selling, general and administrative expenses.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As of September 30, 2023, there was </w:t>
      </w:r>
      <w:r>
        <w:rPr>
          <w:rFonts w:ascii="Times New Roman;sans-serif" w:hAnsi="Times New Roman;sans-serif"/>
          <w:b w:val="false"/>
          <w:color w:val="000000"/>
          <w:sz w:val="20"/>
          <w:shd w:fill="FFFFFF" w:val="clear"/>
        </w:rPr>
        <w:t xml:space="preserve">$35.2 million </w:t>
      </w:r>
      <w:r>
        <w:rPr>
          <w:rFonts w:ascii="Times New Roman;sans-serif" w:hAnsi="Times New Roman;sans-serif"/>
          <w:b w:val="false"/>
          <w:color w:val="000000"/>
          <w:sz w:val="20"/>
        </w:rPr>
        <w:t>of total unrecognized share-based compensation cost related to outstanding unvested share-based awards. The unrecognized compensation cost is expected to be recognized over a weighted average remaining period of approximately</w:t>
      </w:r>
      <w:r>
        <w:rPr>
          <w:color w:val="000000"/>
          <w:shd w:fill="FFFFFF" w:val="clear"/>
        </w:rPr>
        <w:t xml:space="preserve"> </w:t>
      </w:r>
      <w:r>
        <w:rPr>
          <w:rFonts w:ascii="Times New Roman;sans-serif" w:hAnsi="Times New Roman;sans-serif"/>
          <w:b w:val="false"/>
          <w:color w:val="000000"/>
          <w:sz w:val="20"/>
        </w:rPr>
        <w:t>2.3 years</w:t>
      </w:r>
      <w:r>
        <w:rPr>
          <w:rFonts w:ascii="Times New Roman;sans-serif" w:hAnsi="Times New Roman;sans-serif"/>
          <w:b w:val="false"/>
          <w:color w:val="000000"/>
          <w:sz w:val="20"/>
          <w:shd w:fill="FFFFFF" w:val="clear"/>
        </w:rPr>
        <w:t>.</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16. Noncontrolling Interests</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Redeemable Noncontrolling Interests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previous acquisitions of New Video Channel America L.L.C (owner of the cable channel BBC America) and RLJ Entertainment, the terms of the acquisition agreements provide the noncontrolling members with a right to put all of their noncontrolling interest to subsidiaries of the Company at a future time. Since the exercise of these put rights is outside the Company's control, the noncontrolling interest in each entity is presented as a redeemable noncontrolling interest outside of stockholders' equity on the Company's consolidated balance sheet.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activity related to redeemable noncontrolling interest for the three and nine months ended September 30, 2023 and 2022: </w:t>
      </w:r>
    </w:p>
    <w:tbl>
      <w:tblPr>
        <w:tblW w:w="5083" w:type="dxa"/>
        <w:jc w:val="left"/>
        <w:tblInd w:w="0" w:type="dxa"/>
        <w:tblLayout w:type="fixed"/>
        <w:tblCellMar>
          <w:top w:w="28" w:type="dxa"/>
          <w:left w:w="28" w:type="dxa"/>
          <w:bottom w:w="28" w:type="dxa"/>
          <w:right w:w="28" w:type="dxa"/>
        </w:tblCellMar>
      </w:tblPr>
      <w:tblGrid>
        <w:gridCol w:w="628"/>
        <w:gridCol w:w="555"/>
        <w:gridCol w:w="556"/>
        <w:gridCol w:w="592"/>
        <w:gridCol w:w="2320"/>
        <w:gridCol w:w="432"/>
      </w:tblGrid>
      <w:tr>
        <w:trPr/>
        <w:tc>
          <w:tcPr>
            <w:tcW w:w="62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241,486 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(20,142)</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225,400 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83" w:type="dxa"/>
        <w:jc w:val="left"/>
        <w:tblInd w:w="0" w:type="dxa"/>
        <w:tblLayout w:type="fixed"/>
        <w:tblCellMar>
          <w:top w:w="28" w:type="dxa"/>
          <w:left w:w="28" w:type="dxa"/>
          <w:bottom w:w="28" w:type="dxa"/>
          <w:right w:w="28" w:type="dxa"/>
        </w:tblCellMar>
      </w:tblPr>
      <w:tblGrid>
        <w:gridCol w:w="628"/>
        <w:gridCol w:w="555"/>
        <w:gridCol w:w="556"/>
        <w:gridCol w:w="592"/>
        <w:gridCol w:w="2320"/>
        <w:gridCol w:w="432"/>
      </w:tblGrid>
      <w:tr>
        <w:trPr/>
        <w:tc>
          <w:tcPr>
            <w:tcW w:w="62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270,726 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272,483 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94" w:type="dxa"/>
        <w:jc w:val="left"/>
        <w:tblInd w:w="0" w:type="dxa"/>
        <w:tblLayout w:type="fixed"/>
        <w:tblCellMar>
          <w:top w:w="28" w:type="dxa"/>
          <w:left w:w="28" w:type="dxa"/>
          <w:bottom w:w="28" w:type="dxa"/>
          <w:right w:w="28" w:type="dxa"/>
        </w:tblCellMar>
      </w:tblPr>
      <w:tblGrid>
        <w:gridCol w:w="628"/>
        <w:gridCol w:w="554"/>
        <w:gridCol w:w="557"/>
        <w:gridCol w:w="576"/>
        <w:gridCol w:w="2258"/>
        <w:gridCol w:w="421"/>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253,669 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(45,395)</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225,400 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94" w:type="dxa"/>
        <w:jc w:val="left"/>
        <w:tblInd w:w="0" w:type="dxa"/>
        <w:tblLayout w:type="fixed"/>
        <w:tblCellMar>
          <w:top w:w="28" w:type="dxa"/>
          <w:left w:w="28" w:type="dxa"/>
          <w:bottom w:w="28" w:type="dxa"/>
          <w:right w:w="28" w:type="dxa"/>
        </w:tblCellMar>
      </w:tblPr>
      <w:tblGrid>
        <w:gridCol w:w="628"/>
        <w:gridCol w:w="554"/>
        <w:gridCol w:w="557"/>
        <w:gridCol w:w="576"/>
        <w:gridCol w:w="2258"/>
        <w:gridCol w:w="421"/>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283,849 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(24,866)</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272,483 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17. Related Party Transactions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related parties enter into transactions with each other in the ordinary course of business. Revenues, net from related parties amounted to $1.3 million and $1.3 million for the three months ended September 30, 2023 and 2022, respectively, and $3.9 million and $3.8 million for the nine months ended September 30, 2023 and 2022, respectively. Amounts charged to the Company, included in selling, general and administrative expenses, pursuant to transactions with its related parties amounted to $0.9 million and $3.3 million for the three months ended September 30, 2023 and 2022, respectively, and $7.5 million and $4.6 million for the nine months ended September 30, 2023 and 2022, respectively.</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Note 20 of our 2022 Form 10-K, from time to time the Company enters into arrangements with 605, LLC. James L. Dolan, the Non-Executive Chairman and a director of the Company, and his spouse, Kristin A. Dolan, the Chief Executive Officer of the Company and founder of 605, LLC, previously owned 100% of 605, LLC. Kristin A. Dolan also served as the Non-Executive Chairman of 605, LLC from February 2023 until September 13, 2023, and served as its Chief Executive Officer from its inception in 2016 until February 2023. 605, LLC provides audience measurement and data analytics services to the Company and its subsidiaries pursuant to a Master Services Agreement dated February 8, 2019 (the “Master Services Agreement"). On September 13, 2023, 605, LLC was sold to iSpot.tv, and James L. Dolan and Kristin A. Dolan now hold a minority interest in iSpot.tv. As a result, from and after September 13, 2023, 605, LLC is no longer considered to be a related party.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2022, the Audit Committee authorized the Company to enter into a Statement of Work for Strategic Analytic Services (the “Statement of Work”) with 605, LLC under the Master Services Agreement. The fees payable to 605, LLC by the Company for these services were $10.5 million payable in five installments. The initial term of the Statement of Work ran from August 1, 2022 to December 31, 2022. The term was automatically extended to June 30, 2023 per the terms of the agreement. The Statement of Work expired by its terms on June 30, 2023.</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Statement of Work, 605, LLC was engaged in a strategic, research, market, business and financial assessment of the Company and its business, partnering with the Company’s management team. 605, LLC utilized their expertise, including assessment of extensive real-time business intelligence and consumer research, to enable potential further acceleration of the Company’s long-term growth and value creation. Among the analytic services provided by 605, LLC were situation analysis, customer experience, data utilization, addressing the market, content strategy and overview, sales strategy, pricing analysis, customer profiles, content (by offering), marketing strategy and financial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18. Cash Flows</w:t>
      </w:r>
    </w:p>
    <w:p>
      <w:pPr>
        <w:pStyle w:val="TextBody"/>
        <w:bidi w:val="0"/>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non-cash investing and financing activities and other supplemental data are as follows:</w:t>
      </w:r>
    </w:p>
    <w:tbl>
      <w:tblPr>
        <w:tblW w:w="8291" w:type="dxa"/>
        <w:jc w:val="left"/>
        <w:tblInd w:w="0" w:type="dxa"/>
        <w:tblLayout w:type="fixed"/>
        <w:tblCellMar>
          <w:top w:w="28" w:type="dxa"/>
          <w:left w:w="28" w:type="dxa"/>
          <w:bottom w:w="28" w:type="dxa"/>
          <w:right w:w="28" w:type="dxa"/>
        </w:tblCellMar>
      </w:tblPr>
      <w:tblGrid>
        <w:gridCol w:w="1968"/>
        <w:gridCol w:w="1736"/>
        <w:gridCol w:w="1740"/>
        <w:gridCol w:w="268"/>
        <w:gridCol w:w="782"/>
        <w:gridCol w:w="138"/>
        <w:gridCol w:w="138"/>
        <w:gridCol w:w="138"/>
        <w:gridCol w:w="138"/>
        <w:gridCol w:w="268"/>
        <w:gridCol w:w="782"/>
        <w:gridCol w:w="195"/>
      </w:tblGrid>
      <w:tr>
        <w:trPr/>
        <w:tc>
          <w:tcPr>
            <w:tcW w:w="1968"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444" w:type="dxa"/>
            <w:gridSpan w:val="3"/>
            <w:vMerge w:val="continue"/>
            <w:tcBorders/>
            <w:tcMar>
              <w:top w:w="0" w:type="dxa"/>
              <w:left w:w="0" w:type="dxa"/>
              <w:bottom w:w="0" w:type="dxa"/>
              <w:right w:w="0" w:type="dxa"/>
            </w:tcMar>
            <w:vAlign w:val="center"/>
          </w:tcPr>
          <w:p>
            <w:pPr>
              <w:pStyle w:val="Normal"/>
              <w:bidi w:val="0"/>
              <w:jc w:val="left"/>
              <w:rPr/>
            </w:pPr>
            <w:r>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additions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incurred but not yet paid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for purchase of noncontrolling interests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Data:</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Segment Information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operations into two operating segments: Domestic Operations and International and Other. These operating segments represent strategic business units that are managed separately.</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investees. The Company has presented the components that reconcile adjusted operating income to operating income, and other information as to the continuing operations of the Company's operating segments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81"/>
        <w:gridCol w:w="1073"/>
        <w:gridCol w:w="1052"/>
        <w:gridCol w:w="290"/>
        <w:gridCol w:w="1138"/>
        <w:gridCol w:w="149"/>
        <w:gridCol w:w="109"/>
        <w:gridCol w:w="109"/>
        <w:gridCol w:w="109"/>
        <w:gridCol w:w="228"/>
        <w:gridCol w:w="779"/>
        <w:gridCol w:w="119"/>
        <w:gridCol w:w="109"/>
        <w:gridCol w:w="109"/>
        <w:gridCol w:w="109"/>
        <w:gridCol w:w="382"/>
        <w:gridCol w:w="1338"/>
        <w:gridCol w:w="199"/>
        <w:gridCol w:w="109"/>
        <w:gridCol w:w="109"/>
        <w:gridCol w:w="109"/>
        <w:gridCol w:w="211"/>
        <w:gridCol w:w="826"/>
        <w:gridCol w:w="159"/>
      </w:tblGrid>
      <w:tr>
        <w:trPr/>
        <w:tc>
          <w:tcPr>
            <w:tcW w:w="128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67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3406" w:type="dxa"/>
            <w:gridSpan w:val="3"/>
            <w:vMerge w:val="continue"/>
            <w:tcBorders/>
            <w:tcMar>
              <w:top w:w="0" w:type="dxa"/>
              <w:left w:w="0" w:type="dxa"/>
              <w:bottom w:w="0" w:type="dxa"/>
              <w:right w:w="0" w:type="dxa"/>
            </w:tcMar>
            <w:vAlign w:val="center"/>
          </w:tcPr>
          <w:p>
            <w:pPr>
              <w:pStyle w:val="Normal"/>
              <w:bidi w:val="0"/>
              <w:jc w:val="left"/>
              <w:rPr/>
            </w:pPr>
            <w:r>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other</w:t>
            </w:r>
          </w:p>
        </w:tc>
        <w:tc>
          <w:tcPr>
            <w:tcW w:w="1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394,051 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541,198 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161,627 </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(48,762)</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 (credits)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177,268 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1135"/>
        <w:gridCol w:w="995"/>
        <w:gridCol w:w="994"/>
        <w:gridCol w:w="311"/>
        <w:gridCol w:w="1220"/>
        <w:gridCol w:w="160"/>
        <w:gridCol w:w="109"/>
        <w:gridCol w:w="109"/>
        <w:gridCol w:w="109"/>
        <w:gridCol w:w="228"/>
        <w:gridCol w:w="779"/>
        <w:gridCol w:w="119"/>
        <w:gridCol w:w="109"/>
        <w:gridCol w:w="109"/>
        <w:gridCol w:w="109"/>
        <w:gridCol w:w="415"/>
        <w:gridCol w:w="1455"/>
        <w:gridCol w:w="217"/>
        <w:gridCol w:w="109"/>
        <w:gridCol w:w="109"/>
        <w:gridCol w:w="109"/>
        <w:gridCol w:w="211"/>
        <w:gridCol w:w="826"/>
        <w:gridCol w:w="159"/>
      </w:tblGrid>
      <w:tr>
        <w:trPr/>
        <w:tc>
          <w:tcPr>
            <w:tcW w:w="11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0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r>
      <w:tr>
        <w:trPr/>
        <w:tc>
          <w:tcPr>
            <w:tcW w:w="3124" w:type="dxa"/>
            <w:gridSpan w:val="3"/>
            <w:vMerge w:val="continue"/>
            <w:tcBorders/>
            <w:tcMar>
              <w:top w:w="0" w:type="dxa"/>
              <w:left w:w="0" w:type="dxa"/>
              <w:bottom w:w="0" w:type="dxa"/>
              <w:right w:w="0" w:type="dxa"/>
            </w:tcMar>
            <w:vAlign w:val="center"/>
          </w:tcPr>
          <w:p>
            <w:pPr>
              <w:pStyle w:val="Normal"/>
              <w:bidi w:val="0"/>
              <w:jc w:val="left"/>
              <w:rPr/>
            </w:pPr>
            <w:r>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other</w:t>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587,389 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681,843 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186,609 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(44,223)</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150,677 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206,701 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194,305 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43"/>
        <w:gridCol w:w="975"/>
        <w:gridCol w:w="964"/>
        <w:gridCol w:w="268"/>
        <w:gridCol w:w="1245"/>
        <w:gridCol w:w="138"/>
        <w:gridCol w:w="109"/>
        <w:gridCol w:w="109"/>
        <w:gridCol w:w="109"/>
        <w:gridCol w:w="211"/>
        <w:gridCol w:w="826"/>
        <w:gridCol w:w="109"/>
        <w:gridCol w:w="109"/>
        <w:gridCol w:w="109"/>
        <w:gridCol w:w="109"/>
        <w:gridCol w:w="362"/>
        <w:gridCol w:w="1448"/>
        <w:gridCol w:w="189"/>
        <w:gridCol w:w="109"/>
        <w:gridCol w:w="109"/>
        <w:gridCol w:w="109"/>
        <w:gridCol w:w="211"/>
        <w:gridCol w:w="976"/>
        <w:gridCol w:w="159"/>
      </w:tblGrid>
      <w:tr>
        <w:trPr/>
        <w:tc>
          <w:tcPr>
            <w:tcW w:w="11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1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3082" w:type="dxa"/>
            <w:gridSpan w:val="3"/>
            <w:vMerge w:val="continue"/>
            <w:tcBorders/>
            <w:tcMar>
              <w:top w:w="0" w:type="dxa"/>
              <w:left w:w="0" w:type="dxa"/>
              <w:bottom w:w="0" w:type="dxa"/>
              <w:right w:w="0" w:type="dxa"/>
            </w:tcMar>
            <w:vAlign w:val="center"/>
          </w:tcPr>
          <w:p>
            <w:pPr>
              <w:pStyle w:val="Normal"/>
              <w:bidi w:val="0"/>
              <w:jc w:val="left"/>
              <w:rPr/>
            </w:pPr>
            <w:r>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1,259,512 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1,499,507 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1,734,871 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523,645 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(134,212)</w:t>
            </w:r>
          </w:p>
        </w:tc>
        <w:tc>
          <w:tcPr>
            <w:tcW w:w="18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related charges </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569,808 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1111"/>
        <w:gridCol w:w="959"/>
        <w:gridCol w:w="953"/>
        <w:gridCol w:w="272"/>
        <w:gridCol w:w="1260"/>
        <w:gridCol w:w="139"/>
        <w:gridCol w:w="109"/>
        <w:gridCol w:w="109"/>
        <w:gridCol w:w="109"/>
        <w:gridCol w:w="211"/>
        <w:gridCol w:w="826"/>
        <w:gridCol w:w="109"/>
        <w:gridCol w:w="109"/>
        <w:gridCol w:w="109"/>
        <w:gridCol w:w="109"/>
        <w:gridCol w:w="369"/>
        <w:gridCol w:w="1477"/>
        <w:gridCol w:w="192"/>
        <w:gridCol w:w="109"/>
        <w:gridCol w:w="109"/>
        <w:gridCol w:w="109"/>
        <w:gridCol w:w="211"/>
        <w:gridCol w:w="976"/>
        <w:gridCol w:w="159"/>
      </w:tblGrid>
      <w:tr>
        <w:trPr/>
        <w:tc>
          <w:tcPr>
            <w:tcW w:w="111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1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3023" w:type="dxa"/>
            <w:gridSpan w:val="3"/>
            <w:vMerge w:val="continue"/>
            <w:tcBorders/>
            <w:tcMar>
              <w:top w:w="0" w:type="dxa"/>
              <w:left w:w="0" w:type="dxa"/>
              <w:bottom w:w="0" w:type="dxa"/>
              <w:right w:w="0" w:type="dxa"/>
            </w:tcMar>
            <w:vAlign w:val="center"/>
          </w:tcPr>
          <w:p>
            <w:pPr>
              <w:pStyle w:val="Normal"/>
              <w:bidi w:val="0"/>
              <w:jc w:val="left"/>
              <w:rPr/>
            </w:pPr>
            <w:r>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1,209,989 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1,231,583 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1,814,034 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2,132,025 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573,943 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(135,119)</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478,557 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(89,887)</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601,031 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revenues in the Domestic Operations segment include revenues related to the Company's streaming services of $142.5 million and $131.2 million for the three months ended September 30, 2023 and 2022, respectively, and $420.8 million and $362.9 million for the nine months ended September 30, 2023 and 2022, respectively.</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overhead costs not allocated to the segments include costs such as executive salaries and benefits and costs of maintaining corporate headquarters, facilities and common support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are primarily licensing revenues recognized between the Domestic Operations and International and Other segments.</w:t>
      </w:r>
    </w:p>
    <w:tbl>
      <w:tblPr>
        <w:tblW w:w="8150" w:type="dxa"/>
        <w:jc w:val="left"/>
        <w:tblInd w:w="0" w:type="dxa"/>
        <w:tblLayout w:type="fixed"/>
        <w:tblCellMar>
          <w:top w:w="28" w:type="dxa"/>
          <w:left w:w="28" w:type="dxa"/>
          <w:bottom w:w="28" w:type="dxa"/>
          <w:right w:w="28" w:type="dxa"/>
        </w:tblCellMar>
      </w:tblPr>
      <w:tblGrid>
        <w:gridCol w:w="752"/>
        <w:gridCol w:w="664"/>
        <w:gridCol w:w="668"/>
        <w:gridCol w:w="260"/>
        <w:gridCol w:w="851"/>
        <w:gridCol w:w="134"/>
        <w:gridCol w:w="134"/>
        <w:gridCol w:w="134"/>
        <w:gridCol w:w="134"/>
        <w:gridCol w:w="260"/>
        <w:gridCol w:w="851"/>
        <w:gridCol w:w="134"/>
        <w:gridCol w:w="109"/>
        <w:gridCol w:w="109"/>
        <w:gridCol w:w="109"/>
        <w:gridCol w:w="240"/>
        <w:gridCol w:w="788"/>
        <w:gridCol w:w="124"/>
        <w:gridCol w:w="124"/>
        <w:gridCol w:w="124"/>
        <w:gridCol w:w="124"/>
        <w:gridCol w:w="240"/>
        <w:gridCol w:w="908"/>
        <w:gridCol w:w="175"/>
      </w:tblGrid>
      <w:tr>
        <w:trPr/>
        <w:tc>
          <w:tcPr>
            <w:tcW w:w="7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084" w:type="dxa"/>
            <w:gridSpan w:val="3"/>
            <w:vMerge w:val="continue"/>
            <w:tcBorders/>
            <w:tcMar>
              <w:top w:w="0" w:type="dxa"/>
              <w:left w:w="0" w:type="dxa"/>
              <w:bottom w:w="0" w:type="dxa"/>
              <w:right w:w="0" w:type="dxa"/>
            </w:tcMar>
            <w:vAlign w:val="center"/>
          </w:tcPr>
          <w:p>
            <w:pPr>
              <w:pStyle w:val="Normal"/>
              <w:bidi w:val="0"/>
              <w:jc w:val="left"/>
              <w:rPr/>
            </w:pPr>
            <w:r>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Inter-segment revenues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revenues based on customer location:</w:t>
      </w:r>
    </w:p>
    <w:tbl>
      <w:tblPr>
        <w:tblW w:w="7382" w:type="dxa"/>
        <w:jc w:val="left"/>
        <w:tblInd w:w="0" w:type="dxa"/>
        <w:tblLayout w:type="fixed"/>
        <w:tblCellMar>
          <w:top w:w="28" w:type="dxa"/>
          <w:left w:w="28" w:type="dxa"/>
          <w:bottom w:w="28" w:type="dxa"/>
          <w:right w:w="28" w:type="dxa"/>
        </w:tblCellMar>
      </w:tblPr>
      <w:tblGrid>
        <w:gridCol w:w="433"/>
        <w:gridCol w:w="382"/>
        <w:gridCol w:w="384"/>
        <w:gridCol w:w="233"/>
        <w:gridCol w:w="913"/>
        <w:gridCol w:w="120"/>
        <w:gridCol w:w="120"/>
        <w:gridCol w:w="120"/>
        <w:gridCol w:w="120"/>
        <w:gridCol w:w="233"/>
        <w:gridCol w:w="913"/>
        <w:gridCol w:w="120"/>
        <w:gridCol w:w="109"/>
        <w:gridCol w:w="109"/>
        <w:gridCol w:w="109"/>
        <w:gridCol w:w="211"/>
        <w:gridCol w:w="976"/>
        <w:gridCol w:w="109"/>
        <w:gridCol w:w="109"/>
        <w:gridCol w:w="109"/>
        <w:gridCol w:w="109"/>
        <w:gridCol w:w="211"/>
        <w:gridCol w:w="97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681,843 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customer within the Domestic Operations segment accounted for approximately 12% and 13% of consolidated revenues, net for the three and nine months ended September 30, 2023, respectively. For the three and nine months ended September 30, 2022, one customer within the Domestic Operations segment accounted for approximately 12% and 10%, respectively, of consolidated revenues, net.</w:t>
      </w:r>
    </w:p>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property and equipment based on asset location: </w:t>
      </w:r>
    </w:p>
    <w:tbl>
      <w:tblPr>
        <w:tblW w:w="6039" w:type="dxa"/>
        <w:jc w:val="left"/>
        <w:tblInd w:w="0" w:type="dxa"/>
        <w:tblLayout w:type="fixed"/>
        <w:tblCellMar>
          <w:top w:w="28" w:type="dxa"/>
          <w:left w:w="28" w:type="dxa"/>
          <w:bottom w:w="28" w:type="dxa"/>
          <w:right w:w="28" w:type="dxa"/>
        </w:tblCellMar>
      </w:tblPr>
      <w:tblGrid>
        <w:gridCol w:w="910"/>
        <w:gridCol w:w="803"/>
        <w:gridCol w:w="806"/>
        <w:gridCol w:w="295"/>
        <w:gridCol w:w="1157"/>
        <w:gridCol w:w="152"/>
        <w:gridCol w:w="109"/>
        <w:gridCol w:w="109"/>
        <w:gridCol w:w="109"/>
        <w:gridCol w:w="281"/>
        <w:gridCol w:w="1103"/>
        <w:gridCol w:w="205"/>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172,897 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202,034 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level of our revenues;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market demand, including changes in viewer consumption patterns, for our programming networks, our subscription streaming services, our programming, and our production services;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demand for advertising inventory and our ability to deliver guaranteed viewer ratings;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highly competitive nature of the cable, telecommunications, streaming and programming industries;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cost of, and our ability to obtain or produce, desirable content for our programming services, other forms of distribution, including digital and licensing in international markets, as well as our film distribution businesses;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market demand for our owned original programming and our film content;</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loss of any of our key personnel and artistic talent;</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impact of strikes, including those related to the Writers, Directors, and Screen Actors guilds;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security of our program rights and other electronic data;</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maintain and renew distribution or affiliation agreements with distributors;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successfully launch our streaming services in countries outside of the United States;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economic and business conditions and industry trends in the countries in which we operate, including increases in inflation rates and recession risk;</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fluctuations in currency exchange rates and interest rates;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changes in domestic and foreign laws or regulations under which we operate;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changes in laws or treaties relating to taxation, or the interpretation thereof, in the United States or in the countries in which we operate;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the impact of existing and proposed federal, state and international laws and regulations relating to data protection, privacy and security, including the European Union's General Data Protection Regulation ("GDPR");</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our substantial debt and high leverage;</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reduced access to, or inability to access, capital or credit markets, or significant increases in costs to borrow;</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level of our expenses;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future acquisitions and dispositions of assets;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our ability to successfully acquire new businesses and, if acquired, to integrate, and implement our plan with respect to businesses we acquire;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problems we may discover post-closing with the operations, including the internal controls and financial reporting process, of businesses we acquire;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outcome of litigation and other proceedings;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whether pending uncompleted transactions, if any, are completed on the terms and at the times set forth (if at all);</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other risks and uncertainties inherent in our programming and streaming businesses;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financial community and rating agency perceptions of our business, operations, financial condition and the industry in which we operate;</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impact of pandemics or other health emergencies on the economy and our business;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events that are outside our control, such as political unrest in international markets, terrorist attacks, natural disasters and other similar events;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the factors described under Item 1A, "Risk Factors" in our 2022 Annual Report on Form 10-K (the "2022 Form 10-K"), as filed with the Securities and Exchange Commission ("SEC").</w:t>
      </w:r>
    </w:p>
    <w:p>
      <w:pPr>
        <w:pStyle w:val="TextBody"/>
        <w:bidi w:val="0"/>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disclaim any obligation to update or revise the forward-looking statements contained herein, except as otherwise required by applicable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Introduction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or MD&amp;A, is a supplement to and should be read in conjunction with the unaudited condensed consolidated financial statements and notes thereto included elsewhere herein and our 2022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Business Overview.</w:t>
      </w:r>
      <w:r>
        <w:rPr>
          <w:color w:val="000000"/>
        </w:rPr>
        <w:t xml:space="preserve"> </w:t>
      </w:r>
      <w:r>
        <w:rPr>
          <w:rFonts w:ascii="Times New Roman;sans-serif" w:hAnsi="Times New Roman;sans-serif"/>
          <w:b w:val="false"/>
          <w:color w:val="000000"/>
          <w:sz w:val="20"/>
        </w:rPr>
        <w:t>This section provides a general description of our business and our operating segments, as well as other matters that we believe are important in understanding our results of operations and financial condition and in anticipating future trends.</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Consolidated Results of Operations.</w:t>
      </w:r>
      <w:r>
        <w:rPr>
          <w:color w:val="000000"/>
        </w:rPr>
        <w:t xml:space="preserve"> </w:t>
      </w:r>
      <w:r>
        <w:rPr>
          <w:rFonts w:ascii="Times New Roman;sans-serif" w:hAnsi="Times New Roman;sans-serif"/>
          <w:b w:val="false"/>
          <w:color w:val="000000"/>
          <w:sz w:val="20"/>
        </w:rPr>
        <w:t>This section provides an analysis of our results of operations for the three and nine months ended September 30, 2023 compared to the three and nine months ended September 30, 2022. Our discussion is presented on both a consolidated and segment basis.</w:t>
      </w:r>
      <w:r>
        <w:rPr>
          <w:color w:val="000000"/>
          <w:shd w:fill="FFFFFF" w:val="clear"/>
        </w:rPr>
        <w:t xml:space="preserve"> </w:t>
      </w:r>
      <w:r>
        <w:rPr>
          <w:rFonts w:ascii="Times New Roman;sans-serif" w:hAnsi="Times New Roman;sans-serif"/>
          <w:b w:val="false"/>
          <w:color w:val="000000"/>
          <w:sz w:val="20"/>
          <w:shd w:fill="FFFFFF" w:val="clear"/>
        </w:rPr>
        <w:t>Our two segments are: (i) Domestic Operations and (ii) International and Other.</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 discussion of our financial condition as of September 30, 2023, as well as an analysis of our cash flows for the nine months ended September 30, 2023 and 2022. The discussion of our financial condition and liquidity includes summaries of (i) our primary sources of liquidity and (ii) our contractual obligations that existed at September 30, 2023 as compared to December 31, 2022.</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Critical Accounting Policies and Estimates</w:t>
      </w:r>
      <w:r>
        <w:rPr>
          <w:rFonts w:ascii="Times New Roman;sans-serif" w:hAnsi="Times New Roman;sans-serif"/>
          <w:b w:val="false"/>
          <w:color w:val="000000"/>
          <w:sz w:val="20"/>
        </w:rPr>
        <w:t xml:space="preserve">. This section provides an update, if any, to our significant accounting policies or critical accounting estimates since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Financial Highlights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The tables presented below set forth our consolidated revenues, net, operating income (loss) and adjusted operating income (loss) ("AOI")</w:t>
      </w:r>
      <w:r>
        <w:rPr>
          <w:rFonts w:ascii="Times New Roman;sans-serif" w:hAnsi="Times New Roman;sans-serif"/>
          <w:b w:val="false"/>
          <w:color w:val="000000"/>
          <w:sz w:val="13"/>
        </w:rPr>
        <w:t>1</w:t>
      </w:r>
      <w:r>
        <w:rPr>
          <w:rFonts w:ascii="Times New Roman;sans-serif" w:hAnsi="Times New Roman;sans-serif"/>
          <w:b w:val="false"/>
          <w:color w:val="000000"/>
          <w:sz w:val="20"/>
        </w:rPr>
        <w:t>, for the periods indicated.</w:t>
      </w:r>
    </w:p>
    <w:tbl>
      <w:tblPr>
        <w:tblW w:w="9468" w:type="dxa"/>
        <w:jc w:val="left"/>
        <w:tblInd w:w="0" w:type="dxa"/>
        <w:tblLayout w:type="fixed"/>
        <w:tblCellMar>
          <w:top w:w="28" w:type="dxa"/>
          <w:left w:w="28" w:type="dxa"/>
          <w:bottom w:w="28" w:type="dxa"/>
          <w:right w:w="28" w:type="dxa"/>
        </w:tblCellMar>
      </w:tblPr>
      <w:tblGrid>
        <w:gridCol w:w="1187"/>
        <w:gridCol w:w="1048"/>
        <w:gridCol w:w="1050"/>
        <w:gridCol w:w="233"/>
        <w:gridCol w:w="913"/>
        <w:gridCol w:w="120"/>
        <w:gridCol w:w="120"/>
        <w:gridCol w:w="120"/>
        <w:gridCol w:w="120"/>
        <w:gridCol w:w="233"/>
        <w:gridCol w:w="913"/>
        <w:gridCol w:w="120"/>
        <w:gridCol w:w="109"/>
        <w:gridCol w:w="109"/>
        <w:gridCol w:w="109"/>
        <w:gridCol w:w="211"/>
        <w:gridCol w:w="976"/>
        <w:gridCol w:w="109"/>
        <w:gridCol w:w="109"/>
        <w:gridCol w:w="109"/>
        <w:gridCol w:w="109"/>
        <w:gridCol w:w="211"/>
        <w:gridCol w:w="976"/>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Revenues, net</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Operating Income (Loss)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Operating Income (Loss)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and Other</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177,268 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194,305 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Adjusted Operating Income (Loss), is a non-GAAP financial measure. See the "Non-GAAP Financial Measures" section on page 37 for additional information, including our definition and our use of this non-GAAP financial measure, and for a reconciliation to its most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business through the following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Includes our programming services, which consist of our five national programming networks, our global streaming services, our AMC Studios operation and IFC Films. Our national programming networks are AMC, WE tv, BBC AMERICA, IFC, and SundanceTV. Our global streaming services consist of our targeted subscription streaming services (Acorn TV, Shudder, Sundance Now, ALLBLK, and HIDIVE) and AMC+. Our AMC Studios operation produces original programming for our programming services and third parties and also licenses programming worldwide, and IFC Films is our film distribution business. The operating segment also includes AMC Networks Broadcasting &amp; Technology, our technical services business, which primarily services most of the national programming networks.</w:t>
      </w:r>
    </w:p>
    <w:p>
      <w:pPr>
        <w:pStyle w:val="TextBody"/>
        <w:bidi w:val="0"/>
        <w:spacing w:lineRule="auto" w:line="288" w:before="120" w:after="240"/>
        <w:ind w:left="0" w:right="0" w:hanging="360"/>
        <w:jc w:val="both"/>
        <w:rPr/>
      </w:pPr>
      <w:r>
        <w:rPr>
          <w:color w:val="000000"/>
          <w:shd w:fill="FFFFFF" w:val="clear"/>
        </w:rPr>
        <w:t>•</w:t>
      </w:r>
      <w:r>
        <w:rPr>
          <w:rFonts w:ascii="Times New Roman;sans-serif" w:hAnsi="Times New Roman;sans-serif"/>
          <w:b w:val="false"/>
          <w:i/>
          <w:color w:val="000000"/>
          <w:sz w:val="20"/>
        </w:rPr>
        <w:t>International and Other</w:t>
      </w:r>
      <w:r>
        <w:rPr>
          <w:rFonts w:ascii="Times New Roman;sans-serif" w:hAnsi="Times New Roman;sans-serif"/>
          <w:b w:val="false"/>
          <w:color w:val="000000"/>
          <w:sz w:val="20"/>
        </w:rPr>
        <w:t xml:space="preserve">: Includes AMC Networks International ("AMCNI"), our international programming businesses consisting of a portfolio of channels around the world, and 25/7 Media, our production services business. </w:t>
      </w:r>
    </w:p>
    <w:p>
      <w:pPr>
        <w:pStyle w:val="TextBody"/>
        <w:bidi w:val="0"/>
        <w:spacing w:lineRule="auto" w:line="288" w:before="120" w:after="120"/>
        <w:ind w:left="0" w:right="0" w:firstLine="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Domestic Operations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Subscription revenue includes fees paid by distributors and consumers for our programming networks and streaming services.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The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typically based on a per subscriber fee and are generally paid by distributors and consumers on a monthly basis.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Programming expenses, included in technical and operating expenses, represent the largest expenses of the Domestic Operations segment and primarily consists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typically resulting in an accelerated amortization pattern and, to a lesser extent, program rights that are predominantly monetized individually are amortized based on the individual-film-forecast-computation method.</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Most original series require us to make significant up-front investments. Our programming efforts are not always commercially successful, which could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 and Other</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and Other segment primarily includes the operations of AMCNI and 25/7 Media.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nine</w:t>
      </w:r>
      <w:r>
        <w:rPr>
          <w:color w:val="000000"/>
          <w:shd w:fill="FFFFFF" w:val="clear"/>
        </w:rPr>
        <w:t xml:space="preserve"> </w:t>
      </w:r>
      <w:r>
        <w:rPr>
          <w:rFonts w:ascii="Times New Roman;sans-serif" w:hAnsi="Times New Roman;sans-serif"/>
          <w:b w:val="false"/>
          <w:color w:val="000000"/>
          <w:sz w:val="20"/>
          <w:shd w:fill="FFFFFF" w:val="clear"/>
        </w:rPr>
        <w:t>months ended September 30, 2023, distribution revenues represented 81% of the revenues of the International and Other segm</w:t>
      </w:r>
      <w:r>
        <w:rPr>
          <w:rFonts w:ascii="Times New Roman;sans-serif" w:hAnsi="Times New Roman;sans-serif"/>
          <w:b w:val="false"/>
          <w:color w:val="000000"/>
          <w:sz w:val="20"/>
        </w:rPr>
        <w:t xml:space="preserve">ent. Distribution revenue primarily includes subscription fees paid by distributors to carry our programming networks and production services revenue generated from 25/7 Media.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 Our production services revenues are based on master production agreements whereby a third-party engages us to produce content on its behalf. Production services revenues are recognized based on the percentage of cost incurred to total estimated cost of the contract.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Programming expenses, program operating costs and production costs incurred to produce content for third parties are included in technical and operating expenses, and represent the largest expense of the International and Other segment. Programming expenses primarily consist of amortization of acquired content, costs of dubbing and sub-titling of programs, and production costs. Program operating costs include costs such as origination, transmission, uplinking and encryption of our linear AMCNI channels as well as content hosting and delivery costs at our various on-line content distribution initiatives. Our programming efforts are not all commercially successful, which could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w:t>
      </w:r>
    </w:p>
    <w:p>
      <w:pPr>
        <w:pStyle w:val="TextBody"/>
        <w:bidi w:val="0"/>
        <w:spacing w:lineRule="auto" w:line="288" w:before="120" w:after="120"/>
        <w:ind w:left="0" w:right="0" w:firstLine="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 Inter-segment Eliminations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operations primarily consist of executive management and administrative support services, such as executive salaries and benefits costs, costs of maintaining corporate headquarters, facilities and common support functions. The segment financial information set forth below, including the discussion related to individual line items, does not reflect inter-segment eliminations unless specifically indicated.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Economic Conditions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performance is dependent, to a large extent, on general economic conditions including the impact of direct competition, our ability to manage our businesses effectively, and our relative strength and leverage in the marketplace, both with suppliers and customers. Additionally, changes in macroeconomic facts and circumstances, particularly high inflation and the rise in interest rates, may adversely impact our results of operations, cash flows and financial position or our ability to refinance our indebtedness on terms favorable to us, or at all.</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Capital and credit market disruptions, as well as other events such as pandemics or other health emergencies, inflation, international conflict and recession, could cause economic downturns, which may lead to lower demand for our products, such as lower demand for television advertising and a decrease in the number of subscribers receiving our programming services. Events such as these may adversely impact our results of operations, cash flows and financial position.</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presented and discussed below represent 100% of each operating segment's revenues, net and expenses. Where we have management control of an entity, we consolidate 100% of such entity in our consolidated statements of income notwithstanding that a third-party owns an interest, which may be significant, in such entity. The noncontrolling owner's interest in the operating results of consolidated subsidiaries are reflected in net income attributable to noncontrolling interests in our consolidated statements of income.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Three and Nine Months Ended September 30, 2023 and 2022</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800"/>
        <w:gridCol w:w="540"/>
        <w:gridCol w:w="413"/>
        <w:gridCol w:w="211"/>
        <w:gridCol w:w="826"/>
        <w:gridCol w:w="109"/>
        <w:gridCol w:w="109"/>
        <w:gridCol w:w="109"/>
        <w:gridCol w:w="109"/>
        <w:gridCol w:w="211"/>
        <w:gridCol w:w="826"/>
        <w:gridCol w:w="109"/>
        <w:gridCol w:w="109"/>
        <w:gridCol w:w="109"/>
        <w:gridCol w:w="109"/>
        <w:gridCol w:w="264"/>
        <w:gridCol w:w="266"/>
        <w:gridCol w:w="367"/>
        <w:gridCol w:w="109"/>
        <w:gridCol w:w="109"/>
        <w:gridCol w:w="109"/>
        <w:gridCol w:w="211"/>
        <w:gridCol w:w="976"/>
        <w:gridCol w:w="109"/>
        <w:gridCol w:w="109"/>
        <w:gridCol w:w="109"/>
        <w:gridCol w:w="109"/>
        <w:gridCol w:w="211"/>
        <w:gridCol w:w="976"/>
        <w:gridCol w:w="109"/>
        <w:gridCol w:w="109"/>
        <w:gridCol w:w="109"/>
        <w:gridCol w:w="109"/>
        <w:gridCol w:w="305"/>
        <w:gridCol w:w="311"/>
        <w:gridCol w:w="420"/>
      </w:tblGrid>
      <w:tr>
        <w:trPr/>
        <w:tc>
          <w:tcPr>
            <w:tcW w:w="80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4.9% in our Domestic Operations segment primarily due to a decline in affiliate revenues, partially offset by an increase in streaming revenues. The decrease in our Domestic Operations segment was partially offset by a 6.5% increase in our International and Other segment primarily due to the favorable impact of foreign currency translation at AMCNI.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revenues vary based on the impact of renewals of affiliation agreements and the number of subscribers to our services. We expect linear subscriber decline to continue, consistent with the declines across the cable ecosystem.</w:t>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Content licensing and other r</w:t>
      </w:r>
      <w:r>
        <w:rPr>
          <w:rFonts w:ascii="Times New Roman;sans-serif" w:hAnsi="Times New Roman;sans-serif"/>
          <w:b w:val="false"/>
          <w:color w:val="000000"/>
          <w:sz w:val="20"/>
        </w:rPr>
        <w:t xml:space="preserve">evenues increased 7.1% in our Domestic Operations segment primarily due to the timing and availability of deliveries. The increase in our Domestic Operations segment was partially offset by a 23.9% decrease in our International and Other segment primarily due to a reduction in the volume of productions at 25/7 Media driven by reduced demand for new content and series cancellations from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Content licensing revenues vary based on the timing of availability of our programming to distributors, including AMC Studios produced series for third parties, and the timing and volume of productions at 25/7 Media. In addition, we expect content licensing revenues in our Domestic Operations segment to face pressure in 2024 due to reduced availability of original programming.</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decreased 18.4% in our Domestic Operations segment primarily due to linear ratings declines, a challenging advertising market and fewer original programming episodes within the quarter, partially offset by digital and advanced advertising revenue growth. The decrease in our Domestic Operations segment was partially offset by a 10.9% increase in our International and Other segment primarily due to favorable impact of foreign currency translation at AMCNI and digital and advanced advertising growth in the U.K.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vary based on the timing of our original programming series and the popularity of our programming as measured by Nielsen. Advertising revenue has declined in 2023 compared to 2022 and we expect advertising revenue to continue to decline as the advertising market gravitates toward other distribution platforms.</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primarily due to a 2.6% decrease in our Domestic Operations segment due to a decline in affiliate revenues, partially offset by an increase in streaming revenues. </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Content licensing and other revenues increased</w:t>
      </w:r>
      <w:r>
        <w:rPr>
          <w:color w:val="000000"/>
        </w:rPr>
        <w:t xml:space="preserve"> </w:t>
      </w:r>
      <w:r>
        <w:rPr>
          <w:rFonts w:ascii="Times New Roman;sans-serif" w:hAnsi="Times New Roman;sans-serif"/>
          <w:b w:val="false"/>
          <w:color w:val="000000"/>
          <w:sz w:val="20"/>
        </w:rPr>
        <w:t>28.5% in our Domestic Operations segment primarily due to the timing and availability of deliveries in the period, including $56.1 million for the delivery of the remaining episodes of an AMC Studios produced series to a third party and the $20.3 million impact associated with the termination of an output agreement that resulted in the acceleration of revenue previously anticipated to be recognized in 2024. The increase in our Domestic Operations segment was partially offset by a 25.9% decrease in our International and Other segment due to a reduction in the volume of productions at 25/7 Media driven by reduced demand for new content and series cancellations from third parties.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decreased 18.4% in our Domestic Operations segment primarily due to linear ratings declines, softness in the advertising market and fewer original programming episodes within the period, partially offset by digital and advanced advertising revenue growth. Advertising revenues also decreased 5.4% in our International and Other segment, primarily due to the impact of the wind-down of two channels in 2022 and marketplace declines in the U.K. </w:t>
      </w:r>
    </w:p>
    <w:p>
      <w:pPr>
        <w:pStyle w:val="TextBody"/>
        <w:bidi w:val="0"/>
        <w:spacing w:lineRule="auto" w:line="288" w:before="24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Technical and operating expenses (excluding depreciation and amortization)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technical and operating expenses primarily include the amortization of program rights, such as those for original programming, feature films and licensed series, and other direct programming costs, such as participation and residual costs, distribution and production related costs and program delivery costs, such as transmission, encryption, hosting, and formatting.</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significant changes in the level of our technical and operating expenses due to original programming costs and/or content acquisition costs. As competition for programming increases, costs for content acquisition and original programming may increase.</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Technical and operating expenses (excluding depreciation and amortization) decreased 0.9% in our Domestic Operations segment primarily due to a decrease in program rights amortization. Technical and operating expenses (excluding depreciation and amortization) also decreased 11.0% in our International and Other segment primarily due to a reduction in the volume of productions at 25/7 Media driven by reduced demand for new content and series cancellations from third parties. </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rPr>
        <w:t xml:space="preserve">Technical and operating expenses (excluding depreciation and amortization) increased 8.2% in our Domestic Operations segment primarily due to costs associated with the </w:t>
      </w:r>
      <w:r>
        <w:rPr>
          <w:rFonts w:ascii="Times New Roman;sans-serif" w:hAnsi="Times New Roman;sans-serif"/>
          <w:b w:val="false"/>
          <w:color w:val="000000"/>
          <w:sz w:val="20"/>
          <w:shd w:fill="FFFFFF" w:val="clear"/>
        </w:rPr>
        <w:t xml:space="preserve">delivery </w:t>
      </w:r>
      <w:r>
        <w:rPr>
          <w:rFonts w:ascii="Times New Roman;sans-serif" w:hAnsi="Times New Roman;sans-serif"/>
          <w:b w:val="false"/>
          <w:color w:val="000000"/>
          <w:sz w:val="20"/>
        </w:rPr>
        <w:t>of the remaining episodes of an AMC Studios produced series to a third party and an increase in program rights amortization primarily driven by the impact associated with the termination of an output agreement that resulted in the acceleration of program rights amortization previously anticipated to be recognized in 2024</w:t>
      </w:r>
      <w:r>
        <w:rPr>
          <w:rFonts w:ascii="Times New Roman;sans-serif" w:hAnsi="Times New Roman;sans-serif"/>
          <w:b w:val="false"/>
          <w:i/>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The increase in our Domestic Operations segment was partially offset by a</w:t>
      </w:r>
      <w:r>
        <w:rPr>
          <w:color w:val="000000"/>
        </w:rPr>
        <w:t xml:space="preserve"> </w:t>
      </w:r>
      <w:r>
        <w:rPr>
          <w:rFonts w:ascii="Times New Roman;sans-serif" w:hAnsi="Times New Roman;sans-serif"/>
          <w:b w:val="false"/>
          <w:color w:val="000000"/>
          <w:sz w:val="20"/>
        </w:rPr>
        <w:t>16.1% decrease in our International and Other segment primarily due to a reduction in the volume of productions at 25/7 Media driven by reduced demand for new content and series cancellations from third parties.</w:t>
      </w:r>
    </w:p>
    <w:p>
      <w:pPr>
        <w:pStyle w:val="TextBody"/>
        <w:bidi w:val="0"/>
        <w:spacing w:lineRule="auto" w:line="268" w:before="24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selling, general and administrative expenses primarily include sales, marketing and advertising expenses, administrative costs and costs of non-production facilities.</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significant changes in the level of our selling, general and administrative expenses due to the timing of promotions and marketing of original programming series.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rPr>
        <w:t>Selling, general and administrative expenses (including share-based compensation expenses) decreased 15.4% in our Domestic Operations segment primarily due to lower marketing and subscriber acquisition expenses related to our streaming services. T</w:t>
      </w:r>
      <w:r>
        <w:rPr>
          <w:rFonts w:ascii="Times New Roman;sans-serif" w:hAnsi="Times New Roman;sans-serif"/>
          <w:b w:val="false"/>
          <w:color w:val="000000"/>
          <w:sz w:val="20"/>
          <w:shd w:fill="FFFFFF" w:val="clear"/>
        </w:rPr>
        <w:t xml:space="preserve">he decrease in our Domestic Operations segment was partially offset by </w:t>
      </w:r>
      <w:r>
        <w:rPr>
          <w:rFonts w:ascii="Times New Roman;sans-serif" w:hAnsi="Times New Roman;sans-serif"/>
          <w:b w:val="false"/>
          <w:color w:val="000000"/>
          <w:sz w:val="20"/>
        </w:rPr>
        <w:t>an increase of 18.9% in our International and Other segment primarily due to an increase in corporate overhead costs allocated to AMCNI.</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(including share-based compensation expenses) decreased 19.7% in our Domestic Operations segment primarily due to lower marketing and subscriber acquisition expenses related to our streaming services and decreased 12.5% in Corporate primarily due to lower employee related costs. The decrease in our Domestic Operations segment and in Corporate was partially offset by an increase of 4.9% in our International and Other segment primarily due to an increase in corporate overhead costs allocated to AMCNI.</w:t>
      </w:r>
    </w:p>
    <w:p>
      <w:pPr>
        <w:pStyle w:val="TextBody"/>
        <w:bidi w:val="0"/>
        <w:spacing w:lineRule="auto" w:line="268" w:before="24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Depreciation and amortization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include depreciation of fixed assets and amortization of finite-lived intangible assets.</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decreased primarily due to lower depreciation of equipment at Corporate and the impact of no longer amortizing intangible assets at 25/7 Media as a result of the impairment charge recognized in the second quarter of 2023.</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due to higher depreciation of equipment at Corporate, partially offset by the impact of fully depreciated equipment in our Domestic Operations segment and the impact of no longer amortizing intangible assets at 25/7 Media as a result of the impairment charge recognized in the second quarter of 2023.</w:t>
      </w:r>
    </w:p>
    <w:p>
      <w:pPr>
        <w:pStyle w:val="TextBody"/>
        <w:bidi w:val="0"/>
        <w:spacing w:lineRule="auto" w:line="276" w:before="24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Impairment and other charges</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recorded a $5.4 million other charge.</w:t>
      </w:r>
    </w:p>
    <w:p>
      <w:pPr>
        <w:pStyle w:val="TextBody"/>
        <w:bidi w:val="0"/>
        <w:spacing w:lineRule="auto" w:line="268" w:before="2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given the impact of market challenges at 25/7 Media, specifically as it relates to reduced demand for new content and series cancellations from third parties, the Company revised its outlook for the 25/7 Media business, resulting in lower expected future cash flows. As a result, the Company determined that sufficient indicators of potential impairment of long-lived assets and goodwill existed at 25/7 Media and an impairment charge of $24.9 million was recorded. Refer to Note 7, Goodwill and Other Intangible Assets for additional details.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There were no impairment and other charges for the three and nine months ended September 30, 2022.</w:t>
      </w:r>
      <w:r>
        <w:rPr>
          <w:color w:val="000000"/>
        </w:rPr>
        <w:t xml:space="preserve"> </w:t>
      </w:r>
    </w:p>
    <w:p>
      <w:pPr>
        <w:pStyle w:val="TextBody"/>
        <w:bidi w:val="0"/>
        <w:spacing w:lineRule="auto" w:line="288" w:before="24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Restructuring and other related charges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During the third quarter of 2023, the Company substantially completed its 2022 restructuring plan and exited a portion of its</w:t>
      </w:r>
      <w:r>
        <w:rPr>
          <w:color w:val="000000"/>
          <w:shd w:fill="FFFFFF" w:val="clear"/>
        </w:rPr>
        <w:t xml:space="preserve"> </w:t>
      </w:r>
      <w:r>
        <w:rPr>
          <w:rFonts w:ascii="Times New Roman;sans-serif" w:hAnsi="Times New Roman;sans-serif"/>
          <w:b w:val="false"/>
          <w:color w:val="000000"/>
          <w:sz w:val="20"/>
          <w:shd w:fill="FFFFFF" w:val="clear"/>
        </w:rPr>
        <w:t xml:space="preserve">office space in its corporate headquarters in New York and office space in Silver Spring, Maryland and Woodland Hills, California. </w:t>
      </w:r>
      <w:r>
        <w:rPr>
          <w:rFonts w:ascii="Times New Roman;sans-serif" w:hAnsi="Times New Roman;sans-serif"/>
          <w:b w:val="false"/>
          <w:color w:val="000000"/>
          <w:sz w:val="20"/>
        </w:rPr>
        <w:t>In connection with exiting a portion of the New York office space, the Company recorded impairment charges of $11.6 million, consisting of $9.1 million for operating right-of-use assets and $2.5 million for leasehold improvements. Refer to Note 4, Restructuring and Other Related Charges for additional details.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additional restructuring and other related charges consisted primarily of severance and other employee-related costs, with $3.9 million related to our Domestic Operations segment, $1.6 million related to AMCNI and $5.4 million related to Corporate. </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restructuring and other related charges for the three and nine months ended September 30, 2022. </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income</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was primarily attributable to a decrease in revenues, net of $44.9 million, restructuring and other related charges of $10.6 million, and an other charge of $5.4 million, partially offset by decreases in selling, general and administrative expenses of $20.7 million and technical and operating expenses of $8.6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was primarily attributable to a decrease in revenues, net of $99.0 million, an increase in technical and operating expenses of $30.1 million, impairment and other charges of $30.3 million, and restructuring and other related charges of $22.5 million, partially offset by a decrease in selling, general and administrative expenses of $103.3 million.</w:t>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expense, net</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net was primarily due to higher interest income from our money market mutual fund accounts and bank deposits, partially offset by higher interest rates on our Term Loan A Facility.</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net was primarily due to higher interest income from our money market mutual fund accounts and bank deposits, partially offset by higher interest rates on our Term Loan A Facility.</w:t>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Miscellaneous, net </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miscellaneous, net was primarily related to a $2.3 million unfavorable variance in the foreign currency remeasurement of monetary assets and liabilities (principally intercompany loans) that are denominated in currencies other than the underlying functional currency of the applicable entity and $0.6 million of lower net earnings of equity method investees, partially offset by $2.2 million of lower net losses on derivative financial instruments as compared to the three months ended September 30, 2022. </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miscellaneous, net was primarily related to $15.8 million of higher net gains on derivative financial instruments as compared to the nine months ended September 30, 2022. This increase was partially offset by $3.8 million of lower net gains on marketable securities and impairment charges of $1.7 million related to certain investments in 2023. </w:t>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expense</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income tax expense was $23.7 million representing an effective tax rate of 26%. The items resulting in variances from the federal statutory rate of 21% primarily consisted of state and local income tax expense and tax expense related to non-deductible compensation. For the three months ended September 30, 2022, income tax expense was $28.5 million representing an effective tax rate of 24%. The items resulting in variances from the federal statutory rate of 21% primarily consisted of state and local income tax expense, tax expense for an increase in the valuation allowance for foreign taxes and tax expense related to non-deducible compensation. </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income tax expense was $82.7 million representing an effective tax rate of 26%. The items resulting in variances from the federal statutory rate of 21% primarily consisted of state and local income tax expense and tax expense related to non-deductible compensation. For the nine months ended September 30, 2022, income tax expense was $103.1 million representing an effective tax rate of 26%. The items resulting in variances from the federal statutory rate of 21% primarily consisted of state and local income tax expense, tax expense for an increase in the valuation allowance for foreign taxes and tax expense related to non-deductible compensation. </w:t>
      </w:r>
    </w:p>
    <w:p>
      <w:pPr>
        <w:pStyle w:val="TextBody"/>
        <w:bidi w:val="0"/>
        <w:spacing w:before="12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Domestic Operations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Domestic Operations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820"/>
        <w:gridCol w:w="470"/>
        <w:gridCol w:w="335"/>
        <w:gridCol w:w="211"/>
        <w:gridCol w:w="826"/>
        <w:gridCol w:w="109"/>
        <w:gridCol w:w="109"/>
        <w:gridCol w:w="109"/>
        <w:gridCol w:w="109"/>
        <w:gridCol w:w="211"/>
        <w:gridCol w:w="826"/>
        <w:gridCol w:w="109"/>
        <w:gridCol w:w="109"/>
        <w:gridCol w:w="109"/>
        <w:gridCol w:w="109"/>
        <w:gridCol w:w="109"/>
        <w:gridCol w:w="263"/>
        <w:gridCol w:w="265"/>
        <w:gridCol w:w="367"/>
        <w:gridCol w:w="109"/>
        <w:gridCol w:w="109"/>
        <w:gridCol w:w="109"/>
        <w:gridCol w:w="211"/>
        <w:gridCol w:w="976"/>
        <w:gridCol w:w="109"/>
        <w:gridCol w:w="109"/>
        <w:gridCol w:w="109"/>
        <w:gridCol w:w="109"/>
        <w:gridCol w:w="211"/>
        <w:gridCol w:w="976"/>
        <w:gridCol w:w="109"/>
        <w:gridCol w:w="109"/>
        <w:gridCol w:w="109"/>
        <w:gridCol w:w="109"/>
        <w:gridCol w:w="109"/>
        <w:gridCol w:w="262"/>
        <w:gridCol w:w="266"/>
        <w:gridCol w:w="420"/>
      </w:tblGrid>
      <w:tr>
        <w:trPr/>
        <w:tc>
          <w:tcPr>
            <w:tcW w:w="82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57" w:type="dxa"/>
            <w:gridSpan w:val="4"/>
            <w:tcBorders/>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8" w:type="dxa"/>
            <w:gridSpan w:val="3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1057" w:type="dxa"/>
            <w:gridSpan w:val="4"/>
            <w:tcBorders/>
          </w:tcPr>
          <w:p>
            <w:pPr>
              <w:pStyle w:val="TableContents"/>
              <w:bidi w:val="0"/>
              <w:spacing w:before="0" w:after="283"/>
              <w:jc w:val="left"/>
              <w:rPr>
                <w:sz w:val="4"/>
                <w:szCs w:val="4"/>
              </w:rPr>
            </w:pPr>
            <w:r>
              <w:rPr>
                <w:sz w:val="4"/>
                <w:szCs w:val="4"/>
              </w:rPr>
            </w:r>
          </w:p>
        </w:tc>
      </w:tr>
      <w:tr>
        <w:trPr/>
        <w:tc>
          <w:tcPr>
            <w:tcW w:w="9148" w:type="dxa"/>
            <w:gridSpan w:val="3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w:t>
            </w:r>
          </w:p>
        </w:tc>
        <w:tc>
          <w:tcPr>
            <w:tcW w:w="1057"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Subscription revenues</w:t>
      </w:r>
      <w:r>
        <w:rPr>
          <w:color w:val="000000"/>
        </w:rPr>
        <w:t xml:space="preserve"> </w:t>
      </w:r>
      <w:r>
        <w:rPr>
          <w:rFonts w:ascii="Times New Roman;sans-serif" w:hAnsi="Times New Roman;sans-serif"/>
          <w:b w:val="false"/>
          <w:color w:val="000000"/>
          <w:sz w:val="20"/>
        </w:rPr>
        <w:t>decreased primarily due to a 13.1% decline in affiliate revenues, partially offset by an 8.6% increase in streaming revenues. Affiliate revenues decreased due to basic subscriber declines and a 3% impact of a strategic non-renewal that occurred at the end of 2022. Streaming revenues increased due to year-over-year subscriber growth and price increases. Subscription revenues include revenues related to the Company's streaming services of $142.5 million and $131.2 million for the three months ended September 30, 2023 and 2022, respectively. Aggregate paid subscribers</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to our streaming services increased 3.8% to 11.1 million at September 30, 2023 compared to 10.7 million at September 30, 2022. </w:t>
      </w:r>
    </w:p>
    <w:p>
      <w:pPr>
        <w:pStyle w:val="TextBody"/>
        <w:bidi w:val="0"/>
        <w:spacing w:lineRule="auto" w:line="268" w:before="0" w:after="120"/>
        <w:ind w:left="0" w:right="0" w:firstLine="720"/>
        <w:jc w:val="both"/>
        <w:rPr/>
      </w:pPr>
      <w:r>
        <w:rPr>
          <w:rFonts w:ascii="Times New Roman;sans-serif" w:hAnsi="Times New Roman;sans-serif"/>
          <w:b w:val="false"/>
          <w:color w:val="000000"/>
          <w:sz w:val="20"/>
          <w:shd w:fill="FFFFFF" w:val="clear"/>
        </w:rPr>
        <w:t>Content licensing and other revenues</w:t>
      </w:r>
      <w:r>
        <w:rPr>
          <w:color w:val="000000"/>
        </w:rPr>
        <w:t xml:space="preserve"> </w:t>
      </w:r>
      <w:r>
        <w:rPr>
          <w:rFonts w:ascii="Times New Roman;sans-serif" w:hAnsi="Times New Roman;sans-serif"/>
          <w:b w:val="false"/>
          <w:color w:val="000000"/>
          <w:sz w:val="20"/>
        </w:rPr>
        <w:t>increased primarily due to the timing and availability of deliveries.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due to linear ratings declines, a challenging advertising market and fewer original programming episodes within the quarter, partially offset by digital and advanced advertising revenue growth.</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shd w:fill="FFFFFF" w:val="clear"/>
        </w:rPr>
        <w:t>Subscription revenues</w:t>
      </w:r>
      <w:r>
        <w:rPr>
          <w:color w:val="000000"/>
        </w:rPr>
        <w:t xml:space="preserve"> </w:t>
      </w:r>
      <w:r>
        <w:rPr>
          <w:rFonts w:ascii="Times New Roman;sans-serif" w:hAnsi="Times New Roman;sans-serif"/>
          <w:b w:val="false"/>
          <w:color w:val="000000"/>
          <w:sz w:val="20"/>
        </w:rPr>
        <w:t xml:space="preserve">decreased primarily due to a 12.5% decline in affiliate revenues, partially offset by a 16.0% increase in streaming revenues. Affiliate revenues decreased due to basic subscriber declines and a 3% impact of a strategic non-renewal that occurred at the end of 2022. Streaming revenues increased due to year-over-year subscriber growth and price increases. Subscription revenues include revenues related to the Company's streaming services of $420.8 million and $362.9 million for the nine months ended September 30, 2023 and 2022, respectively. </w:t>
      </w:r>
    </w:p>
    <w:p>
      <w:pPr>
        <w:pStyle w:val="TextBody"/>
        <w:bidi w:val="0"/>
        <w:spacing w:lineRule="auto" w:line="268" w:before="0" w:after="120"/>
        <w:ind w:left="0" w:right="0" w:firstLine="720"/>
        <w:jc w:val="both"/>
        <w:rPr/>
      </w:pPr>
      <w:r>
        <w:rPr>
          <w:rFonts w:ascii="Times New Roman;sans-serif" w:hAnsi="Times New Roman;sans-serif"/>
          <w:b w:val="false"/>
          <w:color w:val="000000"/>
          <w:sz w:val="20"/>
          <w:shd w:fill="FFFFFF" w:val="clear"/>
        </w:rPr>
        <w:t>Content licensing and other revenues</w:t>
      </w:r>
      <w:r>
        <w:rPr>
          <w:color w:val="000000"/>
        </w:rPr>
        <w:t xml:space="preserve"> </w:t>
      </w:r>
      <w:r>
        <w:rPr>
          <w:rFonts w:ascii="Times New Roman;sans-serif" w:hAnsi="Times New Roman;sans-serif"/>
          <w:b w:val="false"/>
          <w:color w:val="000000"/>
          <w:sz w:val="20"/>
        </w:rPr>
        <w:t xml:space="preserve">increased primarily due to the timing and availability of deliveries, including $56.1 million for the delivery of the remaining episodes of an AMC Studios produced series to a third party and a $20.3 million impact associated with the termination of an output agreement that resulted in the acceleration of revenue previously anticipated to be recognized in 2024. </w:t>
      </w:r>
    </w:p>
    <w:p>
      <w:pPr>
        <w:pStyle w:val="TextBody"/>
        <w:bidi w:val="0"/>
        <w:spacing w:lineRule="auto" w:line="276"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due to linear ratings declines, softness in the advertising market and fewer original programming episodes within the period, partially offset by digital and advanced advertising revenue growth.</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A paid subscription is defined as a subscription to a direct-to-consumer service or a subscription received through distributor arrangements, in which we receive a fee for the distribution of our streaming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Technical and operating expenses (excluding depreciation and amortization)</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decreased primarily due to a decrease in program rights amortization.</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88" w:before="120" w:after="240"/>
        <w:ind w:left="0" w:right="0" w:firstLine="720"/>
        <w:jc w:val="both"/>
        <w:rPr/>
      </w:pPr>
      <w:r>
        <w:rPr>
          <w:rFonts w:ascii="Times New Roman;sans-serif" w:hAnsi="Times New Roman;sans-serif"/>
          <w:b w:val="false"/>
          <w:color w:val="000000"/>
          <w:sz w:val="20"/>
        </w:rPr>
        <w:t xml:space="preserve">Technical and operating expenses (excluding depreciation and amortization) increased primarily due to costs associated with the </w:t>
      </w:r>
      <w:r>
        <w:rPr>
          <w:rFonts w:ascii="Times New Roman;sans-serif" w:hAnsi="Times New Roman;sans-serif"/>
          <w:b w:val="false"/>
          <w:color w:val="000000"/>
          <w:sz w:val="20"/>
          <w:shd w:fill="FFFFFF" w:val="clear"/>
        </w:rPr>
        <w:t xml:space="preserve">delivery </w:t>
      </w:r>
      <w:r>
        <w:rPr>
          <w:rFonts w:ascii="Times New Roman;sans-serif" w:hAnsi="Times New Roman;sans-serif"/>
          <w:b w:val="false"/>
          <w:color w:val="000000"/>
          <w:sz w:val="20"/>
        </w:rPr>
        <w:t>of the remaining episodes of an AMC Studios produced series to a third party and an increase in program rights amortization, including the impact associated with the termination of an output agreement that resulted in the acceleration of program rights amortization previously anticipated to be recognized in 2024.</w:t>
      </w:r>
    </w:p>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primarily due to lower marketing and subscriber acquisition expenses related to our streaming services.</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primarily due to lower marketing and subscriber acquisition expenses related to our streaming services.</w:t>
      </w:r>
    </w:p>
    <w:p>
      <w:pPr>
        <w:pStyle w:val="TextBody"/>
        <w:bidi w:val="0"/>
        <w:spacing w:lineRule="auto" w:line="276"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Segment adjusted operating income</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a decrease in revenues, net of $46.2 million, partially offset by decreases in selling, general and administrative expenses of $23.4 million and technical and operating expenses of $2.2 million.</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a decrease in revenues, net of $79.2 million and an increase in technical and operating expenses of $59.3 million, partially offset by a decrease in selling, general and administrative expenses of $95.0 million.</w:t>
      </w:r>
    </w:p>
    <w:p>
      <w:pPr>
        <w:pStyle w:val="TextBody"/>
        <w:bidi w:val="0"/>
        <w:spacing w:lineRule="auto" w:line="276" w:before="120" w:after="283"/>
        <w:jc w:val="both"/>
        <w:rPr>
          <w:rFonts w:ascii="Times New Roman;sans-serif" w:hAnsi="Times New Roman;sans-serif"/>
          <w:b/>
          <w:color w:val="000000"/>
          <w:sz w:val="20"/>
        </w:rPr>
      </w:pPr>
      <w:r>
        <w:rPr>
          <w:rFonts w:ascii="Times New Roman;sans-serif" w:hAnsi="Times New Roman;sans-serif"/>
          <w:b/>
          <w:color w:val="000000"/>
          <w:sz w:val="20"/>
        </w:rPr>
        <w:t>International and Other</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International and Other segment results for the periods indicated.</w:t>
      </w:r>
    </w:p>
    <w:tbl>
      <w:tblPr>
        <w:tblW w:w="10205" w:type="dxa"/>
        <w:jc w:val="left"/>
        <w:tblInd w:w="0" w:type="dxa"/>
        <w:tblLayout w:type="fixed"/>
        <w:tblCellMar>
          <w:top w:w="28" w:type="dxa"/>
          <w:left w:w="28" w:type="dxa"/>
          <w:bottom w:w="28" w:type="dxa"/>
          <w:right w:w="28" w:type="dxa"/>
        </w:tblCellMar>
      </w:tblPr>
      <w:tblGrid>
        <w:gridCol w:w="888"/>
        <w:gridCol w:w="674"/>
        <w:gridCol w:w="558"/>
        <w:gridCol w:w="211"/>
        <w:gridCol w:w="721"/>
        <w:gridCol w:w="109"/>
        <w:gridCol w:w="109"/>
        <w:gridCol w:w="109"/>
        <w:gridCol w:w="109"/>
        <w:gridCol w:w="211"/>
        <w:gridCol w:w="721"/>
        <w:gridCol w:w="109"/>
        <w:gridCol w:w="109"/>
        <w:gridCol w:w="109"/>
        <w:gridCol w:w="109"/>
        <w:gridCol w:w="109"/>
        <w:gridCol w:w="267"/>
        <w:gridCol w:w="267"/>
        <w:gridCol w:w="367"/>
        <w:gridCol w:w="109"/>
        <w:gridCol w:w="109"/>
        <w:gridCol w:w="109"/>
        <w:gridCol w:w="211"/>
        <w:gridCol w:w="826"/>
        <w:gridCol w:w="109"/>
        <w:gridCol w:w="109"/>
        <w:gridCol w:w="109"/>
        <w:gridCol w:w="109"/>
        <w:gridCol w:w="211"/>
        <w:gridCol w:w="826"/>
        <w:gridCol w:w="109"/>
        <w:gridCol w:w="109"/>
        <w:gridCol w:w="109"/>
        <w:gridCol w:w="109"/>
        <w:gridCol w:w="109"/>
        <w:gridCol w:w="267"/>
        <w:gridCol w:w="267"/>
        <w:gridCol w:w="423"/>
      </w:tblGrid>
      <w:tr>
        <w:trPr/>
        <w:tc>
          <w:tcPr>
            <w:tcW w:w="8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66" w:type="dxa"/>
            <w:gridSpan w:val="4"/>
            <w:tcBorders/>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39" w:type="dxa"/>
            <w:gridSpan w:val="3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Selling, general and administrative expenses exclude share-based compensation expenses</w:t>
            </w:r>
          </w:p>
        </w:tc>
        <w:tc>
          <w:tcPr>
            <w:tcW w:w="1066"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Subscription revenues in</w:t>
      </w:r>
      <w:r>
        <w:rPr>
          <w:rFonts w:ascii="Times New Roman;sans-serif" w:hAnsi="Times New Roman;sans-serif"/>
          <w:b w:val="false"/>
          <w:color w:val="000000"/>
          <w:sz w:val="20"/>
        </w:rPr>
        <w:t>creased primarily due to the favorable impact of foreign currency translation at AMCNI.</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Content licensing and other revenues dec</w:t>
      </w:r>
      <w:r>
        <w:rPr>
          <w:rFonts w:ascii="Times New Roman;sans-serif" w:hAnsi="Times New Roman;sans-serif"/>
          <w:b w:val="false"/>
          <w:color w:val="000000"/>
          <w:sz w:val="20"/>
        </w:rPr>
        <w:t>reased due to a reduction in the volume of productions at 25/7 Media driven by reduced demand for new content and series cancellations from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increased primarily due to the favorable impact of foreign currency translation at AMCNI and digital and advanced advertising growth in the U.K. </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Subscription revenues in</w:t>
      </w:r>
      <w:r>
        <w:rPr>
          <w:rFonts w:ascii="Times New Roman;sans-serif" w:hAnsi="Times New Roman;sans-serif"/>
          <w:b w:val="false"/>
          <w:color w:val="000000"/>
          <w:sz w:val="20"/>
        </w:rPr>
        <w:t xml:space="preserve">creased primarily due to the favorable impact of foreign currency translation at AMCNI. </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Content licensing and other revenues dec</w:t>
      </w:r>
      <w:r>
        <w:rPr>
          <w:rFonts w:ascii="Times New Roman;sans-serif" w:hAnsi="Times New Roman;sans-serif"/>
          <w:b w:val="false"/>
          <w:color w:val="000000"/>
          <w:sz w:val="20"/>
        </w:rPr>
        <w:t>reased due to a reduction in the volume of productions at 25/7 Media driven by reduced demand for new content and series cancellations from third parties.</w:t>
      </w:r>
    </w:p>
    <w:p>
      <w:pPr>
        <w:pStyle w:val="TextBody"/>
        <w:bidi w:val="0"/>
        <w:spacing w:lineRule="auto" w:line="268"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primarily due to the impact of the wind-down of two channels in 2022 and marketplace declines in the U.K.</w:t>
      </w:r>
    </w:p>
    <w:p>
      <w:pPr>
        <w:pStyle w:val="TextBody"/>
        <w:bidi w:val="0"/>
        <w:spacing w:lineRule="auto" w:line="26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Technical and operating expenses (excluding depreciation and amortization)</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decreased due to a reduction in the volume of productions at 25/7 Media driven by reduced demand for new content and series cancellations from third parties.</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decreased due to a reduction in the volume of productions at 25/7 Media driven by reduced demand for new content and series cancellations from third parties, as well as lower program rights amortization at AMCNI, primarily resulting from the impact of the wind-down of two channels in 2022 in the U.K.</w:t>
      </w:r>
    </w:p>
    <w:p>
      <w:pPr>
        <w:pStyle w:val="TextBody"/>
        <w:bidi w:val="0"/>
        <w:spacing w:lineRule="auto" w:line="26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primarily due to an increase in corporate overhead costs allocated to AMCNI.</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primarily due to an increase in corporate overhead costs allocated to AMCNI.</w:t>
      </w:r>
    </w:p>
    <w:p>
      <w:pPr>
        <w:pStyle w:val="TextBody"/>
        <w:bidi w:val="0"/>
        <w:spacing w:lineRule="auto" w:line="276"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Segment adjusted operating income</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September 30, 2023 vs. 2022</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an increase in selling, general and administrative expenses of $5.0 million and a decrease in revenues, net of $1.7 million, partially offset by a decrease in technical and operating expenses of $6.4 million.</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September 30, 2023 vs. 2022</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a decrease in revenues, net of $29.9 million and an increase in selling, general and administrative expenses of $3.5 million, partially offset by a decrease in technical and operating expenses of $31.3 million.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Corporate and Inter-segment Elimination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Corporate and Inter-segment Eliminations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876"/>
        <w:gridCol w:w="719"/>
        <w:gridCol w:w="635"/>
        <w:gridCol w:w="211"/>
        <w:gridCol w:w="746"/>
        <w:gridCol w:w="109"/>
        <w:gridCol w:w="109"/>
        <w:gridCol w:w="109"/>
        <w:gridCol w:w="109"/>
        <w:gridCol w:w="211"/>
        <w:gridCol w:w="746"/>
        <w:gridCol w:w="109"/>
        <w:gridCol w:w="109"/>
        <w:gridCol w:w="109"/>
        <w:gridCol w:w="109"/>
        <w:gridCol w:w="268"/>
        <w:gridCol w:w="268"/>
        <w:gridCol w:w="367"/>
        <w:gridCol w:w="109"/>
        <w:gridCol w:w="109"/>
        <w:gridCol w:w="109"/>
        <w:gridCol w:w="211"/>
        <w:gridCol w:w="746"/>
        <w:gridCol w:w="109"/>
        <w:gridCol w:w="109"/>
        <w:gridCol w:w="109"/>
        <w:gridCol w:w="109"/>
        <w:gridCol w:w="211"/>
        <w:gridCol w:w="746"/>
        <w:gridCol w:w="109"/>
        <w:gridCol w:w="109"/>
        <w:gridCol w:w="109"/>
        <w:gridCol w:w="109"/>
        <w:gridCol w:w="268"/>
        <w:gridCol w:w="268"/>
        <w:gridCol w:w="367"/>
        <w:gridCol w:w="109"/>
        <w:gridCol w:w="161"/>
      </w:tblGrid>
      <w:tr>
        <w:trPr/>
        <w:tc>
          <w:tcPr>
            <w:tcW w:w="87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 and cloud computing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 net</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eliminations are primarily related to inter-segment licensing revenues recognized between the Domestic Operations and International and Other segments.</w:t>
      </w:r>
    </w:p>
    <w:p>
      <w:pPr>
        <w:pStyle w:val="TextBody"/>
        <w:bidi w:val="0"/>
        <w:spacing w:lineRule="auto" w:line="276"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Technical and operating expenses (excluding depreciation and amortization)</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 eliminations are primarily related to inter-segment programming amortization recognized between the Domestic Operations and International and Other segments.</w:t>
      </w:r>
    </w:p>
    <w:p>
      <w:pPr>
        <w:pStyle w:val="TextBody"/>
        <w:bidi w:val="0"/>
        <w:spacing w:lineRule="auto" w:line="276"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Corporate overhead costs not allocated to the segments include such costs as executive salaries and benefits, costs of maintaining corporate headquarters, facilities and common support functions.</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and nine months ended September 30, 2023 compared to 2022 decreased primarily due to lower employee related costs.</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Internally, we use revenues, net and AOI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operating income (loss) to AOI for the periods indicated:</w:t>
      </w:r>
    </w:p>
    <w:tbl>
      <w:tblPr>
        <w:tblW w:w="10205" w:type="dxa"/>
        <w:jc w:val="left"/>
        <w:tblInd w:w="0" w:type="dxa"/>
        <w:tblLayout w:type="fixed"/>
        <w:tblCellMar>
          <w:top w:w="28" w:type="dxa"/>
          <w:left w:w="28" w:type="dxa"/>
          <w:bottom w:w="28" w:type="dxa"/>
          <w:right w:w="28" w:type="dxa"/>
        </w:tblCellMar>
      </w:tblPr>
      <w:tblGrid>
        <w:gridCol w:w="1025"/>
        <w:gridCol w:w="855"/>
        <w:gridCol w:w="860"/>
        <w:gridCol w:w="268"/>
        <w:gridCol w:w="1051"/>
        <w:gridCol w:w="138"/>
        <w:gridCol w:w="109"/>
        <w:gridCol w:w="109"/>
        <w:gridCol w:w="109"/>
        <w:gridCol w:w="307"/>
        <w:gridCol w:w="1051"/>
        <w:gridCol w:w="158"/>
        <w:gridCol w:w="109"/>
        <w:gridCol w:w="109"/>
        <w:gridCol w:w="109"/>
        <w:gridCol w:w="460"/>
        <w:gridCol w:w="1613"/>
        <w:gridCol w:w="241"/>
        <w:gridCol w:w="109"/>
        <w:gridCol w:w="109"/>
        <w:gridCol w:w="109"/>
        <w:gridCol w:w="211"/>
        <w:gridCol w:w="826"/>
        <w:gridCol w:w="160"/>
      </w:tblGrid>
      <w:tr>
        <w:trPr/>
        <w:tc>
          <w:tcPr>
            <w:tcW w:w="102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related charges (credits)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and other charges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 amortization</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Majority owned equity investees AOI</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 (loss)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177,268 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6"/>
        <w:gridCol w:w="765"/>
        <w:gridCol w:w="769"/>
        <w:gridCol w:w="277"/>
        <w:gridCol w:w="1086"/>
        <w:gridCol w:w="142"/>
        <w:gridCol w:w="109"/>
        <w:gridCol w:w="109"/>
        <w:gridCol w:w="109"/>
        <w:gridCol w:w="322"/>
        <w:gridCol w:w="1102"/>
        <w:gridCol w:w="166"/>
        <w:gridCol w:w="109"/>
        <w:gridCol w:w="109"/>
        <w:gridCol w:w="109"/>
        <w:gridCol w:w="496"/>
        <w:gridCol w:w="1737"/>
        <w:gridCol w:w="259"/>
        <w:gridCol w:w="109"/>
        <w:gridCol w:w="109"/>
        <w:gridCol w:w="109"/>
        <w:gridCol w:w="211"/>
        <w:gridCol w:w="826"/>
        <w:gridCol w:w="160"/>
      </w:tblGrid>
      <w:tr>
        <w:trPr/>
        <w:tc>
          <w:tcPr>
            <w:tcW w:w="90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186,609 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(44,223)</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 amortization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Majority owned equity investees AOI</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 (loss)</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206,701 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194,305 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920"/>
        <w:gridCol w:w="776"/>
        <w:gridCol w:w="780"/>
        <w:gridCol w:w="276"/>
        <w:gridCol w:w="1082"/>
        <w:gridCol w:w="142"/>
        <w:gridCol w:w="109"/>
        <w:gridCol w:w="109"/>
        <w:gridCol w:w="109"/>
        <w:gridCol w:w="320"/>
        <w:gridCol w:w="1096"/>
        <w:gridCol w:w="165"/>
        <w:gridCol w:w="109"/>
        <w:gridCol w:w="109"/>
        <w:gridCol w:w="109"/>
        <w:gridCol w:w="428"/>
        <w:gridCol w:w="1821"/>
        <w:gridCol w:w="221"/>
        <w:gridCol w:w="109"/>
        <w:gridCol w:w="109"/>
        <w:gridCol w:w="109"/>
        <w:gridCol w:w="211"/>
        <w:gridCol w:w="826"/>
        <w:gridCol w:w="160"/>
      </w:tblGrid>
      <w:tr>
        <w:trPr/>
        <w:tc>
          <w:tcPr>
            <w:tcW w:w="9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2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523,645 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other related charges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and other charges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 amortization</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Majority owned equity investees AOI</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 (loss)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569,808 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6"/>
        <w:gridCol w:w="765"/>
        <w:gridCol w:w="769"/>
        <w:gridCol w:w="277"/>
        <w:gridCol w:w="1086"/>
        <w:gridCol w:w="142"/>
        <w:gridCol w:w="109"/>
        <w:gridCol w:w="109"/>
        <w:gridCol w:w="109"/>
        <w:gridCol w:w="322"/>
        <w:gridCol w:w="1102"/>
        <w:gridCol w:w="166"/>
        <w:gridCol w:w="109"/>
        <w:gridCol w:w="109"/>
        <w:gridCol w:w="109"/>
        <w:gridCol w:w="432"/>
        <w:gridCol w:w="1837"/>
        <w:gridCol w:w="223"/>
        <w:gridCol w:w="109"/>
        <w:gridCol w:w="109"/>
        <w:gridCol w:w="109"/>
        <w:gridCol w:w="211"/>
        <w:gridCol w:w="826"/>
        <w:gridCol w:w="160"/>
      </w:tblGrid>
      <w:tr>
        <w:trPr/>
        <w:tc>
          <w:tcPr>
            <w:tcW w:w="90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(135,119)</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 amortization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Majority owned equity investees AOI</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 (loss)</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(89,887)</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601,031 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typically generate positive net cash flow from operating activities. However, each of our programming businesses has substantial programming acquisition and production expenditure requirements.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Our Board of Directors previously authorized a program to repurchase up to $1.5 billion of our outstanding shares of common stock (the "Stock Repurchase Program"). The Stock Repurchase Program has no pre-established closing date and may be suspended or discontinued at any time. For the three and nine months ended September 30, 2023, we did not repurchase any of our Class A common stock. As of September 30, 2023, we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of authorization remaining for repurchase under the Stock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we entered into an agreement enabling us to sell certain customer receivables to a financial institution on a recurring basis for cash. The transferred receivables will be fully guaranteed by a bankruptcy-remote entity and the financial institution that purchases the receivables will have no recourse to our other assets in the event of non-payment by the customers. We can sell an indefinite amount of customer receivables under the agreement on a revolving basis, but the outstanding balance of unpaid customer receivables to the financial institution cannot exceed the initial program limit of $125.0 million at any given time. As of the date of this report, we have not yet sold any customer receivables under this agreement.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uses of cash include the production, acquisition and promotion of programming, technology investments, debt service and payments for income taxes. We continue to invest in original programming, the funding of which generally occurs a minimum of nine months in advance of a program's airing. </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approximately $198.0 million of cash and cash equivalents, previously held by foreign subsidiaries, was repatriated to the United States. Our consolidated cash and cash equivalents balance of $955.2 million, as of September 30, 2023, includes approximately $170.9 million held by foreign subsidiaries. Of this amount, approximately $60.0 million is expected to be repatriated to the United States with the remaining amount continuing to be reinvested in foreign operations. Tax expense related to the repatriated amount, as well as the expected remaining repatriation amount, has been accrued in the current period and the Company does not expect to incur any significant, additional taxes related to the remaining balance.</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combination of cash-on-hand, cash generated from operating activities, availability under our revolving credit facility and new accounts receivable monetization program, borrowings under additional financing facilities and, when we have access to capital and credit markets, proceeds from the sale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then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 On November 3, 2023, we gave notice of our intention to redeem the remaining $400 million outstanding principal amount of our 5.00% senior notes due 2024 (the “2024 Notes”) on December 12, 2023 (the “Redemption Date”). The 2024 Notes will be redeemed at a redemption price of 100.000% of the principal amount of the 2024 Notes plus accrued and unpaid interest to, but excluding, the Redemption Date. Given the maturity date of our $800 million of 4.75% senior notes due 2025, we may access the capital or credit markets in the near term to refinance those senior notes through privately negotiated transactions, open market repurchases, tender offers or redemptions.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2022 Form 10-K.</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economic or market disruptions could lead to lower demand for our services, such as loss of subscribers and lower levels of advertising. These events would adversely impact our results of operations, cash flows and financial position.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was not drawn upon at September 30, 2023. The total undrawn revolver commitment is available to be drawn for our general corporate purposes.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entered into Amendment No. 2 ("Amendment No. 2") to the Second Amended and Restated Credit Agreement (the "Credit Agreement"). Amendment No. 2 (i) reduced the aggregate principal amount of the revolving loan commitments under the Credit Agreement from $500 million to $400 million, (ii) replaced the interest rate based on London Interbank Offered Rate with an interest rate based on the Secured Overnight Financing Rate,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 The maturity date of the Term Loan A Facility and revolving credit facility under the Credit Agreement is February 8, 2026. In connection with the modification of the revolving loan commitments, the Company recorded $0.6 million to write-off a portion of the unamortized deferred financing costs, which is included in interest expense within the consolidated statements of income for the nine months ended September 30, 2023.</w:t>
      </w:r>
    </w:p>
    <w:p>
      <w:pPr>
        <w:pStyle w:val="TextBody"/>
        <w:bidi w:val="0"/>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was in compliance with all of its debt covenants as of September 30, 2023.</w:t>
      </w:r>
    </w:p>
    <w:p>
      <w:pPr>
        <w:pStyle w:val="TextBody"/>
        <w:bidi w:val="0"/>
        <w:spacing w:before="120" w:after="18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cash flows provided by (used in) operating, investing and financing activities for the periods indicated:</w:t>
      </w:r>
    </w:p>
    <w:tbl>
      <w:tblPr>
        <w:tblW w:w="8485" w:type="dxa"/>
        <w:jc w:val="left"/>
        <w:tblInd w:w="0" w:type="dxa"/>
        <w:tblLayout w:type="fixed"/>
        <w:tblCellMar>
          <w:top w:w="28" w:type="dxa"/>
          <w:left w:w="28" w:type="dxa"/>
          <w:bottom w:w="28" w:type="dxa"/>
          <w:right w:w="28" w:type="dxa"/>
        </w:tblCellMar>
      </w:tblPr>
      <w:tblGrid>
        <w:gridCol w:w="2038"/>
        <w:gridCol w:w="1798"/>
        <w:gridCol w:w="1804"/>
        <w:gridCol w:w="228"/>
        <w:gridCol w:w="894"/>
        <w:gridCol w:w="117"/>
        <w:gridCol w:w="117"/>
        <w:gridCol w:w="117"/>
        <w:gridCol w:w="117"/>
        <w:gridCol w:w="228"/>
        <w:gridCol w:w="861"/>
        <w:gridCol w:w="166"/>
      </w:tblGrid>
      <w:tr>
        <w:trPr/>
        <w:tc>
          <w:tcPr>
            <w:tcW w:w="203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6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640" w:type="dxa"/>
            <w:gridSpan w:val="3"/>
            <w:vMerge w:val="continue"/>
            <w:tcBorders/>
            <w:tcMar>
              <w:top w:w="0" w:type="dxa"/>
              <w:left w:w="0" w:type="dxa"/>
              <w:bottom w:w="0" w:type="dxa"/>
              <w:right w:w="0" w:type="dxa"/>
            </w:tcMar>
            <w:vAlign w:val="center"/>
          </w:tcPr>
          <w:p>
            <w:pPr>
              <w:pStyle w:val="Normal"/>
              <w:bidi w:val="0"/>
              <w:jc w:val="left"/>
              <w:rPr/>
            </w:pPr>
            <w:r>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from operations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(72,240)</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76" w:before="120" w:after="120"/>
        <w:ind w:left="0" w:right="0" w:firstLine="495"/>
        <w:jc w:val="both"/>
        <w:rPr/>
      </w:pPr>
      <w:r>
        <w:rPr>
          <w:rFonts w:ascii="Times New Roman;sans-serif" w:hAnsi="Times New Roman;sans-serif"/>
          <w:b w:val="false"/>
          <w:color w:val="000000"/>
          <w:sz w:val="20"/>
          <w:shd w:fill="FFFFFF" w:val="clear"/>
        </w:rPr>
        <w:t xml:space="preserve">Net cash provided by operating activities </w:t>
      </w:r>
      <w:r>
        <w:rPr>
          <w:rFonts w:ascii="Times New Roman;sans-serif" w:hAnsi="Times New Roman;sans-serif"/>
          <w:b w:val="false"/>
          <w:color w:val="000000"/>
          <w:sz w:val="20"/>
        </w:rPr>
        <w:t>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nine months ended 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2022 amounted to </w:t>
      </w:r>
      <w:r>
        <w:rPr>
          <w:rFonts w:ascii="Times New Roman;sans-serif" w:hAnsi="Times New Roman;sans-serif"/>
          <w:b w:val="false"/>
          <w:color w:val="000000"/>
          <w:sz w:val="20"/>
        </w:rPr>
        <w:t>$131.1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$36.6 million</w:t>
      </w:r>
      <w:r>
        <w:rPr>
          <w:rFonts w:ascii="Times New Roman;sans-serif" w:hAnsi="Times New Roman;sans-serif"/>
          <w:b w:val="false"/>
          <w:color w:val="000000"/>
          <w:sz w:val="20"/>
          <w:shd w:fill="FFFFFF" w:val="clear"/>
        </w:rPr>
        <w:t xml:space="preserve">, respectively.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provided by operating activities primarily resulted from $1,033.6 million of net income before amortization of program rights, depreciation and amortization, and other non-cash items, partially offset by payments for program rights of $844.3 million and restructuring initiatives of $101.6 million. Changes in all other assets and liabilities resulted in a net cash inflow of $43.4 million. </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net cash provided by operating activities primarily resulted from net income before amortization of program rights, depreciation and amortization, and other non-cash items of $1,069.8 million, partially offset by payments for program rights of $1,065.9 million. Changes in all other assets and liabilities resulted in a net cash inflow of $32.7 million.</w:t>
      </w:r>
    </w:p>
    <w:p>
      <w:pPr>
        <w:pStyle w:val="TextBody"/>
        <w:bidi w:val="0"/>
        <w:spacing w:lineRule="auto" w:line="276"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76" w:before="120" w:after="120"/>
        <w:ind w:left="0" w:right="0" w:firstLine="495"/>
        <w:jc w:val="both"/>
        <w:rPr/>
      </w:pPr>
      <w:r>
        <w:rPr>
          <w:rFonts w:ascii="Times New Roman;sans-serif" w:hAnsi="Times New Roman;sans-serif"/>
          <w:b w:val="false"/>
          <w:color w:val="000000"/>
          <w:sz w:val="20"/>
          <w:shd w:fill="FFFFFF" w:val="clear"/>
        </w:rPr>
        <w:t xml:space="preserve">Net cash used in investing activities </w:t>
      </w:r>
      <w:r>
        <w:rPr>
          <w:rFonts w:ascii="Times New Roman;sans-serif" w:hAnsi="Times New Roman;sans-serif"/>
          <w:b w:val="false"/>
          <w:color w:val="000000"/>
          <w:sz w:val="20"/>
        </w:rPr>
        <w:t>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nine months ended 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2022 amounted to </w:t>
      </w:r>
      <w:r>
        <w:rPr>
          <w:rFonts w:ascii="Times New Roman;sans-serif" w:hAnsi="Times New Roman;sans-serif"/>
          <w:b w:val="false"/>
          <w:color w:val="000000"/>
          <w:sz w:val="20"/>
        </w:rPr>
        <w:t>$19.2 million and $28.6 million, respectively.</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investing activities consisted primarily of capital expenditures of $28.4 million, partially offset by proceeds from the sale of investments of $8.6 million.</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net cash used in investing activities consisted of capital expenditures of $33.5 million and an additional investment in an equity security of $5.0 million, partially offset by proceeds from the sale of a marketable equity security of $9.9 million.</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Net cash used in financing activities 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nine months ended 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2022 amounted to </w:t>
      </w:r>
      <w:r>
        <w:rPr>
          <w:rFonts w:ascii="Times New Roman;sans-serif" w:hAnsi="Times New Roman;sans-serif"/>
          <w:b w:val="false"/>
          <w:color w:val="000000"/>
          <w:sz w:val="20"/>
        </w:rPr>
        <w:t>$84.9 million and $80.2 million, respectively.</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financing activities primarily consisted of distributions to noncontrolling interests of $47.5 million, principal payments on the Term Loan A Facility of $25.3 million, taxes paid in lieu of shares issued for equity-based compensation of $7.2 million, and principal payments on finance leases of $3.1 million.</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net cash used in financing activities consisted of distributions to noncontrolling interests of $28.2 million, principal payments on the Term Loan A Facility of $25.3 million, taxes paid in lieu of shares issued for equity-based compensation of $21.6 million, principal payments on finance leases of $2.6 million, and the purchase of noncontrolling interests of $2.5 million.</w:t>
      </w:r>
    </w:p>
    <w:p>
      <w:pPr>
        <w:pStyle w:val="TextBody"/>
        <w:bidi w:val="0"/>
        <w:spacing w:before="120" w:after="120"/>
        <w:ind w:left="0" w:right="0" w:firstLine="495"/>
        <w:jc w:val="both"/>
        <w:rPr/>
      </w:pPr>
      <w:r>
        <w:rPr/>
      </w:r>
    </w:p>
    <w:p>
      <w:pPr>
        <w:pStyle w:val="TextBody"/>
        <w:bidi w:val="0"/>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contractual obligations not reflected on the condensed consolidated balance sheet increased $20.6 million, as compared to December 31, 2022, to $932.8 million. The increase was primarily driven by additional program rights commitments and the renewal of a third-party service contract, partially offset by payments for program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Supplemental Guarantor Financial Information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the terms and conditions of the guarantees with respect to the outstanding notes for which AMC Networks is the issuer. </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Note Guarantees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Debt of AMC Networks as of September 30, 2023 included $400.0 million of the 2024 Notes,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subsidiaries of AMC Networks do not and will not guarantee the notes.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Summarized Financial Information </w:t>
      </w:r>
    </w:p>
    <w:tbl>
      <w:tblPr>
        <w:tblW w:w="10202" w:type="dxa"/>
        <w:jc w:val="left"/>
        <w:tblInd w:w="0" w:type="dxa"/>
        <w:tblLayout w:type="fixed"/>
        <w:tblCellMar>
          <w:top w:w="28" w:type="dxa"/>
          <w:left w:w="28" w:type="dxa"/>
          <w:bottom w:w="28" w:type="dxa"/>
          <w:right w:w="28" w:type="dxa"/>
        </w:tblCellMar>
      </w:tblPr>
      <w:tblGrid>
        <w:gridCol w:w="864"/>
        <w:gridCol w:w="759"/>
        <w:gridCol w:w="762"/>
        <w:gridCol w:w="262"/>
        <w:gridCol w:w="1028"/>
        <w:gridCol w:w="135"/>
        <w:gridCol w:w="126"/>
        <w:gridCol w:w="126"/>
        <w:gridCol w:w="126"/>
        <w:gridCol w:w="312"/>
        <w:gridCol w:w="1447"/>
        <w:gridCol w:w="161"/>
        <w:gridCol w:w="109"/>
        <w:gridCol w:w="109"/>
        <w:gridCol w:w="109"/>
        <w:gridCol w:w="262"/>
        <w:gridCol w:w="1027"/>
        <w:gridCol w:w="135"/>
        <w:gridCol w:w="126"/>
        <w:gridCol w:w="126"/>
        <w:gridCol w:w="126"/>
        <w:gridCol w:w="309"/>
        <w:gridCol w:w="1431"/>
        <w:gridCol w:w="22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Statement</w:t>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2385" w:type="dxa"/>
            <w:gridSpan w:val="3"/>
            <w:vMerge w:val="continue"/>
            <w:tcBorders/>
            <w:tcMar>
              <w:top w:w="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1,513,831 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1,104,348 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358,582 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409,483 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6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307,735 </w:t>
            </w:r>
          </w:p>
        </w:tc>
        <w:tc>
          <w:tcPr>
            <w:tcW w:w="13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428,244 </w:t>
            </w:r>
          </w:p>
        </w:tc>
        <w:tc>
          <w:tcPr>
            <w:tcW w:w="16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365,942 </w:t>
            </w:r>
          </w:p>
        </w:tc>
        <w:tc>
          <w:tcPr>
            <w:tcW w:w="13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467,752 </w:t>
            </w:r>
          </w:p>
        </w:tc>
        <w:tc>
          <w:tcPr>
            <w:tcW w:w="22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461,433 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934"/>
        <w:gridCol w:w="818"/>
        <w:gridCol w:w="818"/>
        <w:gridCol w:w="287"/>
        <w:gridCol w:w="977"/>
        <w:gridCol w:w="147"/>
        <w:gridCol w:w="109"/>
        <w:gridCol w:w="109"/>
        <w:gridCol w:w="109"/>
        <w:gridCol w:w="384"/>
        <w:gridCol w:w="1307"/>
        <w:gridCol w:w="198"/>
        <w:gridCol w:w="109"/>
        <w:gridCol w:w="109"/>
        <w:gridCol w:w="109"/>
        <w:gridCol w:w="287"/>
        <w:gridCol w:w="977"/>
        <w:gridCol w:w="147"/>
        <w:gridCol w:w="109"/>
        <w:gridCol w:w="109"/>
        <w:gridCol w:w="109"/>
        <w:gridCol w:w="375"/>
        <w:gridCol w:w="1283"/>
        <w:gridCol w:w="285"/>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subsidiaries</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1,258,759 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4,147,117 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3,457,558 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3,893,205 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3,706,858 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 and equity:</w:t>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subsidiaries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587,762 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629,004 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872,109 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2,516,659 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232,256 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2,972,602 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330,467 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describe our significant accounting policies in Note 2 to the Company's Consolidated Financial Statements included in our 2022 Form 10-K. There have been no significant changes in our significant accounting policies since December 31, 2022.</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our critical accounting estimates in Item 7, "Management's Discussion and Analysis of Financial Condition and Results of Operations," in our 2022 Form 10-K. There have been no significant changes in our critical accounting estimates since December 31, 2022.</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substantially completed its 2022 restructuring plan and exited a portion of its office space in its corporate headquarters in New York and office space in Silver Spring, Maryland and Woodland Hills, California. In connection with exiting a portion of the New York office, the Company recorded impairment charges of $11.6 million, consisting of $9.1 million for operating lease right-of use assets and $2.5 million for leasehold improvements. Fair values used to determine the impairment charge were determined using an income approach, specifically a discounted cash flow ("DCF") model. The DCF model includes significant assumptions about sublease income and enterprise specific discount rates. Given the uncertainty in determining assumptions underlying the DCF approach, actual results may differ from those used in the valuations. </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25/7 Media is our production services business and is part of our International and Other segment. See "Item 1. Business - International and Other" in our 2022 Form 10-K for further details. During the second quarter of 2023, given the impact of market challenges at 25/7 Media, specifically as it relates to reduced demand for new content and series cancellations from third parties, the Company revised its outlook for the 25/7 Media business, resulting in lower expected future cash flows.</w:t>
      </w:r>
      <w:r>
        <w:rPr>
          <w:color w:val="000000"/>
        </w:rPr>
        <w:t xml:space="preserve"> </w:t>
      </w:r>
      <w:r>
        <w:rPr>
          <w:rFonts w:ascii="Times New Roman;sans-serif" w:hAnsi="Times New Roman;sans-serif"/>
          <w:b w:val="false"/>
          <w:color w:val="000000"/>
          <w:sz w:val="20"/>
        </w:rPr>
        <w:t>As a result, the Company determined that sufficient indicators of potential impairment of long-lived assets existed at 25/7 Media. 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consolidated statement of income within the International and Other operating segment for the nine months ended September 30, 2023. Fair values used to determine the impairment charge were determined using an income approach, specifically a DCF model, and a market comparables approach.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the Company also determined that a triggering event had occurred with respect to the 25/7 Media reporting unit, which required an interim goodwill impairment test to be performed. Accordingly, the Company performed a quantitative assessment using an income approach, specifically a DCF model, and a market comparables approach. Based on the valuations performed, a $1.9 million goodwill impairment charge was recorded, which is included in impairment and other charges in the consolidated statement of income, within the International and Other operating segment for the nine months ended September 30, 2023. </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the level of interest rates prevailing at September 30, 2023, the carrying value of our fixed rate debt of $2.18 billion was more than its fair value of $1.75 billion by approximately $435.7 million. The fair value of these financial instruments is estimated based on reference to quoted market prices for these or comparable securities. A hypothetical 100 basis point decrease in interest rates prevailing at September 30, 2023 would increase the estimated fair value of our fixed rate debt by approximately $41.4 million to approximately $1.79 billion.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Interest Rate Risk</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For the three and nine months ended September 30, 2023, we did not have any interest rate swap contracts outstanding.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$2.8 billion of debt outstanding (excluding finance leases), of which $615.9 million is outstanding under our loan facility and is subject to variable interest rates. A hypothetical 100 basis point increase in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rates prevailing at September 30, 2023 would increase our annual interest expense by approximately $6.2 million. The interest rate paid on approximately 78% of our debt (excluding finance leases) as of September 30, 2023 is fixed.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Foreign Currency Exchange Rate Risk</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w:t>
      </w:r>
      <w:r>
        <w:rPr>
          <w:color w:val="000000"/>
          <w:shd w:fill="FFFFFF" w:val="clear"/>
        </w:rPr>
        <w:t xml:space="preserve"> </w:t>
      </w:r>
      <w:r>
        <w:rPr>
          <w:rFonts w:ascii="Times New Roman;sans-serif" w:hAnsi="Times New Roman;sans-serif"/>
          <w:b w:val="false"/>
          <w:color w:val="000000"/>
          <w:sz w:val="20"/>
          <w:shd w:fill="FFFFFF" w:val="clear"/>
        </w:rPr>
        <w:t xml:space="preserve">as a result of changes in foreign currency exchange rates. The Company recognized losses of $3.3 million and $0.8 million </w:t>
      </w:r>
      <w:r>
        <w:rPr>
          <w:rFonts w:ascii="Times New Roman;sans-serif" w:hAnsi="Times New Roman;sans-serif"/>
          <w:b w:val="false"/>
          <w:color w:val="000000"/>
          <w:sz w:val="20"/>
        </w:rPr>
        <w:t>for the three and nine months ended September 30, 2023, respectively, and</w:t>
      </w:r>
      <w:r>
        <w:rPr>
          <w:color w:val="000000"/>
          <w:shd w:fill="FFFFFF" w:val="clear"/>
        </w:rPr>
        <w:t xml:space="preserve"> </w:t>
      </w:r>
      <w:r>
        <w:rPr>
          <w:rFonts w:ascii="Times New Roman;sans-serif" w:hAnsi="Times New Roman;sans-serif"/>
          <w:b w:val="false"/>
          <w:color w:val="000000"/>
          <w:sz w:val="20"/>
          <w:shd w:fill="FFFFFF" w:val="clear"/>
        </w:rPr>
        <w:t xml:space="preserve">losses of $1.0 million and $0.1 million </w:t>
      </w:r>
      <w:r>
        <w:rPr>
          <w:rFonts w:ascii="Times New Roman;sans-serif" w:hAnsi="Times New Roman;sans-serif"/>
          <w:b w:val="false"/>
          <w:color w:val="000000"/>
          <w:sz w:val="20"/>
        </w:rPr>
        <w:t>for the three and nine months ended September 30, 2022, respectively, related to foreign currency transactions. Such amounts are included in miscellaneous, net in the condensed consolidated statements of income.</w:t>
      </w:r>
    </w:p>
    <w:p>
      <w:pPr>
        <w:pStyle w:val="TextBody"/>
        <w:bidi w:val="0"/>
        <w:spacing w:lineRule="auto" w:line="288" w:before="120" w:after="12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September 30, 2023, the Company's Chief Executive Officer and Chief Financial Officer concluded that the Company's disclosure controls and procedures are effective.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there were no changes in the Company's internal control over financial reporting,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14, Commitments and Contingencies to the condensed consolidated financial statements included in this Quarterly Report on Form 10-Q for a description of our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For the three and nine months ended September 30, 2023, the Company did not repurchase any of its Class A common stock. As of September 30, 2023, the Company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 xml:space="preserve">of authorization remaining for repurchase under the Stock Repurchase Program.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ind w:left="0" w:right="0" w:hanging="720"/>
        <w:jc w:val="left"/>
        <w:rPr/>
      </w:pPr>
      <w:r>
        <w:rPr>
          <w:rFonts w:ascii="Times New Roman;sans-serif" w:hAnsi="Times New Roman;sans-serif"/>
          <w:b/>
          <w:color w:val="000000"/>
          <w:sz w:val="20"/>
        </w:rPr>
        <w:t>(a)</w:t>
      </w:r>
      <w:r>
        <w:rPr>
          <w:rFonts w:ascii="Times New Roman;sans-serif" w:hAnsi="Times New Roman;sans-serif"/>
          <w:b w:val="false"/>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76"/>
        <w:gridCol w:w="234"/>
        <w:gridCol w:w="236"/>
        <w:gridCol w:w="2934"/>
        <w:gridCol w:w="2693"/>
        <w:gridCol w:w="3832"/>
      </w:tblGrid>
      <w:tr>
        <w:trPr/>
        <w:tc>
          <w:tcPr>
            <w:tcW w:w="2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mcx-9302023xex101.htm">
              <w:r>
                <w:rPr>
                  <w:rStyle w:val="InternetLink"/>
                  <w:rFonts w:ascii="Times New Roman;sans-serif" w:hAnsi="Times New Roman;sans-serif"/>
                  <w:b w:val="false"/>
                  <w:color w:val="000080"/>
                  <w:sz w:val="20"/>
                  <w:u w:val="single"/>
                </w:rPr>
                <w:t>Employment Agreement dated August 15, 2023, between AMC Networks</w:t>
              </w:r>
            </w:hyperlink>
            <w:hyperlink w:anchor="amcx-9302023xex101.htm">
              <w:r>
                <w:rPr>
                  <w:rStyle w:val="InternetLink"/>
                  <w:rFonts w:ascii="Times New Roman;sans-serif" w:hAnsi="Times New Roman;sans-serif"/>
                  <w:b w:val="false"/>
                  <w:color w:val="000080"/>
                  <w:sz w:val="20"/>
                  <w:u w:val="single"/>
                </w:rPr>
                <w:t xml:space="preserve"> Inc.</w:t>
              </w:r>
            </w:hyperlink>
            <w:hyperlink w:anchor="amcx-9302023xex101.htm">
              <w:r>
                <w:rPr>
                  <w:rStyle w:val="InternetLink"/>
                  <w:rFonts w:ascii="Times New Roman;sans-serif" w:hAnsi="Times New Roman;sans-serif"/>
                  <w:b w:val="false"/>
                  <w:color w:val="000080"/>
                  <w:sz w:val="20"/>
                  <w:u w:val="single"/>
                </w:rPr>
                <w:t xml:space="preserve"> and Michael J. Sherin III</w:t>
              </w:r>
            </w:hyperlink>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3xex22.htm">
              <w:r>
                <w:rPr>
                  <w:rStyle w:val="InternetLink"/>
                  <w:rFonts w:ascii="Times New Roman;sans-serif" w:hAnsi="Times New Roman;sans-serif"/>
                  <w:b w:val="false"/>
                  <w:color w:val="0000FF"/>
                  <w:sz w:val="20"/>
                  <w:u w:val="single"/>
                </w:rPr>
                <w:t>Guarantor Subsidiaries of the Registrant</w:t>
              </w:r>
            </w:hyperlink>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3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3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3xex32.htm">
              <w:r>
                <w:rPr>
                  <w:rStyle w:val="InternetLink"/>
                  <w:rFonts w:ascii="Times New Roman;sans-serif" w:hAnsi="Times New Roman;sans-serif"/>
                  <w:b w:val="false"/>
                  <w:color w:val="0000FF"/>
                  <w:sz w:val="20"/>
                  <w:u w:val="single"/>
                </w:rPr>
                <w:t>Certifications of Chief Executive Officer and Chief Financial Officer pursuant to Section 906 of the Sarbanes-Oxley Act of 2002, 18 U.S.C. Section 1350.</w:t>
              </w:r>
            </w:hyperlink>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vAlign w:val="center"/>
          </w:tcPr>
          <w:p>
            <w:pPr>
              <w:pStyle w:val="TableContents"/>
              <w:bidi w:val="0"/>
              <w:spacing w:before="0" w:after="283"/>
              <w:jc w:val="left"/>
              <w:rPr>
                <w:sz w:val="4"/>
                <w:szCs w:val="4"/>
              </w:rPr>
            </w:pPr>
            <w:r>
              <w:rPr>
                <w:sz w:val="4"/>
                <w:szCs w:val="4"/>
              </w:rPr>
            </w:r>
          </w:p>
        </w:tc>
        <w:tc>
          <w:tcPr>
            <w:tcW w:w="9459" w:type="dxa"/>
            <w:gridSpan w:val="3"/>
            <w:tcBorders/>
            <w:vAlign w:val="center"/>
          </w:tcPr>
          <w:p>
            <w:pPr>
              <w:pStyle w:val="TableContents"/>
              <w:bidi w:val="0"/>
              <w:spacing w:before="0" w:after="283"/>
              <w:jc w:val="left"/>
              <w:rPr>
                <w:sz w:val="4"/>
                <w:szCs w:val="4"/>
              </w:rPr>
            </w:pPr>
            <w:r>
              <w:rPr>
                <w:sz w:val="4"/>
                <w:szCs w:val="4"/>
              </w:rPr>
            </w:r>
          </w:p>
        </w:tc>
      </w:tr>
      <w:tr>
        <w:trPr/>
        <w:tc>
          <w:tcPr>
            <w:tcW w:w="746" w:type="dxa"/>
            <w:gridSpan w:val="3"/>
            <w:tcBorders/>
            <w:vAlign w:val="center"/>
          </w:tcPr>
          <w:p>
            <w:pPr>
              <w:pStyle w:val="TableContents"/>
              <w:bidi w:val="0"/>
              <w:spacing w:before="0" w:after="283"/>
              <w:jc w:val="left"/>
              <w:rPr>
                <w:sz w:val="4"/>
                <w:szCs w:val="4"/>
              </w:rPr>
            </w:pPr>
            <w:r>
              <w:rPr>
                <w:sz w:val="4"/>
                <w:szCs w:val="4"/>
              </w:rPr>
            </w:r>
          </w:p>
        </w:tc>
        <w:tc>
          <w:tcPr>
            <w:tcW w:w="9459" w:type="dxa"/>
            <w:gridSpan w:val="3"/>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Inline XBRL document.</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52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356"/>
        <w:gridCol w:w="1356"/>
        <w:gridCol w:w="19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AMC Networks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240"/>
        <w:jc w:val="center"/>
        <w:rPr/>
      </w:pPr>
      <w:r>
        <w:rPr/>
      </w:r>
    </w:p>
    <w:p>
      <w:pPr>
        <w:pStyle w:val="TextBody"/>
        <w:bidi w:val="0"/>
        <w:spacing w:before="0" w:after="0"/>
        <w:jc w:val="center"/>
        <w:rPr/>
      </w:pPr>
      <w:r>
        <w:rPr/>
        <w:drawing>
          <wp:inline distT="0" distB="0" distL="0" distR="0">
            <wp:extent cx="3657600" cy="723900"/>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2"/>
                    <a:stretch>
                      <a:fillRect/>
                    </a:stretch>
                  </pic:blipFill>
                  <pic:spPr bwMode="auto">
                    <a:xfrm>
                      <a:off x="0" y="0"/>
                      <a:ext cx="3657600" cy="723900"/>
                    </a:xfrm>
                    <a:prstGeom prst="rect">
                      <a:avLst/>
                    </a:prstGeom>
                  </pic:spPr>
                </pic:pic>
              </a:graphicData>
            </a:graphic>
          </wp:inline>
        </w:drawing>
      </w:r>
    </w:p>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August 15, 2023</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Michael J. Sherin III</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 AMC Networks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Penn Plaza</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New York 10001</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Re:    </w:t>
      </w:r>
      <w:r>
        <w:rPr>
          <w:rFonts w:ascii="Times New Roman;sans-serif" w:hAnsi="Times New Roman;sans-serif"/>
          <w:b w:val="false"/>
          <w:color w:val="000000"/>
          <w:sz w:val="24"/>
          <w:u w:val="single"/>
        </w:rPr>
        <w:t>Employment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Mike: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am pleased to forward this letter agreement (the “Agreement”) setting forth the terms of your employment with AMC Networks Inc. which, together with its subsidiaries, and affiliates, is referred to herein as the “Company.”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execution by you and the Company, this Agreement will be effective as of your first day of employment (the “Effective Date”), which is currently anticipated to be August 17, 2023. The term of this Agreement shall commence as of the Effective Date and shall automatically expire on the three-year anniversary of the Effective Date (the “Expiration Date”).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the Effective Date, you will be employed in the position of Executive Vice President and Chief Accounting Officer. You agree to devote substantially all of your business time and attention to the business and affairs of the Company and shall perform your duties in a diligent, competent and skillful manner and in accordance with applicable law. By signing this Agreement, you represent and warrant that you are aware of no obligations, contractual or otherwise, relating to a prior employer or any other entity for which you rendered services or with which you are or were affiliated which would prevent or prohibit you from accepting or commencing employment with the Company and/or performing fully your job responsibilities now or in the future.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Beginning on the Effective Date, your annual base salary will be not less than $408,000, subject to annual review and potential increase by the Compensation Committee of the Board of Directors of AMC Networks Inc. (the “Compensation Committee”), in its discretion.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You will also be eligible to participate in our discretionary annual incentive bonus program (“AIP”). Beginning on the Effective Date, your annual target bonus opportunity will be equal to forty percent (40%) of salary. Bonus payments are based on actual salary dollars paid during the year and depend on a number of factors including Company, unit and individual performance. Notwithstanding the foregoing, for the fiscal year ending December 31, 2023, your target bonus opportunity will be $163,200 and will not be pro-rated, provided, however, if, prior to the one-year anniversary of the Effective Date, your employment is terminated by the Company for “</w:t>
      </w:r>
      <w:r>
        <w:rPr>
          <w:rFonts w:ascii="Times New Roman;sans-serif" w:hAnsi="Times New Roman;sans-serif"/>
          <w:b w:val="false"/>
          <w:i/>
          <w:color w:val="000000"/>
          <w:sz w:val="24"/>
        </w:rPr>
        <w:t>Cause</w:t>
      </w:r>
      <w:r>
        <w:rPr>
          <w:color w:val="000000"/>
        </w:rPr>
        <w:t>”</w:t>
      </w:r>
      <w:r>
        <w:rPr>
          <w:rFonts w:ascii="Times New Roman;sans-serif" w:hAnsi="Times New Roman;sans-serif"/>
          <w:b w:val="false"/>
          <w:color w:val="000000"/>
          <w:sz w:val="24"/>
        </w:rPr>
        <w:t xml:space="preserve">, as defined below, or you voluntarily resign your employment, you agree: i) that you will not be entitled to receive an AIP bonus for 2023; and ii) if you have already received an AIP bonus for the 2023 </w:t>
      </w: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53670"/>
                <wp:effectExtent l="0" t="0" r="0" b="0"/>
                <wp:wrapNone/>
                <wp:docPr id="49" name="Frame4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fiscal year, you will</w:t>
      </w:r>
      <w:r>
        <w:rPr>
          <w:color w:val="00B050"/>
        </w:rPr>
        <w:t xml:space="preserve"> </w:t>
      </w:r>
      <w:r>
        <w:rPr>
          <w:rFonts w:ascii="Times New Roman;sans-serif" w:hAnsi="Times New Roman;sans-serif"/>
          <w:b w:val="false"/>
          <w:color w:val="000000"/>
          <w:sz w:val="24"/>
        </w:rPr>
        <w:t xml:space="preserve">repay the gross amount of any AIP bonus you previously received with respect to the 2023 fiscal year.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Subject to the terms of this Agreement, any bonus shall be earned, only if and when actually paid to, and received by, you.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You will also be eligible, subject to your continued employment by the Company and actual grant by the Compensation Committee in its discretion, to participate in such long-term equity and other incentive programs as are made available in the future to similarly situated executives at the Company. Beginning with awards granted in 2024, it is expected that such awards will consist of annual grants of cash and/or equity awards with an annual target value of not less than $340,000, as determined by the Compensation Committee. For calendar year 2023, you will be recommended to the Compensation Committee, in or about October 2023, for one-time grants of long-term incentive awards, which grants will be comprised of: 1) a one-time award of 13,885 restricted stock units; and 2) a one-time cash performance award with a target value of $377,000.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provided, however, that such terms and conditions shall be consistent with the terms and conditions of the grant agreements received by similarly situated executives;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for the purposes of this provision, the Company’s Chief Executive Officer shall not be deemed a “similarly situated executive.”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will also be eligible for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We currently offer medical, dental, vision, life, and accidental death and dismemberment insurance; short and long-term disability insurance; a savings and retirement program, and paid holidays. You will be entitled to four (4) weeks’ vacation per year, to be accrued and used in accordance with Company policy. You will also be entitled to reimbursement of business expenses upon submission of appropriate documentation in accordance with Company policy.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If, prior to the Expiration Date, your employment is involuntarily terminated by the Company for reasons other than “</w:t>
      </w:r>
      <w:r>
        <w:rPr>
          <w:rFonts w:ascii="Times New Roman;sans-serif" w:hAnsi="Times New Roman;sans-serif"/>
          <w:b w:val="false"/>
          <w:i/>
          <w:color w:val="000000"/>
          <w:sz w:val="24"/>
        </w:rPr>
        <w:t>Cause</w:t>
      </w:r>
      <w:r>
        <w:rPr>
          <w:rFonts w:ascii="Times New Roman;sans-serif" w:hAnsi="Times New Roman;sans-serif"/>
          <w:b w:val="false"/>
          <w:color w:val="000000"/>
          <w:sz w:val="24"/>
        </w:rPr>
        <w:t>,” then subject to your execution and the effectiveness of a severance agreement (the “Severance Agreement”) to the Company’s satisfaction (to include, without limitation, non-compete (limited to one year), non-disparagement, non-solicitation, confidentiality and further cooperation obligations/restrictions on you as well as a general release by you of the Company and its affiliates), you will be paid no less than an amount (the “Severance Amount”) equal to:</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One and one-half (1.5) times the sum of your annual base salary and annual target bonus opportunity each as in effect on the effective date of your termination (the “Termination Date”). Sixty percent (60%) of the payment provided for in this paragraph (the “First Payment”) will be payable to you on the six-month anniversary of the Termination Date and the remaining forty percent (40%) will be payable to you on the twelve-month anniversary of the Termination Date; provided that the maximum portion of the First Payment that is exempt from </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53670"/>
                <wp:effectExtent l="0" t="0" r="0" b="0"/>
                <wp:wrapNone/>
                <wp:docPr id="50" name="Frame4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2</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 xml:space="preserve">Section 409A (as defined below) will be payable to you on or before the seventy-fifth (75) day following the date your employment so terminates; </w:t>
      </w:r>
      <w:r>
        <w:rPr>
          <w:rFonts w:ascii="Times New Roman;sans-serif" w:hAnsi="Times New Roman;sans-serif"/>
          <w:b w:val="false"/>
          <w:i/>
          <w:color w:val="000000"/>
          <w:sz w:val="24"/>
        </w:rPr>
        <w:t>plus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2) A prorated annual bonus based on the amount of your then current annual base salary actually earned by you during the fiscal year through the Termination Date, provided, that such bonus, if any, will be payable to you if and when such bonuses are generally paid to similarly situated employees and will be based on your then current annual target bonus as well as Company and your business unit performance as determined by the Company in its discretion, but without adjustment for your individual performance; </w:t>
      </w:r>
      <w:r>
        <w:rPr>
          <w:rFonts w:ascii="Times New Roman;sans-serif" w:hAnsi="Times New Roman;sans-serif"/>
          <w:b w:val="false"/>
          <w:i/>
          <w:color w:val="000000"/>
          <w:sz w:val="24"/>
        </w:rPr>
        <w:t xml:space="preserve">and </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3) If, as of the Termination Date, bonuses had not yet generally been paid to similarly situated employees with respect to the prior fiscal year, a bonus based on the amount of your base salary actually paid to you during such prior fiscal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such bonus, if any, will be payable to you if and when such bonuses are generally paid to similarly situated employees and will be based on your annual target bonus that was in effect with respect to such prior fiscal year as well as Company and your business unit performance as determined by the Company, but without adjustment for your individual performance. </w:t>
      </w:r>
    </w:p>
    <w:p>
      <w:pPr>
        <w:pStyle w:val="TextBody"/>
        <w:bidi w:val="0"/>
        <w:spacing w:before="0" w:after="24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die after a termination of your employment that is subject to the above, your estate or beneficiaries will be provided any remaining benefits and rights under the above Sections (1) through (3).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any termination of your employment, your then outstanding long-term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long-term incentive award agreements, including, without limitation, your rights in the event of a termination of your employment, a “Going Private Transaction” or a “Change of Control” (as those terms are defined in the applicable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For purposes of this Agreement, “</w:t>
      </w: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 xml:space="preserve">means, as determined by the Company,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Times New Roman;sans-serif" w:hAnsi="Times New Roman;sans-serif"/>
          <w:b w:val="false"/>
          <w:i/>
          <w:color w:val="000000"/>
          <w:sz w:val="24"/>
        </w:rPr>
        <w:t>nolo</w:t>
      </w:r>
      <w:r>
        <w:rPr>
          <w:color w:val="000000"/>
        </w:rPr>
        <w:t xml:space="preserve"> </w:t>
      </w:r>
      <w:r>
        <w:rPr>
          <w:rFonts w:ascii="Times New Roman;sans-serif" w:hAnsi="Times New Roman;sans-serif"/>
          <w:b w:val="false"/>
          <w:i/>
          <w:color w:val="000000"/>
          <w:sz w:val="24"/>
        </w:rPr>
        <w:t>contendere</w:t>
      </w:r>
      <w:r>
        <w:rPr>
          <w:rFonts w:ascii="Times New Roman;sans-serif" w:hAnsi="Times New Roman;sans-serif"/>
          <w:b w:val="false"/>
          <w:color w:val="000000"/>
          <w:sz w:val="24"/>
        </w:rPr>
        <w:t xml:space="preserve">, or imposition of unadjudicated probation for any crime involving moral turpitude or any felony.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Effective immediately, you and the Company agree to be bound by the additional covenants and provisions applicable to each that are set forth in the </w:t>
      </w:r>
      <w:r>
        <w:rPr>
          <w:rFonts w:ascii="Times New Roman;sans-serif" w:hAnsi="Times New Roman;sans-serif"/>
          <w:b w:val="false"/>
          <w:i/>
          <w:color w:val="000000"/>
          <w:sz w:val="24"/>
        </w:rPr>
        <w:t xml:space="preserve">Annex </w:t>
      </w:r>
      <w:r>
        <w:rPr>
          <w:rFonts w:ascii="Times New Roman;sans-serif" w:hAnsi="Times New Roman;sans-serif"/>
          <w:b w:val="false"/>
          <w:color w:val="000000"/>
          <w:sz w:val="24"/>
        </w:rPr>
        <w:t xml:space="preserve">attached hereto, which </w:t>
      </w:r>
      <w:r>
        <w:rPr>
          <w:rFonts w:ascii="Times New Roman;sans-serif" w:hAnsi="Times New Roman;sans-serif"/>
          <w:b w:val="false"/>
          <w:i/>
          <w:color w:val="000000"/>
          <w:sz w:val="24"/>
        </w:rPr>
        <w:t>Annex</w:t>
      </w:r>
      <w:r>
        <w:rPr>
          <w:color w:val="000000"/>
        </w:rPr>
        <w:t xml:space="preserve"> </w:t>
      </w:r>
      <w:r>
        <w:rPr>
          <w:rFonts w:ascii="Times New Roman;sans-serif" w:hAnsi="Times New Roman;sans-serif"/>
          <w:b w:val="false"/>
          <w:color w:val="000000"/>
          <w:sz w:val="24"/>
        </w:rPr>
        <w:t>shall be deemed to be a part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does not constitute a guarantee of employment for any definite period or on any specific terms. Your employment is at will and may be terminated by you or the Company at any time, with or without notice or reason. The Company may withhold from any payment due to you any taxes that are required to be withheld under any law, rule or regulation. You acknowledge that any compensation earned, paid, awarded or provided to you will be subject to any clawback as may be required to be made pursuant to applicable law, government regulation or stock exchange listing requirement or any clawback policy adopted by the Company or its affiliates.</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53670"/>
                <wp:effectExtent l="0" t="0" r="0" b="0"/>
                <wp:wrapNone/>
                <wp:docPr id="51" name="Frame5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3</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payment otherwise due to you hereunder would result in the imposition of the excise tax imposed by Section 4999 of the Internal Revenue Code, as amended (the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(i.e., later payments will be reduced first) until the reduction specified is achieved.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is intended that this Agreement will comply with Section 409A of the Code (together with the applicable regulations thereunder, “Section 409A”) and to the extent the Agreement is subject thereto, the Agreement shall be interpreted on a basis consistent with such intent. If and to the extent that any payment or benefit under this Agreement, or any plan, award or arrangement of the Company or its affiliates, constitutes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as determined by the Company), such payment or benefit shall not be made or provided before the date that is six months after the date of your separation from service (or your earlier death) as set forth herein. Any amount not paid or benefit not provided in respect of the six-month period specified in the preceding sentence will be paid to you in the manner set forth in this Agreement. Any such payment or benefit shall be treated as a separate payment for purposes of Section 409A to the extent Section 409A applies to such payments.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pStyle w:val="TextBody"/>
        <w:bidi w:val="0"/>
        <w:spacing w:lineRule="auto" w:line="240" w:before="0" w:after="240"/>
        <w:jc w:val="both"/>
        <w:rPr/>
      </w:pPr>
      <w:r>
        <w:rPr>
          <w:color w:val="000000"/>
        </w:rPr>
        <w:t>    </w:t>
      </w:r>
      <w:r>
        <w:rPr>
          <w:rFonts w:ascii="Times New Roman;sans-serif" w:hAnsi="Times New Roman;sans-serif"/>
          <w:b/>
          <w:color w:val="000000"/>
          <w:sz w:val="24"/>
        </w:rPr>
        <w:t>To the extent permitted by law, you hereby waive any and all rights to the jury trial with respect to any matter relating to this Agreement.</w:t>
      </w:r>
    </w:p>
    <w:p>
      <w:pPr>
        <w:pStyle w:val="TextBody"/>
        <w:bidi w:val="0"/>
        <w:spacing w:lineRule="auto" w:line="240" w:before="0" w:after="240"/>
        <w:jc w:val="both"/>
        <w:rPr>
          <w:color w:val="000000"/>
        </w:rPr>
      </w:pPr>
      <w:r>
        <w:rPr>
          <w:color w:val="000000"/>
        </w:rPr>
        <w:t>    </w:t>
      </w:r>
      <w:r>
        <w:rPr>
          <w:rFonts w:ascii="Times New Roman;sans-serif" w:hAnsi="Times New Roman;sans-serif"/>
          <w:b/>
          <w:color w:val="000000"/>
          <w:sz w:val="24"/>
        </w:rPr>
        <w:t>This Agreement will be governed by and construed in accordance with the law of the State of New York applicable to contracts made and to be performed entirely within that State.</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 xml:space="preserve">You hereby irrevocably submit to the jurisdiction of the courts of the State of New York and the federal courts of the United States of America located in the State of New York solely in respect of the interpretation and enforcement of the provisions of this </w:t>
      </w: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53670"/>
                <wp:effectExtent l="0" t="0" r="0" b="0"/>
                <wp:wrapNone/>
                <wp:docPr id="52" name="Frame5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and you hereby waive, and agree not to assert, as a defense that you are not subject thereto or that the venue thereof may not be appropriate. You hereby agree that mailing of process or other papers in connection with any such action or proceeding in any manner as may be permitted by law shall be valid and sufficient service thereof.</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This Agreement may not be amended or modified otherwise than by a written agreement executed by the parties hereto or their respective successors and legal representatives. 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 It is the parties’ intention that this Agreement not be construed more strictly with regard to you or the Company.</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This Agreement sets forth the entire agreement between the parties concerning the subject matter hereof and supersedes all prior agreements and understandings, both oral and written, between the parties with respect to the subject matter 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will automatically terminate, and be of no further force or effect, on the earlier of (a) August 17, 2023, if it is not acknowledged by you below prior to such date, or (b) the Expiration Date (except as to any right that accrued prior to such date to receive the Severance Amount subject to the execution and effectiveness of the Severance Agreement); provided, however, that the confidentiality obligations set forth herein and the covenants and agreements set forth in the Annex shall survive any termination or expiration of this Agreement, and any termination of your employment with the Company, in accordance with their respective terms.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look forward to your execution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Patrick O'Connell</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Patrick O’Connell</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and Chief Financial Officer</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AMC Networks Inc.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ACCEPTED AND AGREED TO:</w:t>
      </w:r>
    </w:p>
    <w:p>
      <w:pPr>
        <w:pStyle w:val="TextBody"/>
        <w:bidi w:val="0"/>
        <w:spacing w:before="0" w:after="24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Michael J. Sherin III</w:t>
      </w:r>
    </w:p>
    <w:p>
      <w:pPr>
        <w:pStyle w:val="TextBody"/>
        <w:bidi w:val="0"/>
        <w:spacing w:before="0" w:after="2"/>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Michael J. Sherin III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August 15, 2023</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53670"/>
                <wp:effectExtent l="0" t="0" r="0" b="0"/>
                <wp:wrapNone/>
                <wp:docPr id="53" name="Frame5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5</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ANNEX</w:t>
      </w:r>
    </w:p>
    <w:p>
      <w:pPr>
        <w:pStyle w:val="TextBody"/>
        <w:bidi w:val="0"/>
        <w:spacing w:before="0" w:after="24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Annex constitutes part of the Agreement, dated August 15, 2023, by and between Michael J. Sherin III (“</w:t>
      </w:r>
      <w:r>
        <w:rPr>
          <w:rFonts w:ascii="Times New Roman;sans-serif" w:hAnsi="Times New Roman;sans-serif"/>
          <w:b w:val="false"/>
          <w:i/>
          <w:color w:val="000000"/>
          <w:sz w:val="24"/>
        </w:rPr>
        <w:t>You</w:t>
      </w:r>
      <w:r>
        <w:rPr>
          <w:color w:val="000000"/>
        </w:rPr>
        <w:t>”</w:t>
      </w:r>
      <w:r>
        <w:rPr>
          <w:rFonts w:ascii="Times New Roman;sans-serif" w:hAnsi="Times New Roman;sans-serif"/>
          <w:b w:val="false"/>
          <w:color w:val="000000"/>
          <w:sz w:val="24"/>
        </w:rPr>
        <w:t>) and the Company. Terms defined in the Agreement shall have the same meanings in this Annex.</w:t>
      </w:r>
    </w:p>
    <w:p>
      <w:pPr>
        <w:pStyle w:val="TextBody"/>
        <w:bidi w:val="0"/>
        <w:spacing w:before="0" w:after="0"/>
        <w:ind w:left="0" w:right="0" w:firstLine="147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agree to comply with the following covenants in addition to those set forth in the Agreement.</w:t>
      </w:r>
    </w:p>
    <w:p>
      <w:pPr>
        <w:pStyle w:val="TextBody"/>
        <w:bidi w:val="0"/>
        <w:spacing w:before="0" w:after="0"/>
        <w:ind w:left="0" w:right="0" w:firstLine="147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1.    Confidentiality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 xml:space="preserve">You agree to keep the existence and terms of this Agreement confidential (unless it is made public by the Company)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(1) you are authorized to make any disclosure required of you by any federal, state or local laws or judicial proceedings, after providing the Company with prior written notice and an opportunity to respond to such disclosure (unless such notice is prohibited by law), and (2) you are authorized to disclose this Agreement and its terms to your legal, financial and tax advisors or to members of your immediate family so long as such advisors and family members agree to maintain the confidentiality of the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Confidential and Proprietary Information.</w:t>
      </w:r>
      <w:r>
        <w:rPr>
          <w:color w:val="000000"/>
        </w:rPr>
        <w:t xml:space="preserve"> </w:t>
      </w:r>
      <w:r>
        <w:rPr>
          <w:rFonts w:ascii="Times New Roman;sans-serif" w:hAnsi="Times New Roman;sans-serif"/>
          <w:b w:val="false"/>
          <w:color w:val="000000"/>
          <w:sz w:val="24"/>
        </w:rPr>
        <w:t>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Times New Roman;sans-serif" w:hAnsi="Times New Roman;sans-serif"/>
          <w:b w:val="false"/>
          <w:i/>
          <w:color w:val="000000"/>
          <w:sz w:val="24"/>
        </w:rPr>
        <w:t>Confidential Information</w:t>
      </w:r>
      <w:r>
        <w:rPr>
          <w:color w:val="000000"/>
        </w:rPr>
        <w:t xml:space="preserve">” </w:t>
      </w:r>
      <w:r>
        <w:rPr>
          <w:rFonts w:ascii="Times New Roman;sans-serif" w:hAnsi="Times New Roman;sans-serif"/>
          <w:b w:val="false"/>
          <w:color w:val="000000"/>
          <w:sz w:val="24"/>
        </w:rPr>
        <w:t>means any non-public information of a confidential, proprietary, commercially sensitive or personal nature of, or regarding, the Company or any of its affiliates or any director, officer or member of senior management of any of the foregoing (collectively “</w:t>
      </w:r>
      <w:r>
        <w:rPr>
          <w:rFonts w:ascii="Times New Roman;sans-serif" w:hAnsi="Times New Roman;sans-serif"/>
          <w:b w:val="false"/>
          <w:i/>
          <w:color w:val="000000"/>
          <w:sz w:val="24"/>
        </w:rPr>
        <w:t>Covered Parties</w:t>
      </w:r>
      <w:r>
        <w:rPr>
          <w:color w:val="000000"/>
        </w:rPr>
        <w:t>”</w:t>
      </w:r>
      <w:r>
        <w:rPr>
          <w:rFonts w:ascii="Times New Roman;sans-serif" w:hAnsi="Times New Roman;sans-serif"/>
          <w:b w:val="false"/>
          <w:color w:val="000000"/>
          <w:sz w:val="24"/>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officers, directors,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pStyle w:val="TextBody"/>
        <w:bidi w:val="0"/>
        <w:spacing w:lineRule="auto" w:line="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Exception for Disclosure Pursuant to Law.</w:t>
      </w:r>
      <w:r>
        <w:rPr>
          <w:color w:val="000000"/>
        </w:rPr>
        <w:t xml:space="preserve"> </w:t>
      </w:r>
      <w:r>
        <w:rPr>
          <w:rFonts w:ascii="Times New Roman;sans-serif" w:hAnsi="Times New Roman;sans-serif"/>
          <w:b w:val="false"/>
          <w:color w:val="000000"/>
          <w:sz w:val="24"/>
        </w:rPr>
        <w:t xml:space="preserve">Notwithstanding anything contained elsewhere in this Agreement, you are authorized to make any disclosure required of you by any federal, state or local laws or judicial, arbitral or governmental agency proceedings, including, but not limited to, providing truthful testimony concerning the Company or its affiliates as required by court order or other legal process; after providing the Company with prior written notice and an opportunity to respond prior to such disclosure. In addition, this Agreement in no way restricts or prevents you </w:t>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53670"/>
                <wp:effectExtent l="0" t="0" r="0" b="0"/>
                <wp:wrapNone/>
                <wp:docPr id="54" name="Frame5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6</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from providing truthful testimony concerning the Company to judicial, administrative, regulatory or other governmental authorities.</w:t>
      </w:r>
    </w:p>
    <w:p>
      <w:pPr>
        <w:pStyle w:val="TextBody"/>
        <w:bidi w:val="0"/>
        <w:spacing w:before="0" w:after="0"/>
        <w:ind w:left="0" w:right="0" w:firstLine="147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By signing this Agreement, you acknowledge that you have been advised that pursuant to the federal Defend Trade Secrets Act of 2016, you may not be held criminally or civilly liable under any federal or state trade secret law for disclosing a trade secret: (i) in confidence, to a federal, state, or local government official, or to your attorneys, for the purpose of reporting or investigating a suspected violation of the law; or (ii) in a complaint or other court document filed in connection with a lawsuit or court proceeding, provided that said filing is made under seal. In addition, you acknowledge that you have been advised that if you file an action for retaliation against the Company for reporting a suspected violation of law, you may disclose a trade secret to your attorneys and use the trade secret in connection with the court proceeding provided that you: (i) file any document containing the trade secret under seal; and (ii) do not disclose the trade secret, except pursuant to court order. </w:t>
      </w:r>
    </w:p>
    <w:p>
      <w:pPr>
        <w:pStyle w:val="TextBody"/>
        <w:bidi w:val="0"/>
        <w:spacing w:before="0" w:after="0"/>
        <w:ind w:left="0" w:right="0" w:firstLine="147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2.    Non-Compete</w: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Times New Roman;sans-serif" w:hAnsi="Times New Roman;sans-serif"/>
          <w:b w:val="false"/>
          <w:i/>
          <w:color w:val="000000"/>
          <w:sz w:val="24"/>
        </w:rPr>
        <w:t>Competitive Entity</w:t>
      </w:r>
      <w:r>
        <w:rPr>
          <w:color w:val="000000"/>
        </w:rPr>
        <w:t xml:space="preserve">” </w:t>
      </w:r>
      <w:r>
        <w:rPr>
          <w:rFonts w:ascii="Times New Roman;sans-serif" w:hAnsi="Times New Roman;sans-serif"/>
          <w:b w:val="false"/>
          <w:color w:val="000000"/>
          <w:sz w:val="24"/>
        </w:rPr>
        <w:t xml:space="preserve">shall mean (1) any person, entity or business that (i) competes with any of the Company’s or any of its affiliates’ programming, distribution or other existing businesses, internationally,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w: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3.    Additional Understandings</w:t>
      </w:r>
    </w:p>
    <w:p>
      <w:pPr>
        <w:pStyle w:val="TextBody"/>
        <w:bidi w:val="0"/>
        <w:spacing w:before="0" w:after="0"/>
        <w:ind w:left="0" w:right="0" w:firstLine="144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pStyle w:val="TextBody"/>
        <w:bidi w:val="0"/>
        <w:spacing w:before="0" w:after="0"/>
        <w:ind w:left="0" w:right="0" w:firstLine="1440"/>
        <w:jc w:val="both"/>
        <w:rPr/>
      </w:pPr>
      <w:r>
        <w:rPr/>
      </w:r>
    </w:p>
    <w:p>
      <w:pPr>
        <w:pStyle w:val="TextBody"/>
        <w:bidi w:val="0"/>
        <w:spacing w:lineRule="auto" w:line="240"/>
        <w:ind w:left="0" w:right="0" w:firstLine="720"/>
        <w:jc w:val="both"/>
        <w:rPr/>
      </w:pPr>
      <w:r>
        <w:rPr>
          <w:rFonts w:ascii="Times New Roman;sans-serif" w:hAnsi="Times New Roman;sans-serif"/>
          <w:b w:val="false"/>
          <w:color w:val="000000"/>
          <w:sz w:val="24"/>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Times New Roman;sans-serif" w:hAnsi="Times New Roman;sans-serif"/>
          <w:b w:val="false"/>
          <w:i/>
          <w:color w:val="000000"/>
          <w:sz w:val="24"/>
        </w:rPr>
        <w:t>Materials</w:t>
      </w:r>
      <w:r>
        <w:rPr>
          <w:color w:val="000000"/>
        </w:rPr>
        <w:t>”</w:t>
      </w:r>
      <w:r>
        <w:rPr>
          <w:rFonts w:ascii="Times New Roman;sans-serif" w:hAnsi="Times New Roman;sans-serif"/>
          <w:b w:val="false"/>
          <w:color w:val="000000"/>
          <w:sz w:val="24"/>
        </w:rPr>
        <w:t>). The Company will have the sole and exclusive authority to use the Materials in any manner that it deems appropriate, in perpetuity, without additional payment to you.</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53670"/>
                <wp:effectExtent l="0" t="0" r="0" b="0"/>
                <wp:wrapNone/>
                <wp:docPr id="55" name="Frame5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7</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4.    Further Cooperation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any such expense before it is incurred.</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5.     No Hire or Solicit</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Throughout your employment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This restriction does not apply to any employee who was discharged by the Company or any of its affiliates. In addition, this restriction will not prevent you from providing references. </w:t>
      </w:r>
    </w:p>
    <w:p>
      <w:pPr>
        <w:pStyle w:val="TextBody"/>
        <w:bidi w:val="0"/>
        <w:spacing w:before="0" w:after="0"/>
        <w:ind w:left="0" w:right="0" w:firstLine="1440"/>
        <w:jc w:val="both"/>
        <w:rPr/>
      </w:pPr>
      <w:r>
        <w:rPr/>
      </w:r>
    </w:p>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53670"/>
                <wp:effectExtent l="0" t="0" r="0" b="0"/>
                <wp:wrapNone/>
                <wp:docPr id="56" name="Frame5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8</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6.    Acknowledgments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 xml:space="preserve">You acknowledge that the restrictions contained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raise the defense that the Company has an adequate remedy at law. Nothing in this </w:t>
      </w:r>
      <w:r>
        <w:rPr>
          <w:rFonts w:ascii="Times New Roman;sans-serif" w:hAnsi="Times New Roman;sans-serif"/>
          <w:b w:val="false"/>
          <w:i/>
          <w:color w:val="000000"/>
          <w:sz w:val="24"/>
        </w:rPr>
        <w:t>Annex</w:t>
      </w:r>
      <w:r>
        <w:rPr>
          <w:color w:val="000000"/>
        </w:rPr>
        <w:t xml:space="preserve"> </w:t>
      </w:r>
      <w:r>
        <w:rPr>
          <w:rFonts w:ascii="Times New Roman;sans-serif" w:hAnsi="Times New Roman;sans-serif"/>
          <w:b w:val="false"/>
          <w:color w:val="000000"/>
          <w:sz w:val="24"/>
        </w:rPr>
        <w:t xml:space="preserve">shall be construed as prohibiting the Company from pursuing any other remedies at law or in equity that it may have or any other rights that it may have under any other agreement. If it is determined that any of the provisions of this </w:t>
      </w:r>
      <w:r>
        <w:rPr>
          <w:rFonts w:ascii="Times New Roman;sans-serif" w:hAnsi="Times New Roman;sans-serif"/>
          <w:b w:val="false"/>
          <w:i/>
          <w:color w:val="000000"/>
          <w:sz w:val="24"/>
        </w:rPr>
        <w:t xml:space="preserve">Annex, </w:t>
      </w:r>
      <w:r>
        <w:rPr>
          <w:rFonts w:ascii="Times New Roman;sans-serif" w:hAnsi="Times New Roman;sans-serif"/>
          <w:b w:val="false"/>
          <w:color w:val="000000"/>
          <w:sz w:val="24"/>
        </w:rPr>
        <w:t xml:space="preserve">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7.    Survival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covenants and agreements set forth in this </w:t>
      </w:r>
      <w:r>
        <w:rPr>
          <w:rFonts w:ascii="Times New Roman;sans-serif" w:hAnsi="Times New Roman;sans-serif"/>
          <w:b w:val="false"/>
          <w:i/>
          <w:color w:val="000000"/>
          <w:sz w:val="24"/>
        </w:rPr>
        <w:t>Annex</w:t>
      </w:r>
      <w:r>
        <w:rPr>
          <w:color w:val="000000"/>
        </w:rPr>
        <w:t xml:space="preserve"> </w:t>
      </w:r>
      <w:r>
        <w:rPr>
          <w:rFonts w:ascii="Times New Roman;sans-serif" w:hAnsi="Times New Roman;sans-serif"/>
          <w:b w:val="false"/>
          <w:color w:val="000000"/>
          <w:sz w:val="24"/>
        </w:rPr>
        <w:t xml:space="preserve">shall survive any termination or expiration of this Agreement and any termination of your employment with the Company, in accordance with their respective terms. </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1" w:before="0" w:after="200"/>
        <w:jc w:val="right"/>
        <w:rPr>
          <w:rFonts w:ascii="Times New Roman;sans-serif" w:hAnsi="Times New Roman;sans-serif"/>
          <w:b w:val="false"/>
          <w:color w:val="000000"/>
          <w:sz w:val="20"/>
        </w:rPr>
      </w:pPr>
      <w:r>
        <w:rPr>
          <w:rFonts w:ascii="Times New Roman;sans-serif" w:hAnsi="Times New Roman;sans-serif"/>
          <w:b w:val="false"/>
          <w:color w:val="000000"/>
          <w:sz w:val="20"/>
        </w:rPr>
        <w:t>Exhibit 22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53670"/>
                <wp:effectExtent l="0" t="0" r="0" b="0"/>
                <wp:wrapNone/>
                <wp:docPr id="57" name="Frame5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9</w:t>
                      </w:r>
                    </w:p>
                  </w:txbxContent>
                </v:textbox>
                <w10:wrap type="none"/>
              </v:rect>
            </w:pict>
          </mc:Fallback>
        </mc:AlternateConten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List of Guarantor Subsidiaries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following subsidiaries of AMC Networks Inc. guarantee the notes issued by AMC Networks Inc.</w:t>
      </w:r>
    </w:p>
    <w:tbl>
      <w:tblPr>
        <w:tblW w:w="6042" w:type="dxa"/>
        <w:jc w:val="left"/>
        <w:tblInd w:w="0" w:type="dxa"/>
        <w:tblLayout w:type="fixed"/>
        <w:tblCellMar>
          <w:top w:w="28" w:type="dxa"/>
          <w:left w:w="28" w:type="dxa"/>
          <w:bottom w:w="28" w:type="dxa"/>
          <w:right w:w="28" w:type="dxa"/>
        </w:tblCellMar>
      </w:tblPr>
      <w:tblGrid>
        <w:gridCol w:w="1301"/>
        <w:gridCol w:w="1146"/>
        <w:gridCol w:w="1153"/>
        <w:gridCol w:w="109"/>
        <w:gridCol w:w="109"/>
        <w:gridCol w:w="109"/>
        <w:gridCol w:w="619"/>
        <w:gridCol w:w="619"/>
        <w:gridCol w:w="877"/>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2nd Party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61st Street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Across the River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Aesir Media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Film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Games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 Entertainment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Broadcasting &amp;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International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Plus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Premiere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AMC/Sundance Channel Global Networks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AMCN Properties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American Movie Classics IV Holding Corp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Animal Control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Anime Network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Anthem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Brockmire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Cobalt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Comic Scribe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Crossed Pens Development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Dark Winds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Digital Store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Dispatches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Expedition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Families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Moons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Geese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Ground Work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HIDIVE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78"/>
        <w:gridCol w:w="947"/>
        <w:gridCol w:w="959"/>
        <w:gridCol w:w="109"/>
        <w:gridCol w:w="109"/>
        <w:gridCol w:w="109"/>
        <w:gridCol w:w="619"/>
        <w:gridCol w:w="619"/>
        <w:gridCol w:w="877"/>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Holdings LLC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Films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In Theaters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Television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Concessions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Infinite Frontiers,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 Creative Contents Alliance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Kindred Spirit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Kopus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Kopus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Lodge Productions II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Making Waves Studio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Mechanical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Monument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Moonhaven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Newfound Lake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NOS4A2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 Pit Properties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Peachwood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Pens Down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Premier Quills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Content Distribution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Rainbow Media Enterprises,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Rainbow Media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Rectify Productions IV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 Monday Programming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Holding Corporation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II Holding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Roughhouse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Selects VOD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Filmworks,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Shudder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67" w:type="dxa"/>
        <w:jc w:val="left"/>
        <w:tblInd w:w="0" w:type="dxa"/>
        <w:tblLayout w:type="fixed"/>
        <w:tblCellMar>
          <w:top w:w="28" w:type="dxa"/>
          <w:left w:w="28" w:type="dxa"/>
          <w:bottom w:w="28" w:type="dxa"/>
          <w:right w:w="28" w:type="dxa"/>
        </w:tblCellMar>
      </w:tblPr>
      <w:tblGrid>
        <w:gridCol w:w="1055"/>
        <w:gridCol w:w="929"/>
        <w:gridCol w:w="941"/>
        <w:gridCol w:w="109"/>
        <w:gridCol w:w="109"/>
        <w:gridCol w:w="109"/>
        <w:gridCol w:w="619"/>
        <w:gridCol w:w="619"/>
        <w:gridCol w:w="877"/>
      </w:tblGrid>
      <w:tr>
        <w:trPr/>
        <w:tc>
          <w:tcPr>
            <w:tcW w:w="105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Sleuth Secrets Productions LLC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Stalwart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Channel Originals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Film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SundanceTV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Sxion 23,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IX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X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XI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Unio Mystica Holding,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Universe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Vampire Chronicles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Voom HD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Studios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Woodbury Studios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Kristin A. Dolan, certify that: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5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Patrick O’Connell, certify that: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33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80" w:after="3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each of the undersigned officers of AMC Networks Inc. (“AMC Networks”) hereby certifies, to such officer’s knowledge, that AMC Networks’ Quarterly Report on Form 10-Q for the quarter ended September 30, 2023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tbl>
      <w:tblPr>
        <w:tblW w:w="495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733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27680</Words>
  <Characters>158384</Characters>
  <CharactersWithSpaces>184061</CharactersWithSpaces>
  <Paragraphs>3891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