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88265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3"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Arial" w:cs="Arial" w:eastAsia="Arial" w:hAnsi="Arial"/>
                <w:sz w:val="18"/>
                <w:szCs w:val="18"/>
                <w:b w:val="1"/>
                <w:bCs w:val="1"/>
                <w:color w:val="auto"/>
                <w:w w:val="94"/>
              </w:rPr>
              <w:t>For the transition period from</w:t>
            </w:r>
          </w:p>
        </w:tc>
        <w:tc>
          <w:tcPr>
            <w:tcW w:w="4240" w:type="dxa"/>
            <w:vAlign w:val="bottom"/>
            <w:gridSpan w:val="2"/>
          </w:tcPr>
          <w:p>
            <w:pPr>
              <w:ind w:left="60"/>
              <w:spacing w:after="0"/>
              <w:rPr>
                <w:sz w:val="20"/>
                <w:szCs w:val="20"/>
                <w:color w:val="auto"/>
              </w:rPr>
            </w:pPr>
            <w:r>
              <w:rPr>
                <w:rFonts w:ascii="Arial" w:cs="Arial" w:eastAsia="Arial" w:hAnsi="Arial"/>
                <w:sz w:val="18"/>
                <w:szCs w:val="18"/>
                <w:b w:val="1"/>
                <w:bCs w:val="1"/>
                <w:color w:val="auto"/>
              </w:rPr>
              <w:t>to</w:t>
            </w:r>
          </w:p>
        </w:tc>
      </w:tr>
      <w:tr>
        <w:trPr>
          <w:trHeight w:val="270"/>
        </w:trPr>
        <w:tc>
          <w:tcPr>
            <w:tcW w:w="2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1"/>
              </w:rPr>
              <w:t>Commission File Number: 1-35106</w:t>
            </w:r>
          </w:p>
        </w:tc>
      </w:tr>
      <w:tr>
        <w:trPr>
          <w:trHeight w:val="135"/>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71"/>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29"/>
                <w:szCs w:val="29"/>
                <w:b w:val="1"/>
                <w:bCs w:val="1"/>
                <w:color w:val="auto"/>
                <w:w w:val="94"/>
              </w:rPr>
              <w:t>AMC Networks Inc.</w:t>
            </w:r>
          </w:p>
        </w:tc>
      </w:tr>
      <w:tr>
        <w:trPr>
          <w:trHeight w:val="246"/>
        </w:trPr>
        <w:tc>
          <w:tcPr>
            <w:tcW w:w="2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320" w:type="dxa"/>
            <w:vAlign w:val="bottom"/>
            <w:gridSpan w:val="3"/>
          </w:tcPr>
          <w:p>
            <w:pPr>
              <w:jc w:val="center"/>
              <w:ind w:right="270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430"/>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Pr>
          <w:p>
            <w:pPr>
              <w:spacing w:after="0"/>
              <w:rPr>
                <w:sz w:val="24"/>
                <w:szCs w:val="24"/>
                <w:color w:val="auto"/>
              </w:rPr>
            </w:pPr>
          </w:p>
        </w:tc>
        <w:tc>
          <w:tcPr>
            <w:tcW w:w="424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27-5403694</w:t>
            </w:r>
          </w:p>
        </w:tc>
      </w:tr>
      <w:tr>
        <w:trPr>
          <w:trHeight w:val="144"/>
        </w:trPr>
        <w:tc>
          <w:tcPr>
            <w:tcW w:w="3300" w:type="dxa"/>
            <w:vAlign w:val="bottom"/>
            <w:gridSpan w:val="2"/>
          </w:tcPr>
          <w:p>
            <w:pPr>
              <w:jc w:val="center"/>
              <w:ind w:left="121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080" w:type="dxa"/>
            <w:vAlign w:val="bottom"/>
          </w:tcPr>
          <w:p>
            <w:pPr>
              <w:spacing w:after="0"/>
              <w:rPr>
                <w:sz w:val="12"/>
                <w:szCs w:val="12"/>
                <w:color w:val="auto"/>
              </w:rPr>
            </w:pPr>
          </w:p>
        </w:tc>
        <w:tc>
          <w:tcPr>
            <w:tcW w:w="4240" w:type="dxa"/>
            <w:vAlign w:val="bottom"/>
            <w:gridSpan w:val="2"/>
          </w:tcPr>
          <w:p>
            <w:pPr>
              <w:jc w:val="center"/>
              <w:ind w:left="75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00" w:type="dxa"/>
            <w:vAlign w:val="bottom"/>
            <w:gridSpan w:val="2"/>
          </w:tcPr>
          <w:p>
            <w:pPr>
              <w:jc w:val="center"/>
              <w:ind w:left="1219"/>
              <w:spacing w:after="0"/>
              <w:rPr>
                <w:sz w:val="20"/>
                <w:szCs w:val="20"/>
                <w:color w:val="auto"/>
              </w:rPr>
            </w:pPr>
            <w:r>
              <w:rPr>
                <w:rFonts w:ascii="Arial" w:cs="Arial" w:eastAsia="Arial" w:hAnsi="Arial"/>
                <w:sz w:val="14"/>
                <w:szCs w:val="14"/>
                <w:b w:val="1"/>
                <w:bCs w:val="1"/>
                <w:color w:val="auto"/>
                <w:w w:val="94"/>
              </w:rPr>
              <w:t>incorporation or organization)</w:t>
            </w:r>
          </w:p>
        </w:tc>
        <w:tc>
          <w:tcPr>
            <w:tcW w:w="2080" w:type="dxa"/>
            <w:vAlign w:val="bottom"/>
          </w:tcPr>
          <w:p>
            <w:pPr>
              <w:spacing w:after="0"/>
              <w:rPr>
                <w:sz w:val="16"/>
                <w:szCs w:val="16"/>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6"/>
              </w:rPr>
              <w:t>Identification No.)</w:t>
            </w:r>
          </w:p>
        </w:tc>
      </w:tr>
      <w:tr>
        <w:trPr>
          <w:trHeight w:val="281"/>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89"/>
              </w:rPr>
              <w:t>11 Penn Plaza,</w:t>
            </w: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5"/>
        </w:trPr>
        <w:tc>
          <w:tcPr>
            <w:tcW w:w="3300" w:type="dxa"/>
            <w:vAlign w:val="bottom"/>
            <w:gridSpan w:val="2"/>
          </w:tcPr>
          <w:p>
            <w:pPr>
              <w:ind w:left="1460"/>
              <w:spacing w:after="0"/>
              <w:rPr>
                <w:sz w:val="20"/>
                <w:szCs w:val="20"/>
                <w:color w:val="auto"/>
              </w:rPr>
            </w:pPr>
            <w:r>
              <w:rPr>
                <w:rFonts w:ascii="Arial" w:cs="Arial" w:eastAsia="Arial" w:hAnsi="Arial"/>
                <w:sz w:val="18"/>
                <w:szCs w:val="18"/>
                <w:b w:val="1"/>
                <w:bCs w:val="1"/>
                <w:color w:val="auto"/>
              </w:rPr>
              <w:t>New York, NY</w:t>
            </w:r>
          </w:p>
        </w:tc>
        <w:tc>
          <w:tcPr>
            <w:tcW w:w="2080" w:type="dxa"/>
            <w:vAlign w:val="bottom"/>
          </w:tcPr>
          <w:p>
            <w:pPr>
              <w:spacing w:after="0"/>
              <w:rPr>
                <w:sz w:val="19"/>
                <w:szCs w:val="19"/>
                <w:color w:val="auto"/>
              </w:rPr>
            </w:pPr>
          </w:p>
        </w:tc>
        <w:tc>
          <w:tcPr>
            <w:tcW w:w="424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10001</w:t>
            </w:r>
          </w:p>
        </w:tc>
      </w:tr>
      <w:tr>
        <w:trPr>
          <w:trHeight w:val="186"/>
        </w:trPr>
        <w:tc>
          <w:tcPr>
            <w:tcW w:w="53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2"/>
          </w:tcPr>
          <w:p>
            <w:pPr>
              <w:jc w:val="center"/>
              <w:ind w:right="719"/>
              <w:spacing w:after="0"/>
              <w:rPr>
                <w:sz w:val="20"/>
                <w:szCs w:val="20"/>
                <w:color w:val="auto"/>
              </w:rPr>
            </w:pPr>
            <w:r>
              <w:rPr>
                <w:rFonts w:ascii="Arial" w:cs="Arial" w:eastAsia="Arial" w:hAnsi="Arial"/>
                <w:sz w:val="18"/>
                <w:szCs w:val="18"/>
                <w:b w:val="1"/>
                <w:bCs w:val="1"/>
                <w:color w:val="auto"/>
                <w:w w:val="90"/>
              </w:rPr>
              <w:t>(212) 324-8500</w:t>
            </w:r>
          </w:p>
        </w:tc>
        <w:tc>
          <w:tcPr>
            <w:tcW w:w="19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78"/>
        </w:trPr>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tcPr>
          <w:p>
            <w:pPr>
              <w:jc w:val="center"/>
              <w:ind w:left="511"/>
              <w:spacing w:after="0"/>
              <w:rPr>
                <w:sz w:val="20"/>
                <w:szCs w:val="20"/>
                <w:color w:val="auto"/>
              </w:rPr>
            </w:pPr>
            <w:r>
              <w:rPr>
                <w:rFonts w:ascii="Arial" w:cs="Arial" w:eastAsia="Arial" w:hAnsi="Arial"/>
                <w:sz w:val="16"/>
                <w:szCs w:val="16"/>
                <w:b w:val="1"/>
                <w:bCs w:val="1"/>
                <w:color w:val="auto"/>
                <w:w w:val="91"/>
              </w:rPr>
              <w:t>Trading Symbol(s)</w:t>
            </w:r>
          </w:p>
        </w:tc>
        <w:tc>
          <w:tcPr>
            <w:tcW w:w="4240" w:type="dxa"/>
            <w:vAlign w:val="bottom"/>
            <w:gridSpan w:val="2"/>
          </w:tcPr>
          <w:p>
            <w:pPr>
              <w:ind w:left="12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6"/>
        </w:trPr>
        <w:tc>
          <w:tcPr>
            <w:tcW w:w="3300" w:type="dxa"/>
            <w:vAlign w:val="bottom"/>
            <w:gridSpan w:val="2"/>
          </w:tcPr>
          <w:p>
            <w:pPr>
              <w:jc w:val="center"/>
              <w:spacing w:after="0"/>
              <w:rPr>
                <w:sz w:val="20"/>
                <w:szCs w:val="20"/>
                <w:color w:val="auto"/>
              </w:rPr>
            </w:pPr>
            <w:r>
              <w:rPr>
                <w:rFonts w:ascii="Arial" w:cs="Arial" w:eastAsia="Arial" w:hAnsi="Arial"/>
                <w:sz w:val="16"/>
                <w:szCs w:val="16"/>
                <w:color w:val="auto"/>
                <w:w w:val="90"/>
              </w:rPr>
              <w:t>Class A Common Stock, par value $0.01 per share</w:t>
            </w:r>
          </w:p>
        </w:tc>
        <w:tc>
          <w:tcPr>
            <w:tcW w:w="2080" w:type="dxa"/>
            <w:vAlign w:val="bottom"/>
          </w:tcPr>
          <w:p>
            <w:pPr>
              <w:jc w:val="center"/>
              <w:ind w:left="511"/>
              <w:spacing w:after="0"/>
              <w:rPr>
                <w:sz w:val="20"/>
                <w:szCs w:val="20"/>
                <w:color w:val="auto"/>
              </w:rPr>
            </w:pPr>
            <w:r>
              <w:rPr>
                <w:rFonts w:ascii="Arial" w:cs="Arial" w:eastAsia="Arial" w:hAnsi="Arial"/>
                <w:sz w:val="16"/>
                <w:szCs w:val="16"/>
                <w:color w:val="auto"/>
              </w:rPr>
              <w:t>AMCX</w:t>
            </w:r>
          </w:p>
        </w:tc>
        <w:tc>
          <w:tcPr>
            <w:tcW w:w="4240" w:type="dxa"/>
            <w:vAlign w:val="bottom"/>
            <w:gridSpan w:val="2"/>
          </w:tcPr>
          <w:p>
            <w:pPr>
              <w:ind w:left="1460"/>
              <w:spacing w:after="0"/>
              <w:rPr>
                <w:sz w:val="20"/>
                <w:szCs w:val="20"/>
                <w:color w:val="auto"/>
              </w:rPr>
            </w:pPr>
            <w:r>
              <w:rPr>
                <w:rFonts w:ascii="Arial" w:cs="Arial" w:eastAsia="Arial" w:hAnsi="Arial"/>
                <w:sz w:val="16"/>
                <w:szCs w:val="16"/>
                <w:color w:val="auto"/>
              </w:rPr>
              <w:t>The  NASDAQ  Stock Market LLC</w:t>
            </w:r>
          </w:p>
        </w:tc>
      </w:tr>
      <w:tr>
        <w:trPr>
          <w:trHeight w:val="114"/>
        </w:trPr>
        <w:tc>
          <w:tcPr>
            <w:tcW w:w="25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r>
    </w:tbl>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28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0"/>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2"/>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October 29, 2021:</w:t>
            </w:r>
          </w:p>
        </w:tc>
        <w:tc>
          <w:tcPr>
            <w:tcW w:w="3800" w:type="dxa"/>
            <w:vAlign w:val="bottom"/>
          </w:tcPr>
          <w:p>
            <w:pPr>
              <w:spacing w:after="0"/>
              <w:rPr>
                <w:sz w:val="24"/>
                <w:szCs w:val="24"/>
                <w:color w:val="auto"/>
              </w:rPr>
            </w:pPr>
          </w:p>
        </w:tc>
      </w:tr>
      <w:tr>
        <w:trPr>
          <w:trHeight w:val="230"/>
        </w:trPr>
        <w:tc>
          <w:tcPr>
            <w:tcW w:w="7440" w:type="dxa"/>
            <w:vAlign w:val="bottom"/>
          </w:tcPr>
          <w:p>
            <w:pPr>
              <w:ind w:left="140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30,767,784</w:t>
            </w:r>
          </w:p>
        </w:tc>
      </w:tr>
      <w:tr>
        <w:trPr>
          <w:trHeight w:val="21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gridSpan w:val="9"/>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360" w:type="dxa"/>
            <w:vAlign w:val="bottom"/>
            <w:gridSpan w:val="9"/>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9"/>
            <w:vMerge w:val="continue"/>
          </w:tcPr>
          <w:p>
            <w:pPr>
              <w:spacing w:after="0"/>
              <w:rPr>
                <w:sz w:val="14"/>
                <w:szCs w:val="14"/>
                <w:color w:val="auto"/>
              </w:rPr>
            </w:pPr>
          </w:p>
        </w:tc>
        <w:tc>
          <w:tcPr>
            <w:tcW w:w="7360" w:type="dxa"/>
            <w:vAlign w:val="bottom"/>
            <w:gridSpan w:val="9"/>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14"/>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22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5540" w:type="dxa"/>
            <w:vAlign w:val="bottom"/>
            <w:gridSpan w:val="3"/>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2. Management’s Discussion and Analysis of Financial Condition and Results of Operations</w:t>
              </w:r>
            </w:hyperlink>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 Quantitative and Qualitative Disclosures About Market Risk</w:t>
              </w:r>
            </w:hyperlink>
          </w:p>
        </w:tc>
        <w:tc>
          <w:tcPr>
            <w:tcW w:w="76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47">
              <w:r>
                <w:rPr>
                  <w:rFonts w:ascii="Arial" w:cs="Arial" w:eastAsia="Arial" w:hAnsi="Arial"/>
                  <w:sz w:val="18"/>
                  <w:szCs w:val="18"/>
                  <w:color w:val="0000FF"/>
                  <w:w w:val="94"/>
                </w:rPr>
                <w:t>Item 4.</w:t>
              </w:r>
            </w:hyperlink>
          </w:p>
        </w:tc>
        <w:tc>
          <w:tcPr>
            <w:tcW w:w="180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9"/>
          </w:tcPr>
          <w:p>
            <w:pPr>
              <w:spacing w:after="0"/>
              <w:rPr>
                <w:sz w:val="18"/>
                <w:szCs w:val="18"/>
                <w:color w:val="auto"/>
              </w:rPr>
            </w:pP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 OTHER INFORMATION</w:t>
              </w:r>
            </w:hyperlink>
          </w:p>
        </w:tc>
        <w:tc>
          <w:tcPr>
            <w:tcW w:w="76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Item 1.</w:t>
              </w:r>
            </w:hyperlink>
          </w:p>
        </w:tc>
        <w:tc>
          <w:tcPr>
            <w:tcW w:w="1360" w:type="dxa"/>
            <w:vAlign w:val="bottom"/>
            <w:tcBorders>
              <w:bottom w:val="single" w:sz="8" w:color="0000FF"/>
            </w:tcBorders>
            <w:gridSpan w:val="3"/>
          </w:tcPr>
          <w:p>
            <w:pPr>
              <w:ind w:left="20"/>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Legal Proceedings</w:t>
              </w:r>
            </w:hyperlink>
          </w:p>
        </w:tc>
        <w:tc>
          <w:tcPr>
            <w:tcW w:w="834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Item 2.</w:t>
              </w:r>
            </w:hyperlink>
          </w:p>
        </w:tc>
        <w:tc>
          <w:tcPr>
            <w:tcW w:w="4380" w:type="dxa"/>
            <w:vAlign w:val="bottom"/>
            <w:tcBorders>
              <w:bottom w:val="single" w:sz="8" w:color="0000FF"/>
            </w:tcBorders>
            <w:gridSpan w:val="13"/>
          </w:tcPr>
          <w:p>
            <w:pPr>
              <w:ind w:left="2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Unregistered Sales of Equity Securities and Use of Proceeds</w:t>
              </w:r>
            </w:hyperlink>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Item 6.</w:t>
              </w:r>
            </w:hyperlink>
          </w:p>
        </w:tc>
        <w:tc>
          <w:tcPr>
            <w:tcW w:w="9700" w:type="dxa"/>
            <w:vAlign w:val="bottom"/>
            <w:gridSpan w:val="15"/>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76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18"/>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SIGNATURES</w:t>
              </w:r>
            </w:hyperlink>
          </w:p>
        </w:tc>
        <w:tc>
          <w:tcPr>
            <w:tcW w:w="76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ind w:left="3960"/>
        <w:spacing w:after="0"/>
        <w:rPr>
          <w:sz w:val="20"/>
          <w:szCs w:val="20"/>
          <w:color w:val="auto"/>
        </w:rPr>
      </w:pPr>
      <w:r>
        <w:rPr>
          <w:rFonts w:ascii="Arial" w:cs="Arial" w:eastAsia="Arial" w:hAnsi="Arial"/>
          <w:sz w:val="16"/>
          <w:szCs w:val="16"/>
          <w:b w:val="1"/>
          <w:bCs w:val="1"/>
          <w:color w:val="auto"/>
        </w:rPr>
        <w:t>AMC NETWORKS INC. AND SUBSIDIARIES</w:t>
      </w:r>
    </w:p>
    <w:p>
      <w:pPr>
        <w:ind w:left="370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1"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199"/>
        </w:trPr>
        <w:tc>
          <w:tcPr>
            <w:tcW w:w="7600" w:type="dxa"/>
            <w:vAlign w:val="bottom"/>
          </w:tcPr>
          <w:p>
            <w:pPr>
              <w:ind w:left="350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870,967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888,526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trade (less allowance for doubtful accounts of $8,732 and $11,234)</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813,587</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Current portion of program rights,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13,480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223,173</w:t>
            </w:r>
          </w:p>
        </w:tc>
        <w:tc>
          <w:tcPr>
            <w:tcW w:w="0" w:type="dxa"/>
            <w:vAlign w:val="bottom"/>
          </w:tcPr>
          <w:p>
            <w:pPr>
              <w:spacing w:after="0"/>
              <w:rPr>
                <w:sz w:val="1"/>
                <w:szCs w:val="1"/>
                <w:color w:val="auto"/>
              </w:rPr>
            </w:pPr>
          </w:p>
        </w:tc>
      </w:tr>
      <w:tr>
        <w:trPr>
          <w:trHeight w:val="207"/>
        </w:trPr>
        <w:tc>
          <w:tcPr>
            <w:tcW w:w="7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1,868,699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1,938,766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$284,351 and $261,082</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256,045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1,700,175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1,269,131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410,672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689,639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686,407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133,044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146,522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513,749</w:t>
            </w:r>
          </w:p>
        </w:tc>
        <w:tc>
          <w:tcPr>
            <w:tcW w:w="0" w:type="dxa"/>
            <w:vAlign w:val="bottom"/>
          </w:tcPr>
          <w:p>
            <w:pPr>
              <w:spacing w:after="0"/>
              <w:rPr>
                <w:sz w:val="1"/>
                <w:szCs w:val="1"/>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5,495,465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5,246,338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120,530</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269,079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320,005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program rights obligations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259,449</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81,848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71,048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of lease obligations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32,435</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878,467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226,941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182,511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2,774,307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159,998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194,324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125,970</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4,315,419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4,287,588</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291,447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315,649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A Common Stock, $0.01 par value, 360,000 shares authorized, 65,349 and 64,568 shares issued and 30,756</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29,975 shares outstanding, respectively</w:t>
            </w: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w w:val="99"/>
              </w:rPr>
              <w:t>Class B Common Stock, $0.01 par value, 90,000 shares authorized, 11,484 shares issued and outstanding</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340,033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323,425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1,847,451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(1,419,882)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(134,950)</w:t>
            </w:r>
          </w:p>
        </w:tc>
        <w:tc>
          <w:tcPr>
            <w:tcW w:w="0" w:type="dxa"/>
            <w:vAlign w:val="bottom"/>
          </w:tcPr>
          <w:p>
            <w:pPr>
              <w:spacing w:after="0"/>
              <w:rPr>
                <w:sz w:val="1"/>
                <w:szCs w:val="1"/>
                <w:color w:val="auto"/>
              </w:rPr>
            </w:pPr>
          </w:p>
        </w:tc>
      </w:tr>
      <w:tr>
        <w:trPr>
          <w:trHeight w:val="207"/>
        </w:trPr>
        <w:tc>
          <w:tcPr>
            <w:tcW w:w="7600" w:type="dxa"/>
            <w:vAlign w:val="bottom"/>
          </w:tcPr>
          <w:p>
            <w:pPr>
              <w:ind w:left="680"/>
              <w:spacing w:after="0"/>
              <w:rPr>
                <w:sz w:val="20"/>
                <w:szCs w:val="20"/>
                <w:color w:val="auto"/>
              </w:rPr>
            </w:pPr>
            <w:r>
              <w:rPr>
                <w:rFonts w:ascii="Arial" w:cs="Arial" w:eastAsia="Arial" w:hAnsi="Arial"/>
                <w:sz w:val="16"/>
                <w:szCs w:val="16"/>
                <w:color w:val="auto"/>
              </w:rPr>
              <w:t>Total AMC Networks stockholders' equity</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837,028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616,805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26,296</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888,599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643,101</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5,246,338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396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CONDENSED CONSOLIDATED STATEMENTS OF INCOME</w:t>
      </w:r>
    </w:p>
    <w:p>
      <w:pPr>
        <w:ind w:left="42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2,034,681</w:t>
            </w: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Technical and operating (excluding depreciation and amortization)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960,379</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610,164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488,581</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80,182</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158,973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130,411</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r>
      <w:tr>
        <w:trPr>
          <w:trHeight w:val="223"/>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1,847,609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1,673,432</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361,249</w:t>
            </w: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(105,283)</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11,276</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2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(107,003)</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333,790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254,246</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(95,490)</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118,487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255,810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158,756</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145,268</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5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162"/>
        </w:trPr>
        <w:tc>
          <w:tcPr>
            <w:tcW w:w="5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53,374</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53,917</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158,756</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r>
      <w:tr>
        <w:trPr>
          <w:trHeight w:val="229"/>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 gain (loss) on interest rate swaps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r>
      <w:tr>
        <w:trPr>
          <w:trHeight w:val="223"/>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before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r>
      <w:tr>
        <w:trPr>
          <w:trHeight w:val="229"/>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 of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224,926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165,340</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152,522</w:t>
            </w:r>
          </w:p>
        </w:tc>
      </w:tr>
      <w:tr>
        <w:trPr>
          <w:trHeight w:val="21"/>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Class A</w:t>
            </w: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2380" w:type="dxa"/>
            <w:vAlign w:val="bottom"/>
            <w:gridSpan w:val="8"/>
          </w:tcPr>
          <w:p>
            <w:pPr>
              <w:ind w:left="40"/>
              <w:spacing w:after="0" w:line="135" w:lineRule="exact"/>
              <w:rPr>
                <w:sz w:val="20"/>
                <w:szCs w:val="20"/>
                <w:color w:val="auto"/>
              </w:rPr>
            </w:pPr>
            <w:r>
              <w:rPr>
                <w:rFonts w:ascii="Arial" w:cs="Arial" w:eastAsia="Arial" w:hAnsi="Arial"/>
                <w:sz w:val="14"/>
                <w:szCs w:val="14"/>
                <w:b w:val="1"/>
                <w:bCs w:val="1"/>
                <w:color w:val="auto"/>
              </w:rPr>
              <w:t>Common   Paid-in   Accumulated</w:t>
            </w:r>
          </w:p>
        </w:tc>
        <w:tc>
          <w:tcPr>
            <w:tcW w:w="90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$ 330,593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1,970,357</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(148,167)</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733,669</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49,873</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783,542</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110,651</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110,651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110,651</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2,856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2,856</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 to noncontrolling member</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(17,459)</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$ 340,033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2,081,008</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(164,899)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837,028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51,571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2380" w:type="dxa"/>
            <w:vAlign w:val="bottom"/>
            <w:gridSpan w:val="8"/>
          </w:tcPr>
          <w:p>
            <w:pPr>
              <w:ind w:left="20"/>
              <w:spacing w:after="0" w:line="135" w:lineRule="exact"/>
              <w:rPr>
                <w:sz w:val="20"/>
                <w:szCs w:val="20"/>
                <w:color w:val="auto"/>
              </w:rPr>
            </w:pPr>
            <w:r>
              <w:rPr>
                <w:rFonts w:ascii="Arial" w:cs="Arial" w:eastAsia="Arial" w:hAnsi="Arial"/>
                <w:sz w:val="14"/>
                <w:szCs w:val="14"/>
                <w:b w:val="1"/>
                <w:bCs w:val="1"/>
                <w:color w:val="auto"/>
              </w:rPr>
              <w:t>Common   Paid-in   Accumulated</w:t>
            </w:r>
          </w:p>
        </w:tc>
        <w:tc>
          <w:tcPr>
            <w:tcW w:w="88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$ 308,288</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1,691,100</w:t>
            </w:r>
          </w:p>
        </w:tc>
        <w:tc>
          <w:tcPr>
            <w:tcW w:w="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(1,166,119)</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(182,111)</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651,916</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23,229</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675,145</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61,640</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61,640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61,640</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1,785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1,785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21,654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21,946</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12,393</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$ 320,681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1,752,740</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(1,166,119)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(160,457)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747,603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24,743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772,346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Networks</w:t>
            </w:r>
          </w:p>
        </w:tc>
        <w:tc>
          <w:tcPr>
            <w:tcW w:w="1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1060" w:type="dxa"/>
            <w:vAlign w:val="bottom"/>
            <w:gridSpan w:val="5"/>
            <w:vMerge w:val="continue"/>
          </w:tcPr>
          <w:p>
            <w:pPr>
              <w:spacing w:after="0"/>
              <w:rPr>
                <w:sz w:val="11"/>
                <w:szCs w:val="11"/>
                <w:color w:val="auto"/>
              </w:rPr>
            </w:pPr>
          </w:p>
        </w:tc>
        <w:tc>
          <w:tcPr>
            <w:tcW w:w="9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$ 323,425</w:t>
            </w: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1,847,451</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26,296</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643,101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2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233,557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233,557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233,557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7,134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7,134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from redeemable noncontrolling interests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18,367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Contribution from noncontrolling member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39,163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39,163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39,163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(34,655)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$ 340,033</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2,081,008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(164,899)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837,028</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51,571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888,599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9"/>
        </w:trPr>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9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Networks</w:t>
            </w:r>
          </w:p>
        </w:tc>
        <w:tc>
          <w:tcPr>
            <w:tcW w:w="20" w:type="dxa"/>
            <w:vAlign w:val="bottom"/>
          </w:tcPr>
          <w:p>
            <w:pPr>
              <w:spacing w:after="0"/>
              <w:rPr>
                <w:sz w:val="11"/>
                <w:szCs w:val="11"/>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8"/>
              </w:rPr>
              <w:t>Noncontrolling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8"/>
              </w:rPr>
              <w:t>Common</w:t>
            </w:r>
          </w:p>
        </w:tc>
        <w:tc>
          <w:tcPr>
            <w:tcW w:w="6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8"/>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$ 286,491</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1,609,428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1"/>
              </w:rPr>
              <w:t>$ (1,063,181)</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(167,711)</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665,781</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25,724</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691,505</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2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145,268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145,268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145,268</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Adoption of ASU 2016-13, credit 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(1,956)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43,141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43,141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(102,938)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(102,938)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(102,938)</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(8,951)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(8,947)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(8,947)</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89"/>
              </w:rPr>
              <w:t>$ 320,681</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1,752,740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 (1,166,119)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(160,457)</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747,603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24,743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772,346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7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Net income including noncontrolling interests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255,810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158,756</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80,182</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Impairment and other charges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130,411</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39,163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43,141</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restructuring and other related charges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Amortization and write-off of program rights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601,640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622,204</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carriage fees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21,088</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Unrealized foreign currency transaction (gain) loss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9,242</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6,039</w:t>
            </w:r>
          </w:p>
        </w:tc>
      </w:tr>
      <w:tr>
        <w:trPr>
          <w:trHeight w:val="230"/>
        </w:trPr>
        <w:tc>
          <w:tcPr>
            <w:tcW w:w="7920" w:type="dxa"/>
            <w:vAlign w:val="bottom"/>
          </w:tcPr>
          <w:p>
            <w:pPr>
              <w:ind w:left="66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2,908</w:t>
            </w: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Bad debt expense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31,765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12,403</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investments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Write-down of non-marketable equity securities and note receivable</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5,103</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92,328</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(62,799)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79,098</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Program rights and obligations,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(565,267)</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17,265</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carriage fees,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(29,207)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(15,057)</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(49,293)</w:t>
            </w:r>
          </w:p>
        </w:tc>
      </w:tr>
      <w:tr>
        <w:trPr>
          <w:trHeight w:val="206"/>
        </w:trPr>
        <w:tc>
          <w:tcPr>
            <w:tcW w:w="792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43,984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644,087</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(29,969)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(34,990)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Return of capital from investees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Payments for acquisition of a business, net of cash acquired</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investment securities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Cash paid on distribution of business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 received on loan to investee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r>
      <w:tr>
        <w:trPr>
          <w:trHeight w:val="213"/>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Proceeds from sale of investments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(24,427)</w:t>
            </w:r>
          </w:p>
        </w:tc>
      </w:tr>
      <w:tr>
        <w:trPr>
          <w:trHeight w:val="193"/>
        </w:trPr>
        <w:tc>
          <w:tcPr>
            <w:tcW w:w="7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issuance of long-term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long-term debt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(242,500)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Deemed repurchases of restricted stock units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Purchase of treasury stock</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(102,938)</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stock option exercises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(2,404)</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(13,955)</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(364,744)</w:t>
            </w:r>
          </w:p>
        </w:tc>
      </w:tr>
      <w:tr>
        <w:trPr>
          <w:trHeight w:val="207"/>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254,916</w:t>
            </w:r>
          </w:p>
        </w:tc>
      </w:tr>
      <w:tr>
        <w:trPr>
          <w:trHeight w:val="212"/>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r>
      <w:tr>
        <w:trPr>
          <w:trHeight w:val="206"/>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816,170</w:t>
            </w:r>
          </w:p>
        </w:tc>
      </w:tr>
      <w:tr>
        <w:trPr>
          <w:trHeight w:val="238"/>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870,967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1,071,860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"we," "us," or "our") own and operate entertainment businesses and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Changes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first quarter of 2021, the Company changed its presentation of operating segments, reflecting a reorganized operating structure focused on a multi-platform distribution approach to content monetization. The Company's streaming services and IFC Films, previously included in the International and Other segment, are now included within Domestic Operations (formerly referred to as the National Networks segment). In addition, certain corporate overhead costs will no longer be allocated to the operating segments. Operating segment information for the prior periods has been recast to reflect these changes. The new reporting structure consists of the following two operating segments:</w:t>
      </w:r>
    </w:p>
    <w:p>
      <w:pPr>
        <w:spacing w:after="0" w:line="80" w:lineRule="exact"/>
        <w:rPr>
          <w:sz w:val="20"/>
          <w:szCs w:val="20"/>
          <w:color w:val="auto"/>
        </w:rPr>
      </w:pPr>
    </w:p>
    <w:p>
      <w:pPr>
        <w:jc w:val="both"/>
        <w:ind w:left="660" w:hanging="328"/>
        <w:spacing w:after="0" w:line="273"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Domestic Operations: </w:t>
      </w:r>
      <w:r>
        <w:rPr>
          <w:rFonts w:ascii="Arial" w:cs="Arial" w:eastAsia="Arial" w:hAnsi="Arial"/>
          <w:sz w:val="17"/>
          <w:szCs w:val="17"/>
          <w:color w:val="auto"/>
        </w:rPr>
        <w:t>Includes activities of our five national programming networks, our streaming services, AMC Studios operation, IFC Films</w:t>
      </w:r>
      <w:r>
        <w:rPr>
          <w:rFonts w:ascii="Arial" w:cs="Arial" w:eastAsia="Arial" w:hAnsi="Arial"/>
          <w:sz w:val="17"/>
          <w:szCs w:val="17"/>
          <w:i w:val="1"/>
          <w:iCs w:val="1"/>
          <w:color w:val="auto"/>
        </w:rPr>
        <w:t xml:space="preserve"> </w:t>
      </w:r>
      <w:r>
        <w:rPr>
          <w:rFonts w:ascii="Arial" w:cs="Arial" w:eastAsia="Arial" w:hAnsi="Arial"/>
          <w:sz w:val="17"/>
          <w:szCs w:val="17"/>
          <w:color w:val="auto"/>
        </w:rPr>
        <w:t>and AMC Broadcasting &amp; Technology. Our national programming networks are AMC, WE tv, BBC AMERICA, IFC, and SundanceTV. Our streaming services consist of our targeted subscription streaming services (Acorn TV, Shudder, Sundance Now, and ALLBLK), AMC+ and other streaming initiatives. Our AMC Studios operation produces original programming for our programming networks and also licenses such programming worldwide. IFC Films is our film distribution business and AMC Networks Broadcasting &amp; Technology is our technical services business, which primarily services most of the national programming networks.</w:t>
      </w:r>
    </w:p>
    <w:p>
      <w:pPr>
        <w:spacing w:after="0" w:line="69" w:lineRule="exact"/>
        <w:rPr>
          <w:rFonts w:ascii="Arial" w:cs="Arial" w:eastAsia="Arial" w:hAnsi="Arial"/>
          <w:sz w:val="17"/>
          <w:szCs w:val="17"/>
          <w:i w:val="1"/>
          <w:iCs w:val="1"/>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(formerly Levity), our production services business. See Note 4 relating to the spin-off of the Levity comedy venues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2020 contained in the Company's Annual Report on Form 10-K ("2020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continues to monitor the ongoing impact of the COVID-19 pandemic on all aspects of its business.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 xml:space="preserve">Effective January 1, 2021, the Company adopted Financial Accounting Standard Board (“FASB”) 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to the general principles in Topic 740 - Income Taxes. The</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the standard did not have a material effect on its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2021, other than contracts for which the Company has applied the practical expedients, the aggregate amount of transaction price allocated to future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620" w:type="dxa"/>
            <w:vAlign w:val="bottom"/>
          </w:tcPr>
          <w:p>
            <w:pPr>
              <w:spacing w:after="0"/>
              <w:rPr>
                <w:sz w:val="18"/>
                <w:szCs w:val="18"/>
                <w:color w:val="auto"/>
              </w:rPr>
            </w:pPr>
          </w:p>
        </w:tc>
        <w:tc>
          <w:tcPr>
            <w:tcW w:w="1700" w:type="dxa"/>
            <w:vAlign w:val="bottom"/>
          </w:tcPr>
          <w:p>
            <w:pPr>
              <w:jc w:val="right"/>
              <w:ind w:right="21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63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Balances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r>
      <w:tr>
        <w:trPr>
          <w:trHeight w:val="229"/>
        </w:trPr>
        <w:tc>
          <w:tcPr>
            <w:tcW w:w="6480" w:type="dxa"/>
            <w:vAlign w:val="bottom"/>
            <w:gridSpan w:val="2"/>
          </w:tcPr>
          <w:p>
            <w:pPr>
              <w:ind w:left="640"/>
              <w:spacing w:after="0"/>
              <w:rPr>
                <w:sz w:val="20"/>
                <w:szCs w:val="20"/>
                <w:color w:val="auto"/>
              </w:rPr>
            </w:pPr>
            <w:r>
              <w:rPr>
                <w:rFonts w:ascii="Arial" w:cs="Arial" w:eastAsia="Arial" w:hAnsi="Arial"/>
                <w:sz w:val="18"/>
                <w:szCs w:val="18"/>
                <w:color w:val="auto"/>
              </w:rPr>
              <w:t>Accounts receivable (including long-term, included in Other assets)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1,039,981</w:t>
            </w:r>
          </w:p>
        </w:tc>
        <w:tc>
          <w:tcPr>
            <w:tcW w:w="10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1,081,070</w:t>
            </w:r>
          </w:p>
        </w:tc>
      </w:tr>
      <w:tr>
        <w:trPr>
          <w:trHeight w:val="229"/>
        </w:trPr>
        <w:tc>
          <w:tcPr>
            <w:tcW w:w="6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Contract assets, short-term (included in Other current assets)</w:t>
            </w: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r>
      <w:tr>
        <w:trPr>
          <w:trHeight w:val="230"/>
        </w:trPr>
        <w:tc>
          <w:tcPr>
            <w:tcW w:w="6480" w:type="dxa"/>
            <w:vAlign w:val="bottom"/>
            <w:gridSpan w:val="2"/>
          </w:tcPr>
          <w:p>
            <w:pPr>
              <w:ind w:left="660"/>
              <w:spacing w:after="0"/>
              <w:rPr>
                <w:sz w:val="20"/>
                <w:szCs w:val="20"/>
                <w:color w:val="auto"/>
              </w:rPr>
            </w:pPr>
            <w:r>
              <w:rPr>
                <w:rFonts w:ascii="Arial" w:cs="Arial" w:eastAsia="Arial" w:hAnsi="Arial"/>
                <w:sz w:val="18"/>
                <w:szCs w:val="18"/>
                <w:color w:val="auto"/>
              </w:rPr>
              <w:t>Contract assets, long-term (included in Other assets)</w:t>
            </w:r>
          </w:p>
        </w:tc>
        <w:tc>
          <w:tcPr>
            <w:tcW w:w="6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29"/>
        </w:trPr>
        <w:tc>
          <w:tcPr>
            <w:tcW w:w="6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Contract liabilities (Deferred revenue)</w:t>
            </w: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71,048</w:t>
            </w: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recognized for the nine months ended September 30, 2021 relating to the contract liability at December 31, 2020 was $24.4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60" w:type="dxa"/>
            <w:vAlign w:val="bottom"/>
            <w:gridSpan w:val="5"/>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276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620" w:type="dxa"/>
            <w:vAlign w:val="bottom"/>
          </w:tcPr>
          <w:p>
            <w:pPr>
              <w:spacing w:after="0"/>
              <w:rPr>
                <w:sz w:val="18"/>
                <w:szCs w:val="18"/>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r>
      <w:tr>
        <w:trPr>
          <w:trHeight w:val="236"/>
        </w:trPr>
        <w:tc>
          <w:tcPr>
            <w:tcW w:w="56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2020</w:t>
            </w:r>
          </w:p>
        </w:tc>
      </w:tr>
      <w:tr>
        <w:trPr>
          <w:trHeight w:val="226"/>
        </w:trPr>
        <w:tc>
          <w:tcPr>
            <w:tcW w:w="5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Basic weighted average common shares outstanding</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53,374</w:t>
            </w:r>
          </w:p>
        </w:tc>
      </w:tr>
      <w:tr>
        <w:trPr>
          <w:trHeight w:val="229"/>
        </w:trPr>
        <w:tc>
          <w:tcPr>
            <w:tcW w:w="5620" w:type="dxa"/>
            <w:vAlign w:val="bottom"/>
          </w:tcPr>
          <w:p>
            <w:pPr>
              <w:ind w:left="680"/>
              <w:spacing w:after="0"/>
              <w:rPr>
                <w:sz w:val="20"/>
                <w:szCs w:val="20"/>
                <w:color w:val="auto"/>
              </w:rPr>
            </w:pPr>
            <w:r>
              <w:rPr>
                <w:rFonts w:ascii="Arial" w:cs="Arial" w:eastAsia="Arial" w:hAnsi="Arial"/>
                <w:sz w:val="18"/>
                <w:szCs w:val="18"/>
                <w:color w:val="auto"/>
              </w:rPr>
              <w:t>Effect of dilution: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6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Stock options</w:t>
            </w:r>
          </w:p>
        </w:tc>
        <w:tc>
          <w:tcPr>
            <w:tcW w:w="20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Restricted stock units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48"/>
        </w:trPr>
        <w:tc>
          <w:tcPr>
            <w:tcW w:w="5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 weighted average common shares outstanding</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Approximately 0.5 million and 1.1 million restricted stock units outstanding as of September 30, 2021 and September 30, 2020, respectively, have been excluded from diluted weighted average common shares outstanding since a performance condition for these awards had not been met in each of the respective periods. As of September 30, 2021 and September 30, 2020, 0.3 million and 0.7 million, respectively, of restricted stock units and stock options have been excluded from diluted weighted average common shares outstanding, as their impact would have been anti-dilutive.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nine months ended September 30, 2021, the Company did not repurchase any shares of its Class A Common Stock. As of September 30, 2021, the Company had $135.3 million of authorization remaining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and Other Charges</w:t>
      </w:r>
    </w:p>
    <w:p>
      <w:pPr>
        <w:spacing w:after="0" w:line="10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The consolidated cases were initially brought in 2013 and 2018 and the trial of the consolidated cases was scheduled to commence on April 4, 2022. The Settlement Agreement provides for a cash payment of $200 million (the “Settlement Payment”) to the Plaintiffs and future revenue sharing related to certain future streaming exhibition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Fear 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With regard to the Settlement Payment, the Company recorded a charge of $143.0 million during the second quarter of 2021,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and other charges in consideration for the extinguishment of Plaintiffs’ rights to any compensation in connection with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any related programs and the dismissal of the actions with prejudice, which amount is net of $57.0 million of ordinary course accrued participations.</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8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June 2020, as a result of the impact of the COVID-19 pandemic, the Company qualitatively assessed whether it was more likely than not that goodwill and long-lived assets were impaired as of June 30, 2020. Based on our projections and updated forecasts, the Company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$105.3 million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Restructuring and other related charges of $0.8 million and $9.5 million for the three and nine months ended September 30, 2021, respectively, consisted of (i) $0.8 million and $5.2 million at AMCNI related to severance costs and the termination of distribution in certain international territories for the three and nine months ended September 30, 2021, respectively, and (ii) $4.3 million of severance costs associated with the restructuring plan announced in November 2020 for the nine months ended September 30, 2021.</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$4.4 million and $13.9 million for the three and nine months ended September 30, 2020, respectively, related to restructuring costs associated with termination of distribution in certain territories as well as severance and other personnel related costs associated with previously announced restructuring activities.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Pr>
          <w:p>
            <w:pPr>
              <w:spacing w:after="0"/>
              <w:rPr>
                <w:sz w:val="18"/>
                <w:szCs w:val="18"/>
                <w:color w:val="auto"/>
              </w:rPr>
            </w:pPr>
          </w:p>
        </w:tc>
        <w:tc>
          <w:tcPr>
            <w:tcW w:w="26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46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International &amp; Other</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6,239</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w:t>
            </w:r>
          </w:p>
        </w:tc>
      </w:tr>
      <w:tr>
        <w:trPr>
          <w:trHeight w:val="21"/>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accrued restructuring costs: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Severance and</w:t>
            </w:r>
          </w:p>
        </w:tc>
        <w:tc>
          <w:tcPr>
            <w:tcW w:w="58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 exit costs</w:t>
            </w:r>
          </w:p>
        </w:tc>
        <w:tc>
          <w:tcPr>
            <w:tcW w:w="78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80" w:type="dxa"/>
            <w:vAlign w:val="bottom"/>
          </w:tcPr>
          <w:p>
            <w:pPr>
              <w:ind w:left="48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gridSpan w:val="3"/>
          </w:tcPr>
          <w:p>
            <w:pPr>
              <w:ind w:left="180"/>
              <w:spacing w:after="0"/>
              <w:rPr>
                <w:sz w:val="20"/>
                <w:szCs w:val="20"/>
                <w:color w:val="auto"/>
              </w:rPr>
            </w:pPr>
            <w:r>
              <w:rPr>
                <w:rFonts w:ascii="Arial" w:cs="Arial" w:eastAsia="Arial" w:hAnsi="Arial"/>
                <w:sz w:val="16"/>
                <w:szCs w:val="16"/>
                <w:b w:val="1"/>
                <w:bCs w:val="1"/>
                <w:color w:val="auto"/>
              </w:rPr>
              <w:t>employee-related costs</w:t>
            </w:r>
          </w:p>
        </w:tc>
        <w:tc>
          <w:tcPr>
            <w:tcW w:w="5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December 31,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25,571</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30"/>
        </w:trPr>
        <w:tc>
          <w:tcPr>
            <w:tcW w:w="5280" w:type="dxa"/>
            <w:vAlign w:val="bottom"/>
          </w:tcPr>
          <w:p>
            <w:pPr>
              <w:ind w:left="480"/>
              <w:spacing w:after="0"/>
              <w:rPr>
                <w:sz w:val="20"/>
                <w:szCs w:val="20"/>
                <w:color w:val="auto"/>
              </w:rPr>
            </w:pPr>
            <w:r>
              <w:rPr>
                <w:rFonts w:ascii="Arial" w:cs="Arial" w:eastAsia="Arial" w:hAnsi="Arial"/>
                <w:sz w:val="18"/>
                <w:szCs w:val="18"/>
                <w:color w:val="auto"/>
              </w:rPr>
              <w:t>Charges</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9,534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payments</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(29,624)</w:t>
            </w:r>
          </w:p>
        </w:tc>
        <w:tc>
          <w:tcPr>
            <w:tcW w:w="0" w:type="dxa"/>
            <w:vAlign w:val="bottom"/>
          </w:tcPr>
          <w:p>
            <w:pPr>
              <w:spacing w:after="0"/>
              <w:rPr>
                <w:sz w:val="1"/>
                <w:szCs w:val="1"/>
                <w:color w:val="auto"/>
              </w:rPr>
            </w:pPr>
          </w:p>
        </w:tc>
      </w:tr>
      <w:tr>
        <w:trPr>
          <w:trHeight w:val="229"/>
        </w:trPr>
        <w:tc>
          <w:tcPr>
            <w:tcW w:w="5280" w:type="dxa"/>
            <w:vAlign w:val="bottom"/>
          </w:tcPr>
          <w:p>
            <w:pPr>
              <w:ind w:left="480"/>
              <w:spacing w:after="0"/>
              <w:rPr>
                <w:sz w:val="20"/>
                <w:szCs w:val="20"/>
                <w:color w:val="auto"/>
              </w:rPr>
            </w:pPr>
            <w:r>
              <w:rPr>
                <w:rFonts w:ascii="Arial" w:cs="Arial" w:eastAsia="Arial" w:hAnsi="Arial"/>
                <w:sz w:val="18"/>
                <w:szCs w:val="18"/>
                <w:color w:val="auto"/>
              </w:rPr>
              <w:t>Non-cash adjustments</w:t>
            </w:r>
          </w:p>
        </w:tc>
        <w:tc>
          <w:tcPr>
            <w:tcW w:w="6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280" w:type="dxa"/>
            <w:vAlign w:val="bottom"/>
          </w:tcPr>
          <w:p>
            <w:pPr>
              <w:ind w:left="480"/>
              <w:spacing w:after="0"/>
              <w:rPr>
                <w:sz w:val="20"/>
                <w:szCs w:val="20"/>
                <w:color w:val="auto"/>
              </w:rPr>
            </w:pPr>
            <w:r>
              <w:rPr>
                <w:rFonts w:ascii="Arial" w:cs="Arial" w:eastAsia="Arial" w:hAnsi="Arial"/>
                <w:sz w:val="18"/>
                <w:szCs w:val="18"/>
                <w:color w:val="auto"/>
              </w:rPr>
              <w:t>Balance, September 30, 2021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restructuring costs of $1.2 million are included in accrued liabilities in the condensed consolidated balance sheet at September 30,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2021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20" w:type="dxa"/>
            <w:vAlign w:val="bottom"/>
          </w:tcPr>
          <w:p>
            <w:pPr>
              <w:spacing w:after="0"/>
              <w:rPr>
                <w:sz w:val="14"/>
                <w:szCs w:val="14"/>
                <w:color w:val="auto"/>
              </w:rPr>
            </w:pPr>
          </w:p>
        </w:tc>
        <w:tc>
          <w:tcPr>
            <w:tcW w:w="1780" w:type="dxa"/>
            <w:vAlign w:val="bottom"/>
            <w:gridSpan w:val="2"/>
          </w:tcPr>
          <w:p>
            <w:pPr>
              <w:ind w:left="28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324,136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356,036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728,354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208,867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208,867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166,332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220,476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769,350</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989,826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810,567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1,718,180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1,700,175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1,718,180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including write-offs, of owned and licensed program rights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140" w:type="dxa"/>
            <w:vAlign w:val="bottom"/>
          </w:tcPr>
          <w:p>
            <w:pPr>
              <w:spacing w:after="0"/>
              <w:rPr>
                <w:sz w:val="18"/>
                <w:szCs w:val="18"/>
                <w:color w:val="auto"/>
              </w:rPr>
            </w:pPr>
          </w:p>
        </w:tc>
        <w:tc>
          <w:tcPr>
            <w:tcW w:w="412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1"/>
              </w:rPr>
              <w:t>Nine Months Ended September 30, 2021</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112,620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12,912</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125,532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197,447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25,049</w:t>
            </w:r>
          </w:p>
        </w:tc>
        <w:tc>
          <w:tcPr>
            <w:tcW w:w="18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222,496</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123,181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142,760</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65,464</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313,680</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379,144</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132,199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136,093</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268,292</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262,911</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338,729</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601,640</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140" w:type="dxa"/>
            <w:vAlign w:val="bottom"/>
          </w:tcPr>
          <w:p>
            <w:pPr>
              <w:spacing w:after="0"/>
              <w:rPr>
                <w:sz w:val="18"/>
                <w:szCs w:val="18"/>
                <w:color w:val="auto"/>
              </w:rPr>
            </w:pPr>
          </w:p>
        </w:tc>
        <w:tc>
          <w:tcPr>
            <w:tcW w:w="412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1"/>
              </w:rPr>
              <w:t>Nine Months Ended September 30, 2020</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74,597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11,854</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86,451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235,868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27,831</w:t>
            </w:r>
          </w:p>
        </w:tc>
        <w:tc>
          <w:tcPr>
            <w:tcW w:w="18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263,699</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20,479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100,019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120,498</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61,741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296,764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358,505</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95,076</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111,873</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206,949</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297,609</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324,595</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622,204</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several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 in the consolidated statements of income. There were no significant program rights write-offs included in technical and operating expense for the three and nine months ended September 30, 2021. Program rights write-offs included in technical and operating expense were $24.8 million and $36.9 million for the three and nine months ended September 30, 2020,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holds several investments in and loans to non-consolidated entities which are included in Other assets in the condensed consolidated balance sheet. Equity method investments were $90.8 million at September 30, 2021 and $69.5 million at December 31, 2020. In February 2021, the Company invested $27.4 million for an interest in a Toronto-based production company and studio, which is accounted for as an equity method investment. In June 2021, the Company paid $23.8 million to acquire the remaining 50% interest in an equity method investment in which it previously owned a 50% interest. In connection with the acquisition, the Company recorded a gain of $12.3 million, included in miscellaneous, net in the condensed consolidated income statement related to the step-up to fair value of its previously held interest.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 of income. Investments in marketable equity securities were $8.2 million at September 30, 2021 and $62.4 million at December 31, 2020. In January 2021, the Company sold the remaining portion of one of its marketable securities with a carrying value of $51.0 million as of December 31, 2020, resulting in a realized loss of $5.4 million. There were $0.8 million and $3.2 million unrealized losses on marketable equity securities for the three and nine months ended September 30, 2021, respectively, included in miscellaneous, net in the condensed consolidated statement of income. For the three and nine months ended September 30, 2020, unrealized gains and losses on marketable equity securities were a loss of $3.7 million and a gain of $10.3 million, respectively, included in miscellaneous, net in the condensed consolidated statement of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condensed consolidated statement of income.</w:t>
      </w:r>
    </w:p>
    <w:p>
      <w:pPr>
        <w:spacing w:after="0" w:line="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Investments in non-marketable equity securities were $36.9 million at September 30, 2021 and $35.8 million at December 31, 2020. For the nine months ended September 30, 2020, the Company recognized impairment charges of $20.0 million related to the write-down of certain non-marketable equity securities, included in miscellaneous, net in the condensed consolidated statements of income. Additionally, in September 2020, an observable price change occurred with respect to one of the Company's non-marketable equity securities, resulting in an unrealized gain of $14.9 million, included in miscellaneous,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22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rPr>
              <w:t>Domestic Operations</w:t>
            </w:r>
          </w:p>
        </w:tc>
        <w:tc>
          <w:tcPr>
            <w:tcW w:w="62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International</w:t>
            </w:r>
          </w:p>
        </w:tc>
        <w:tc>
          <w:tcPr>
            <w:tcW w:w="820" w:type="dxa"/>
            <w:vAlign w:val="bottom"/>
          </w:tcPr>
          <w:p>
            <w:pPr>
              <w:spacing w:after="0"/>
              <w:rPr>
                <w:sz w:val="16"/>
                <w:szCs w:val="16"/>
                <w:color w:val="auto"/>
              </w:rPr>
            </w:pPr>
          </w:p>
        </w:tc>
        <w:tc>
          <w:tcPr>
            <w:tcW w:w="128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48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and Other</w:t>
            </w:r>
          </w:p>
        </w:tc>
        <w:tc>
          <w:tcPr>
            <w:tcW w:w="8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December 31, 2020</w:t>
            </w:r>
          </w:p>
        </w:tc>
        <w:tc>
          <w:tcPr>
            <w:tcW w:w="100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333,502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352,905</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686,407</w:t>
            </w:r>
          </w:p>
        </w:tc>
        <w:tc>
          <w:tcPr>
            <w:tcW w:w="0" w:type="dxa"/>
            <w:vAlign w:val="bottom"/>
          </w:tcPr>
          <w:p>
            <w:pPr>
              <w:spacing w:after="0"/>
              <w:rPr>
                <w:sz w:val="1"/>
                <w:szCs w:val="1"/>
                <w:color w:val="auto"/>
              </w:rPr>
            </w:pPr>
          </w:p>
        </w:tc>
      </w:tr>
      <w:tr>
        <w:trPr>
          <w:trHeight w:val="176"/>
        </w:trPr>
        <w:tc>
          <w:tcPr>
            <w:tcW w:w="4580" w:type="dxa"/>
            <w:vAlign w:val="bottom"/>
          </w:tcPr>
          <w:p>
            <w:pPr>
              <w:ind w:left="480"/>
              <w:spacing w:after="0" w:line="176" w:lineRule="exact"/>
              <w:rPr>
                <w:sz w:val="20"/>
                <w:szCs w:val="20"/>
                <w:color w:val="auto"/>
              </w:rPr>
            </w:pPr>
            <w:r>
              <w:rPr>
                <w:rFonts w:ascii="Arial" w:cs="Arial" w:eastAsia="Arial" w:hAnsi="Arial"/>
                <w:sz w:val="18"/>
                <w:szCs w:val="18"/>
                <w:color w:val="auto"/>
              </w:rPr>
              <w:t>Goodwill written off related to spin-off of a business</w:t>
            </w:r>
          </w:p>
        </w:tc>
        <w:tc>
          <w:tcPr>
            <w:tcW w:w="10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unit</w:t>
            </w:r>
          </w:p>
        </w:tc>
        <w:tc>
          <w:tcPr>
            <w:tcW w:w="10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Additions</w:t>
            </w:r>
          </w:p>
        </w:tc>
        <w:tc>
          <w:tcPr>
            <w:tcW w:w="10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30"/>
        </w:trPr>
        <w:tc>
          <w:tcPr>
            <w:tcW w:w="4580" w:type="dxa"/>
            <w:vAlign w:val="bottom"/>
          </w:tcPr>
          <w:p>
            <w:pPr>
              <w:ind w:left="480"/>
              <w:spacing w:after="0"/>
              <w:rPr>
                <w:sz w:val="20"/>
                <w:szCs w:val="20"/>
                <w:color w:val="auto"/>
              </w:rPr>
            </w:pPr>
            <w:r>
              <w:rPr>
                <w:rFonts w:ascii="Arial" w:cs="Arial" w:eastAsia="Arial" w:hAnsi="Arial"/>
                <w:sz w:val="18"/>
                <w:szCs w:val="18"/>
                <w:color w:val="auto"/>
              </w:rPr>
              <w:t>Amortization of "second component" goodwill</w:t>
            </w:r>
          </w:p>
        </w:tc>
        <w:tc>
          <w:tcPr>
            <w:tcW w:w="10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w:t>
            </w:r>
          </w:p>
        </w:tc>
        <w:tc>
          <w:tcPr>
            <w:tcW w:w="10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23"/>
        </w:trPr>
        <w:tc>
          <w:tcPr>
            <w:tcW w:w="4580" w:type="dxa"/>
            <w:vAlign w:val="bottom"/>
          </w:tcPr>
          <w:p>
            <w:pPr>
              <w:ind w:left="480"/>
              <w:spacing w:after="0"/>
              <w:rPr>
                <w:sz w:val="20"/>
                <w:szCs w:val="20"/>
                <w:color w:val="auto"/>
              </w:rPr>
            </w:pPr>
            <w:r>
              <w:rPr>
                <w:rFonts w:ascii="Arial" w:cs="Arial" w:eastAsia="Arial" w:hAnsi="Arial"/>
                <w:sz w:val="18"/>
                <w:szCs w:val="18"/>
                <w:color w:val="auto"/>
              </w:rPr>
              <w:t>September 30, 2021</w:t>
            </w: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332,494</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357,145</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689,639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2021 and December 31, 2020, accumulated impairment charges in the International and Other segment totaled $123.1 million.</w:t>
      </w:r>
    </w:p>
    <w:p>
      <w:pPr>
        <w:spacing w:after="0" w:line="14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$1.0 million in 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addition of $11.9 million in the carrying amount of goodwill in International and Other relates to the acquisition of the remaining 50% interest in an equity method investment in which the Company previously owned a 50% interest. The allocation of goodwill is preliminary and is based on current estimates and currently available information, and is subject to revision based final allocations of the purchase price to the identifiable assets and liabilities acquired.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2021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5"/>
              </w:rPr>
              <w:t>Estimated Useful</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Arial" w:cs="Arial" w:eastAsia="Arial" w:hAnsi="Arial"/>
                <w:sz w:val="16"/>
                <w:szCs w:val="16"/>
                <w:b w:val="1"/>
                <w:bCs w:val="1"/>
                <w:color w:val="auto"/>
              </w:rPr>
              <w:t>Lives</w:t>
            </w: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640,319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(348,061)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292,258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810,345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(418,567)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391,778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1"/>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 2020</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624,699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(330,350)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294,349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390,772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(396,735)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410,672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Aggregate amortization expense for amortizable intangible assets for the nine months ended September 30, 2021 and 2020 was $29.1 million and $32.6 million, respectively. Estimated aggregate amortization expense for intangible assets subject to amortization for each of the following five years is: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39,378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auto"/>
                <w:w w:val="87"/>
              </w:rPr>
              <w:t>40,703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40,618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auto"/>
                <w:w w:val="87"/>
              </w:rPr>
              <w:t>40,549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38,763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9. Accrued Liabilities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440"/>
              <w:spacing w:after="0"/>
              <w:rPr>
                <w:sz w:val="20"/>
                <w:szCs w:val="20"/>
                <w:color w:val="auto"/>
              </w:rPr>
            </w:pPr>
            <w:r>
              <w:rPr>
                <w:rFonts w:ascii="Arial" w:cs="Arial" w:eastAsia="Arial" w:hAnsi="Arial"/>
                <w:sz w:val="18"/>
                <w:szCs w:val="18"/>
                <w:color w:val="auto"/>
              </w:rPr>
              <w:t>Accrued liabilities consist of the following:</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7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2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Participations and residuals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110,990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73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440"/>
              <w:spacing w:after="0"/>
              <w:rPr>
                <w:sz w:val="20"/>
                <w:szCs w:val="20"/>
                <w:color w:val="auto"/>
              </w:rPr>
            </w:pPr>
            <w:r>
              <w:rPr>
                <w:rFonts w:ascii="Arial" w:cs="Arial" w:eastAsia="Arial" w:hAnsi="Arial"/>
                <w:sz w:val="18"/>
                <w:szCs w:val="18"/>
                <w:color w:val="auto"/>
              </w:rPr>
              <w:t>The Company's long-term debt consists of the following:</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7300" w:type="dxa"/>
            <w:vAlign w:val="bottom"/>
            <w:tcBorders>
              <w:top w:val="single" w:sz="8" w:color="auto"/>
            </w:tcBorders>
            <w:gridSpan w:val="2"/>
            <w:shd w:val="clear" w:color="auto" w:fill="CCEEFF"/>
          </w:tcPr>
          <w:p>
            <w:pPr>
              <w:spacing w:after="0" w:line="226"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2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4.75% Notes due December 2022</w:t>
            </w:r>
          </w:p>
        </w:tc>
        <w:tc>
          <w:tcPr>
            <w:tcW w:w="20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5.00% Notes due April 2024</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4.75% Notes due August 2025</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4.25% Notes due February 2029</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Other debt </w:t>
            </w:r>
            <w:r>
              <w:rPr>
                <w:rFonts w:ascii="Arial" w:cs="Arial" w:eastAsia="Arial" w:hAnsi="Arial"/>
                <w:sz w:val="23"/>
                <w:szCs w:val="23"/>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Unamortized discount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1"/>
              </w:rPr>
              <w:t>(7,356)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2,838,062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2,849,307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Noncurrent portion of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2,811,249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40" w:hanging="409"/>
        <w:spacing w:after="0" w:line="277"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September 30, 2021. Total undrawn revolver commitments are available to be drawn for general corporate purposes of the Company.</w:t>
      </w:r>
    </w:p>
    <w:p>
      <w:pPr>
        <w:spacing w:after="0" w:line="62" w:lineRule="exact"/>
        <w:rPr>
          <w:rFonts w:ascii="Arial" w:cs="Arial" w:eastAsia="Arial" w:hAnsi="Arial"/>
          <w:sz w:val="18"/>
          <w:szCs w:val="18"/>
          <w:color w:val="auto"/>
        </w:rPr>
      </w:pPr>
    </w:p>
    <w:p>
      <w:pPr>
        <w:ind w:left="660" w:right="80" w:hanging="409"/>
        <w:spacing w:after="0" w:line="342" w:lineRule="auto"/>
        <w:tabs>
          <w:tab w:leader="none" w:pos="654" w:val="left"/>
        </w:tabs>
        <w:numPr>
          <w:ilvl w:val="0"/>
          <w:numId w:val="4"/>
        </w:numPr>
        <w:rPr>
          <w:rFonts w:ascii="Arial" w:cs="Arial" w:eastAsia="Arial" w:hAnsi="Arial"/>
          <w:sz w:val="16"/>
          <w:szCs w:val="16"/>
          <w:color w:val="auto"/>
        </w:rPr>
      </w:pPr>
      <w:r>
        <w:rPr>
          <w:rFonts w:ascii="Arial" w:cs="Arial" w:eastAsia="Arial" w:hAnsi="Arial"/>
          <w:sz w:val="16"/>
          <w:szCs w:val="16"/>
          <w:color w:val="auto"/>
        </w:rPr>
        <w:t>A majority owned subsidiary of the Company has credit facilities totaling $4.5 million, which bear interest at the greater of 3.5% or the prime rate plus 1% and mature on July 21, 2022. As of September 30, 2021, there was $1.5 million of outstanding borrowings under the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Amended and Restated Credit Agreement</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February 8, 2021, AMC Networks entered into Amendment No. 1 (“Amendment No. 1”) to the Second Amended and Restated Credit Agreement, dated as of July 28, 2017 (as amended by Amendment No. 1, the "Credit Agreement"), among AMC Networks and its subsidiary, AMC Network Entertainment LLC, as the Initial Borrowers, certain of AMC Networks' subsidiaries, as restricted subsidiaries, JPMorgan Chase Bank, N.A., as Administrative Agent, Collateral Agent and L/C Issuer, Bank of America, as an L/C Issuer, and the lenders party thereto.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8, 2021, AMC Networks issued, and certain of AMC Networks’ subsidiaries (hereinafter, the “Guarantors”) guaranteed, $1.0 billion aggregate principal amount of 4.25% senior notes due February 15, 2029 (the “4.25% Notes due 2029”)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 In connection with the redemptions, the Company incurred a loss on extinguishment of debt for the quarter ended March 31, 2021 of $22.1 million representing the redemption premium on the 5.00% senior notes due 2024, and the write-off of a portion of the unamortized discount and deferred financing costs related to both issuances.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condensed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Arial" w:cs="Arial" w:eastAsia="Arial" w:hAnsi="Arial"/>
                <w:sz w:val="16"/>
                <w:szCs w:val="16"/>
                <w:b w:val="1"/>
                <w:bCs w:val="1"/>
                <w:color w:val="auto"/>
              </w:rPr>
              <w:t>Balance Sheet Location</w:t>
            </w:r>
          </w:p>
        </w:tc>
        <w:tc>
          <w:tcPr>
            <w:tcW w:w="24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2020</w:t>
            </w:r>
          </w:p>
        </w:tc>
      </w:tr>
      <w:tr>
        <w:trPr>
          <w:trHeight w:val="185"/>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133,044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146,522</w:t>
            </w: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159,701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Current portion of lease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Current portion of lease obligations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32,435</w:t>
            </w:r>
          </w:p>
        </w:tc>
      </w:tr>
      <w:tr>
        <w:trPr>
          <w:trHeight w:val="210"/>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Lease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166,452</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Lease obligations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194,324</w:t>
            </w:r>
          </w:p>
        </w:tc>
      </w:tr>
      <w:tr>
        <w:trPr>
          <w:trHeight w:val="34"/>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September 30, 2021 and December 31,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3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At September 30, 2021: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10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Liabilities</w:t>
            </w:r>
          </w:p>
        </w:tc>
        <w:tc>
          <w:tcPr>
            <w:tcW w:w="4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3"/>
        </w:trPr>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b w:val="1"/>
                <w:bCs w:val="1"/>
                <w:color w:val="auto"/>
              </w:rPr>
              <w:t>At December 31, 2020: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10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107,494</w:t>
            </w:r>
          </w:p>
        </w:tc>
      </w:tr>
      <w:tr>
        <w:trPr>
          <w:trHeight w:val="229"/>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62,442</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20" w:type="dxa"/>
            <w:vAlign w:val="bottom"/>
          </w:tcPr>
          <w:p>
            <w:pPr>
              <w:spacing w:after="0"/>
              <w:rPr>
                <w:sz w:val="20"/>
                <w:szCs w:val="20"/>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3,515</w:t>
            </w:r>
          </w:p>
        </w:tc>
      </w:tr>
    </w:tbl>
    <w:p>
      <w:pPr>
        <w:spacing w:after="0" w:line="18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Company's interest rate swap contracts and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At September 30, 2021 and December 31, 2020, the Company did not have any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intangible assets and property and equipment. All of our nonrecurring valuations use significant unobservable inputs and therefore fall under Level III of the fair value hierarchy.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right"/>
              <w:ind w:right="1192"/>
              <w:spacing w:after="0"/>
              <w:rPr>
                <w:sz w:val="20"/>
                <w:szCs w:val="20"/>
                <w:color w:val="auto"/>
              </w:rPr>
            </w:pPr>
            <w:r>
              <w:rPr>
                <w:rFonts w:ascii="Arial" w:cs="Arial" w:eastAsia="Arial" w:hAnsi="Arial"/>
                <w:sz w:val="16"/>
                <w:szCs w:val="16"/>
                <w:b w:val="1"/>
                <w:bCs w:val="1"/>
                <w:color w:val="auto"/>
              </w:rPr>
              <w:t>September 30, 2021</w:t>
            </w: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ind w:left="28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663,912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669,938</w:t>
            </w:r>
          </w:p>
        </w:tc>
        <w:tc>
          <w:tcPr>
            <w:tcW w:w="20" w:type="dxa"/>
            <w:vAlign w:val="bottom"/>
          </w:tcPr>
          <w:p>
            <w:pPr>
              <w:spacing w:after="0"/>
              <w:rPr>
                <w:sz w:val="19"/>
                <w:szCs w:val="19"/>
                <w:color w:val="auto"/>
              </w:rPr>
            </w:pP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406,000</w:t>
            </w:r>
          </w:p>
        </w:tc>
        <w:tc>
          <w:tcPr>
            <w:tcW w:w="20" w:type="dxa"/>
            <w:vAlign w:val="bottom"/>
          </w:tcPr>
          <w:p>
            <w:pPr>
              <w:spacing w:after="0"/>
              <w:rPr>
                <w:sz w:val="19"/>
                <w:szCs w:val="19"/>
                <w:color w:val="auto"/>
              </w:rPr>
            </w:pPr>
          </w:p>
        </w:tc>
      </w:tr>
      <w:tr>
        <w:trPr>
          <w:trHeight w:val="229"/>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791,597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820,000</w:t>
            </w:r>
          </w:p>
        </w:tc>
        <w:tc>
          <w:tcPr>
            <w:tcW w:w="20" w:type="dxa"/>
            <w:vAlign w:val="bottom"/>
          </w:tcPr>
          <w:p>
            <w:pPr>
              <w:spacing w:after="0"/>
              <w:rPr>
                <w:sz w:val="19"/>
                <w:szCs w:val="19"/>
                <w:color w:val="auto"/>
              </w:rPr>
            </w:pP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991,800</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Other debt</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2,838,062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2,889,238</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1172"/>
              <w:spacing w:after="0"/>
              <w:rPr>
                <w:sz w:val="20"/>
                <w:szCs w:val="20"/>
                <w:color w:val="auto"/>
              </w:rPr>
            </w:pPr>
            <w:r>
              <w:rPr>
                <w:rFonts w:ascii="Arial" w:cs="Arial" w:eastAsia="Arial" w:hAnsi="Arial"/>
                <w:sz w:val="16"/>
                <w:szCs w:val="16"/>
                <w:b w:val="1"/>
                <w:bCs w:val="1"/>
                <w:color w:val="auto"/>
              </w:rPr>
              <w:t>December 31, 2020</w:t>
            </w:r>
          </w:p>
        </w:tc>
        <w:tc>
          <w:tcPr>
            <w:tcW w:w="20" w:type="dxa"/>
            <w:vAlign w:val="bottom"/>
            <w:tcBorders>
              <w:bottom w:val="single" w:sz="8" w:color="auto"/>
            </w:tcBorders>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ind w:right="492"/>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ind w:left="2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669,878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665,719</w:t>
            </w:r>
          </w:p>
        </w:tc>
        <w:tc>
          <w:tcPr>
            <w:tcW w:w="20" w:type="dxa"/>
            <w:vAlign w:val="bottom"/>
          </w:tcPr>
          <w:p>
            <w:pPr>
              <w:spacing w:after="0"/>
              <w:rPr>
                <w:sz w:val="19"/>
                <w:szCs w:val="19"/>
                <w:color w:val="auto"/>
              </w:rPr>
            </w:pP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400,500</w:t>
            </w:r>
          </w:p>
        </w:tc>
        <w:tc>
          <w:tcPr>
            <w:tcW w:w="20" w:type="dxa"/>
            <w:vAlign w:val="bottom"/>
            <w:shd w:val="clear" w:color="auto" w:fill="CCEEFF"/>
          </w:tcPr>
          <w:p>
            <w:pPr>
              <w:spacing w:after="0"/>
              <w:rPr>
                <w:sz w:val="19"/>
                <w:szCs w:val="19"/>
                <w:color w:val="auto"/>
              </w:rPr>
            </w:pPr>
          </w:p>
        </w:tc>
      </w:tr>
      <w:tr>
        <w:trPr>
          <w:trHeight w:val="229"/>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991,074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1,015,000</w:t>
            </w:r>
          </w:p>
        </w:tc>
        <w:tc>
          <w:tcPr>
            <w:tcW w:w="20" w:type="dxa"/>
            <w:vAlign w:val="bottom"/>
          </w:tcPr>
          <w:p>
            <w:pPr>
              <w:spacing w:after="0"/>
              <w:rPr>
                <w:sz w:val="19"/>
                <w:szCs w:val="19"/>
                <w:color w:val="auto"/>
              </w:rPr>
            </w:pP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2,849,307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2,907,379</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2021, the Company had interest rate swap contracts outstanding with notional amounts aggregating $100.0 million that are designated as hedging instruments. The Company's outstanding interest rate swap contracts mature in December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4120" w:type="dxa"/>
            <w:vAlign w:val="bottom"/>
            <w:gridSpan w:val="2"/>
          </w:tcPr>
          <w:p>
            <w:pPr>
              <w:ind w:left="1620"/>
              <w:spacing w:after="0"/>
              <w:rPr>
                <w:sz w:val="20"/>
                <w:szCs w:val="20"/>
                <w:color w:val="auto"/>
              </w:rPr>
            </w:pPr>
            <w:r>
              <w:rPr>
                <w:rFonts w:ascii="Arial" w:cs="Arial" w:eastAsia="Arial" w:hAnsi="Arial"/>
                <w:sz w:val="16"/>
                <w:szCs w:val="16"/>
                <w:b w:val="1"/>
                <w:bCs w:val="1"/>
                <w:color w:val="auto"/>
              </w:rPr>
              <w:t>Balance Sheet</w:t>
            </w:r>
          </w:p>
        </w:tc>
        <w:tc>
          <w:tcPr>
            <w:tcW w:w="15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September 30, 2021</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gridSpan w:val="2"/>
          </w:tcPr>
          <w:p>
            <w:pPr>
              <w:ind w:left="1820"/>
              <w:spacing w:after="0"/>
              <w:rPr>
                <w:sz w:val="20"/>
                <w:szCs w:val="20"/>
                <w:color w:val="auto"/>
              </w:rPr>
            </w:pPr>
            <w:r>
              <w:rPr>
                <w:rFonts w:ascii="Arial" w:cs="Arial" w:eastAsia="Arial" w:hAnsi="Arial"/>
                <w:sz w:val="16"/>
                <w:szCs w:val="16"/>
                <w:b w:val="1"/>
                <w:bCs w:val="1"/>
                <w:color w:val="auto"/>
              </w:rPr>
              <w:t>Location</w:t>
            </w:r>
          </w:p>
        </w:tc>
        <w:tc>
          <w:tcPr>
            <w:tcW w:w="1540" w:type="dxa"/>
            <w:vAlign w:val="bottom"/>
            <w:gridSpan w:val="3"/>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4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4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w w:val="92"/>
              </w:rPr>
              <w:t>Derivatives not designated as hedging instruments:</w:t>
            </w: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2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20" w:type="dxa"/>
            <w:vAlign w:val="bottom"/>
            <w:gridSpan w:val="2"/>
          </w:tcPr>
          <w:p>
            <w:pPr>
              <w:ind w:left="24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6"/>
            <w:vMerge w:val="restart"/>
          </w:tcPr>
          <w:p>
            <w:pPr>
              <w:jc w:val="center"/>
              <w:ind w:right="139"/>
              <w:spacing w:after="0"/>
              <w:rPr>
                <w:sz w:val="20"/>
                <w:szCs w:val="20"/>
                <w:color w:val="auto"/>
              </w:rPr>
            </w:pPr>
            <w:r>
              <w:rPr>
                <w:rFonts w:ascii="Arial" w:cs="Arial" w:eastAsia="Arial" w:hAnsi="Arial"/>
                <w:sz w:val="16"/>
                <w:szCs w:val="16"/>
                <w:b w:val="1"/>
                <w:bCs w:val="1"/>
                <w:color w:val="auto"/>
                <w:w w:val="90"/>
              </w:rPr>
              <w:t>Gain or (Loss) on Derivatives</w:t>
            </w:r>
          </w:p>
        </w:tc>
        <w:tc>
          <w:tcPr>
            <w:tcW w:w="120" w:type="dxa"/>
            <w:vAlign w:val="bottom"/>
          </w:tcPr>
          <w:p>
            <w:pPr>
              <w:spacing w:after="0"/>
              <w:rPr>
                <w:sz w:val="16"/>
                <w:szCs w:val="16"/>
                <w:color w:val="auto"/>
              </w:rPr>
            </w:pPr>
          </w:p>
        </w:tc>
        <w:tc>
          <w:tcPr>
            <w:tcW w:w="2360" w:type="dxa"/>
            <w:vAlign w:val="bottom"/>
            <w:gridSpan w:val="6"/>
            <w:vMerge w:val="restart"/>
          </w:tcPr>
          <w:p>
            <w:pPr>
              <w:jc w:val="center"/>
              <w:ind w:right="390"/>
              <w:spacing w:after="0"/>
              <w:rPr>
                <w:sz w:val="20"/>
                <w:szCs w:val="20"/>
                <w:color w:val="auto"/>
              </w:rPr>
            </w:pPr>
            <w:r>
              <w:rPr>
                <w:rFonts w:ascii="Arial" w:cs="Arial" w:eastAsia="Arial" w:hAnsi="Arial"/>
                <w:sz w:val="16"/>
                <w:szCs w:val="16"/>
                <w:b w:val="1"/>
                <w:bCs w:val="1"/>
                <w:color w:val="auto"/>
                <w:w w:val="92"/>
              </w:rPr>
              <w:t>Location of Gain or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6"/>
          </w:tcPr>
          <w:p>
            <w:pPr>
              <w:jc w:val="center"/>
              <w:ind w:right="575"/>
              <w:spacing w:after="0"/>
              <w:rPr>
                <w:sz w:val="20"/>
                <w:szCs w:val="20"/>
                <w:color w:val="auto"/>
              </w:rPr>
            </w:pPr>
            <w:r>
              <w:rPr>
                <w:rFonts w:ascii="Arial" w:cs="Arial" w:eastAsia="Arial" w:hAnsi="Arial"/>
                <w:sz w:val="16"/>
                <w:szCs w:val="16"/>
                <w:b w:val="1"/>
                <w:bCs w:val="1"/>
                <w:color w:val="auto"/>
                <w:w w:val="90"/>
              </w:rPr>
              <w:t>Gain or (Loss) Reclassified</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515"/>
              <w:spacing w:after="0" w:line="162" w:lineRule="exact"/>
              <w:rPr>
                <w:sz w:val="20"/>
                <w:szCs w:val="20"/>
                <w:color w:val="auto"/>
              </w:rPr>
            </w:pPr>
            <w:r>
              <w:rPr>
                <w:rFonts w:ascii="Arial" w:cs="Arial" w:eastAsia="Arial" w:hAnsi="Arial"/>
                <w:sz w:val="16"/>
                <w:szCs w:val="16"/>
                <w:b w:val="1"/>
                <w:bCs w:val="1"/>
                <w:color w:val="auto"/>
                <w:w w:val="94"/>
              </w:rPr>
              <w:t>from Accumulated OCI</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6"/>
          </w:tcPr>
          <w:p>
            <w:pPr>
              <w:jc w:val="center"/>
              <w:ind w:right="99"/>
              <w:spacing w:after="0"/>
              <w:rPr>
                <w:sz w:val="20"/>
                <w:szCs w:val="20"/>
                <w:color w:val="auto"/>
              </w:rPr>
            </w:pPr>
            <w:r>
              <w:rPr>
                <w:rFonts w:ascii="Arial" w:cs="Arial" w:eastAsia="Arial" w:hAnsi="Arial"/>
                <w:sz w:val="16"/>
                <w:szCs w:val="16"/>
                <w:b w:val="1"/>
                <w:bCs w:val="1"/>
                <w:color w:val="auto"/>
                <w:w w:val="91"/>
              </w:rPr>
              <w:t>Recognized in OCI</w:t>
            </w:r>
          </w:p>
        </w:tc>
        <w:tc>
          <w:tcPr>
            <w:tcW w:w="120" w:type="dxa"/>
            <w:vAlign w:val="bottom"/>
          </w:tcPr>
          <w:p>
            <w:pPr>
              <w:spacing w:after="0"/>
              <w:rPr>
                <w:sz w:val="18"/>
                <w:szCs w:val="18"/>
                <w:color w:val="auto"/>
              </w:rPr>
            </w:pPr>
          </w:p>
        </w:tc>
        <w:tc>
          <w:tcPr>
            <w:tcW w:w="2360" w:type="dxa"/>
            <w:vAlign w:val="bottom"/>
            <w:gridSpan w:val="6"/>
          </w:tcPr>
          <w:p>
            <w:pPr>
              <w:jc w:val="center"/>
              <w:ind w:right="370"/>
              <w:spacing w:after="0"/>
              <w:rPr>
                <w:sz w:val="20"/>
                <w:szCs w:val="20"/>
                <w:color w:val="auto"/>
              </w:rPr>
            </w:pPr>
            <w:r>
              <w:rPr>
                <w:rFonts w:ascii="Arial" w:cs="Arial" w:eastAsia="Arial" w:hAnsi="Arial"/>
                <w:sz w:val="16"/>
                <w:szCs w:val="16"/>
                <w:b w:val="1"/>
                <w:bCs w:val="1"/>
                <w:color w:val="auto"/>
                <w:w w:val="90"/>
              </w:rPr>
              <w:t>(Loss) in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5"/>
          </w:tcPr>
          <w:p>
            <w:pPr>
              <w:jc w:val="center"/>
              <w:ind w:left="357"/>
              <w:spacing w:after="0"/>
              <w:rPr>
                <w:sz w:val="20"/>
                <w:szCs w:val="20"/>
                <w:color w:val="auto"/>
              </w:rPr>
            </w:pPr>
            <w:r>
              <w:rPr>
                <w:rFonts w:ascii="Arial" w:cs="Arial" w:eastAsia="Arial" w:hAnsi="Arial"/>
                <w:sz w:val="16"/>
                <w:szCs w:val="16"/>
                <w:b w:val="1"/>
                <w:bCs w:val="1"/>
                <w:color w:val="auto"/>
                <w:w w:val="91"/>
              </w:rPr>
              <w:t>into Earnings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960" w:type="dxa"/>
            <w:vAlign w:val="bottom"/>
            <w:tcBorders>
              <w:top w:val="single" w:sz="8" w:color="auto"/>
              <w:bottom w:val="single" w:sz="8" w:color="auto"/>
            </w:tcBorders>
            <w:gridSpan w:val="6"/>
          </w:tcPr>
          <w:p>
            <w:pPr>
              <w:jc w:val="center"/>
              <w:ind w:right="139"/>
              <w:spacing w:after="0"/>
              <w:rPr>
                <w:sz w:val="20"/>
                <w:szCs w:val="20"/>
                <w:color w:val="auto"/>
              </w:rPr>
            </w:pPr>
            <w:r>
              <w:rPr>
                <w:rFonts w:ascii="Arial" w:cs="Arial" w:eastAsia="Arial" w:hAnsi="Arial"/>
                <w:sz w:val="16"/>
                <w:szCs w:val="16"/>
                <w:b w:val="1"/>
                <w:bCs w:val="1"/>
                <w:color w:val="auto"/>
                <w:w w:val="91"/>
              </w:rPr>
              <w:t>Three Months Ended September 30,</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860" w:type="dxa"/>
            <w:vAlign w:val="bottom"/>
            <w:tcBorders>
              <w:top w:val="single" w:sz="8" w:color="auto"/>
              <w:bottom w:val="single" w:sz="8" w:color="auto"/>
            </w:tcBorders>
            <w:gridSpan w:val="9"/>
          </w:tcPr>
          <w:p>
            <w:pPr>
              <w:jc w:val="center"/>
              <w:ind w:right="275"/>
              <w:spacing w:after="0"/>
              <w:rPr>
                <w:sz w:val="20"/>
                <w:szCs w:val="20"/>
                <w:color w:val="auto"/>
              </w:rPr>
            </w:pPr>
            <w:r>
              <w:rPr>
                <w:rFonts w:ascii="Arial" w:cs="Arial" w:eastAsia="Arial" w:hAnsi="Arial"/>
                <w:sz w:val="16"/>
                <w:szCs w:val="16"/>
                <w:b w:val="1"/>
                <w:bCs w:val="1"/>
                <w:color w:val="auto"/>
                <w:w w:val="91"/>
              </w:rPr>
              <w:t>Three Months Ended September 30,</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7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Derivatives in cash flow hedging</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540" w:type="dxa"/>
            <w:vAlign w:val="bottom"/>
            <w:gridSpan w:val="3"/>
          </w:tcPr>
          <w:p>
            <w:pPr>
              <w:jc w:val="center"/>
              <w:ind w:left="256"/>
              <w:spacing w:after="0"/>
              <w:rPr>
                <w:sz w:val="20"/>
                <w:szCs w:val="20"/>
                <w:color w:val="auto"/>
              </w:rPr>
            </w:pPr>
            <w:r>
              <w:rPr>
                <w:rFonts w:ascii="Arial" w:cs="Arial" w:eastAsia="Arial" w:hAnsi="Arial"/>
                <w:sz w:val="18"/>
                <w:szCs w:val="18"/>
                <w:color w:val="auto"/>
                <w:w w:val="87"/>
              </w:rPr>
              <w:t>Interest expense</w:t>
            </w:r>
          </w:p>
        </w:tc>
        <w:tc>
          <w:tcPr>
            <w:tcW w:w="460" w:type="dxa"/>
            <w:vAlign w:val="bottom"/>
            <w:gridSpan w:val="2"/>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6"/>
            <w:vMerge w:val="restart"/>
          </w:tcPr>
          <w:p>
            <w:pPr>
              <w:jc w:val="center"/>
              <w:ind w:right="139"/>
              <w:spacing w:after="0"/>
              <w:rPr>
                <w:sz w:val="20"/>
                <w:szCs w:val="20"/>
                <w:color w:val="auto"/>
              </w:rPr>
            </w:pPr>
            <w:r>
              <w:rPr>
                <w:rFonts w:ascii="Arial" w:cs="Arial" w:eastAsia="Arial" w:hAnsi="Arial"/>
                <w:sz w:val="16"/>
                <w:szCs w:val="16"/>
                <w:b w:val="1"/>
                <w:bCs w:val="1"/>
                <w:color w:val="auto"/>
                <w:w w:val="90"/>
              </w:rPr>
              <w:t>Gain or (Loss) on Derivatives</w:t>
            </w:r>
          </w:p>
        </w:tc>
        <w:tc>
          <w:tcPr>
            <w:tcW w:w="120" w:type="dxa"/>
            <w:vAlign w:val="bottom"/>
          </w:tcPr>
          <w:p>
            <w:pPr>
              <w:spacing w:after="0"/>
              <w:rPr>
                <w:sz w:val="24"/>
                <w:szCs w:val="24"/>
                <w:color w:val="auto"/>
              </w:rPr>
            </w:pPr>
          </w:p>
        </w:tc>
        <w:tc>
          <w:tcPr>
            <w:tcW w:w="2360" w:type="dxa"/>
            <w:vAlign w:val="bottom"/>
            <w:gridSpan w:val="6"/>
            <w:vMerge w:val="restart"/>
          </w:tcPr>
          <w:p>
            <w:pPr>
              <w:jc w:val="center"/>
              <w:ind w:right="390"/>
              <w:spacing w:after="0"/>
              <w:rPr>
                <w:sz w:val="20"/>
                <w:szCs w:val="20"/>
                <w:color w:val="auto"/>
              </w:rPr>
            </w:pPr>
            <w:r>
              <w:rPr>
                <w:rFonts w:ascii="Arial" w:cs="Arial" w:eastAsia="Arial" w:hAnsi="Arial"/>
                <w:sz w:val="16"/>
                <w:szCs w:val="16"/>
                <w:b w:val="1"/>
                <w:bCs w:val="1"/>
                <w:color w:val="auto"/>
                <w:w w:val="92"/>
              </w:rPr>
              <w:t>Location of Gain 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center"/>
              <w:ind w:right="575"/>
              <w:spacing w:after="0"/>
              <w:rPr>
                <w:sz w:val="20"/>
                <w:szCs w:val="20"/>
                <w:color w:val="auto"/>
              </w:rPr>
            </w:pPr>
            <w:r>
              <w:rPr>
                <w:rFonts w:ascii="Arial" w:cs="Arial" w:eastAsia="Arial" w:hAnsi="Arial"/>
                <w:sz w:val="16"/>
                <w:szCs w:val="16"/>
                <w:b w:val="1"/>
                <w:bCs w:val="1"/>
                <w:color w:val="auto"/>
                <w:w w:val="90"/>
              </w:rPr>
              <w:t>Gain or (Loss) Reclassified</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515"/>
              <w:spacing w:after="0" w:line="162" w:lineRule="exact"/>
              <w:rPr>
                <w:sz w:val="20"/>
                <w:szCs w:val="20"/>
                <w:color w:val="auto"/>
              </w:rPr>
            </w:pPr>
            <w:r>
              <w:rPr>
                <w:rFonts w:ascii="Arial" w:cs="Arial" w:eastAsia="Arial" w:hAnsi="Arial"/>
                <w:sz w:val="16"/>
                <w:szCs w:val="16"/>
                <w:b w:val="1"/>
                <w:bCs w:val="1"/>
                <w:color w:val="auto"/>
                <w:w w:val="94"/>
              </w:rPr>
              <w:t>from Accumulated OCI</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6"/>
          </w:tcPr>
          <w:p>
            <w:pPr>
              <w:jc w:val="center"/>
              <w:ind w:right="99"/>
              <w:spacing w:after="0"/>
              <w:rPr>
                <w:sz w:val="20"/>
                <w:szCs w:val="20"/>
                <w:color w:val="auto"/>
              </w:rPr>
            </w:pPr>
            <w:r>
              <w:rPr>
                <w:rFonts w:ascii="Arial" w:cs="Arial" w:eastAsia="Arial" w:hAnsi="Arial"/>
                <w:sz w:val="16"/>
                <w:szCs w:val="16"/>
                <w:b w:val="1"/>
                <w:bCs w:val="1"/>
                <w:color w:val="auto"/>
                <w:w w:val="91"/>
              </w:rPr>
              <w:t>Recognized in OCI</w:t>
            </w:r>
          </w:p>
        </w:tc>
        <w:tc>
          <w:tcPr>
            <w:tcW w:w="120" w:type="dxa"/>
            <w:vAlign w:val="bottom"/>
          </w:tcPr>
          <w:p>
            <w:pPr>
              <w:spacing w:after="0"/>
              <w:rPr>
                <w:sz w:val="18"/>
                <w:szCs w:val="18"/>
                <w:color w:val="auto"/>
              </w:rPr>
            </w:pPr>
          </w:p>
        </w:tc>
        <w:tc>
          <w:tcPr>
            <w:tcW w:w="2360" w:type="dxa"/>
            <w:vAlign w:val="bottom"/>
            <w:gridSpan w:val="6"/>
          </w:tcPr>
          <w:p>
            <w:pPr>
              <w:jc w:val="center"/>
              <w:ind w:right="370"/>
              <w:spacing w:after="0"/>
              <w:rPr>
                <w:sz w:val="20"/>
                <w:szCs w:val="20"/>
                <w:color w:val="auto"/>
              </w:rPr>
            </w:pPr>
            <w:r>
              <w:rPr>
                <w:rFonts w:ascii="Arial" w:cs="Arial" w:eastAsia="Arial" w:hAnsi="Arial"/>
                <w:sz w:val="16"/>
                <w:szCs w:val="16"/>
                <w:b w:val="1"/>
                <w:bCs w:val="1"/>
                <w:color w:val="auto"/>
                <w:w w:val="90"/>
              </w:rPr>
              <w:t>(Loss) in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5"/>
          </w:tcPr>
          <w:p>
            <w:pPr>
              <w:jc w:val="center"/>
              <w:ind w:left="357"/>
              <w:spacing w:after="0"/>
              <w:rPr>
                <w:sz w:val="20"/>
                <w:szCs w:val="20"/>
                <w:color w:val="auto"/>
              </w:rPr>
            </w:pPr>
            <w:r>
              <w:rPr>
                <w:rFonts w:ascii="Arial" w:cs="Arial" w:eastAsia="Arial" w:hAnsi="Arial"/>
                <w:sz w:val="16"/>
                <w:szCs w:val="16"/>
                <w:b w:val="1"/>
                <w:bCs w:val="1"/>
                <w:color w:val="auto"/>
                <w:w w:val="91"/>
              </w:rPr>
              <w:t>into Earnings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960" w:type="dxa"/>
            <w:vAlign w:val="bottom"/>
            <w:tcBorders>
              <w:top w:val="single" w:sz="8" w:color="auto"/>
              <w:bottom w:val="single" w:sz="8" w:color="auto"/>
            </w:tcBorders>
            <w:gridSpan w:val="6"/>
          </w:tcPr>
          <w:p>
            <w:pPr>
              <w:jc w:val="center"/>
              <w:ind w:right="139"/>
              <w:spacing w:after="0"/>
              <w:rPr>
                <w:sz w:val="20"/>
                <w:szCs w:val="20"/>
                <w:color w:val="auto"/>
              </w:rPr>
            </w:pPr>
            <w:r>
              <w:rPr>
                <w:rFonts w:ascii="Arial" w:cs="Arial" w:eastAsia="Arial" w:hAnsi="Arial"/>
                <w:sz w:val="16"/>
                <w:szCs w:val="16"/>
                <w:b w:val="1"/>
                <w:bCs w:val="1"/>
                <w:color w:val="auto"/>
                <w:w w:val="91"/>
              </w:rPr>
              <w:t>Nine Months Ended September 30,</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40" w:type="dxa"/>
            <w:vAlign w:val="bottom"/>
            <w:tcBorders>
              <w:top w:val="single" w:sz="8" w:color="auto"/>
              <w:bottom w:val="single" w:sz="8" w:color="auto"/>
            </w:tcBorders>
            <w:gridSpan w:val="8"/>
          </w:tcPr>
          <w:p>
            <w:pPr>
              <w:jc w:val="center"/>
              <w:ind w:right="295"/>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7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Derivatives in cash flow hedging</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9"/>
                <w:szCs w:val="19"/>
                <w:color w:val="auto"/>
              </w:rPr>
            </w:pPr>
          </w:p>
        </w:tc>
        <w:tc>
          <w:tcPr>
            <w:tcW w:w="1540" w:type="dxa"/>
            <w:vAlign w:val="bottom"/>
            <w:gridSpan w:val="3"/>
          </w:tcPr>
          <w:p>
            <w:pPr>
              <w:jc w:val="center"/>
              <w:ind w:left="256"/>
              <w:spacing w:after="0"/>
              <w:rPr>
                <w:sz w:val="20"/>
                <w:szCs w:val="20"/>
                <w:color w:val="auto"/>
              </w:rPr>
            </w:pPr>
            <w:r>
              <w:rPr>
                <w:rFonts w:ascii="Arial" w:cs="Arial" w:eastAsia="Arial" w:hAnsi="Arial"/>
                <w:sz w:val="18"/>
                <w:szCs w:val="18"/>
                <w:color w:val="auto"/>
                <w:w w:val="87"/>
              </w:rPr>
              <w:t>Interest expense</w:t>
            </w:r>
          </w:p>
        </w:tc>
        <w:tc>
          <w:tcPr>
            <w:tcW w:w="460" w:type="dxa"/>
            <w:vAlign w:val="bottom"/>
            <w:gridSpan w:val="2"/>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1240" w:type="dxa"/>
            <w:vAlign w:val="bottom"/>
            <w:gridSpan w:val="25"/>
          </w:tcPr>
          <w:p>
            <w:pPr>
              <w:ind w:left="660"/>
              <w:spacing w:after="0"/>
              <w:rPr>
                <w:sz w:val="20"/>
                <w:szCs w:val="20"/>
                <w:color w:val="auto"/>
              </w:rPr>
            </w:pPr>
            <w:r>
              <w:rPr>
                <w:rFonts w:ascii="Arial" w:cs="Arial" w:eastAsia="Arial" w:hAnsi="Arial"/>
                <w:sz w:val="18"/>
                <w:szCs w:val="18"/>
                <w:color w:val="auto"/>
                <w:w w:val="91"/>
              </w:rPr>
              <w:t>The amounts of gains and losses related to the Company's derivative financial instruments not designated as hedging instruments are as follows:</w:t>
            </w:r>
          </w:p>
        </w:tc>
        <w:tc>
          <w:tcPr>
            <w:tcW w:w="0" w:type="dxa"/>
            <w:vAlign w:val="bottom"/>
          </w:tcPr>
          <w:p>
            <w:pPr>
              <w:spacing w:after="0"/>
              <w:rPr>
                <w:sz w:val="1"/>
                <w:szCs w:val="1"/>
                <w:color w:val="auto"/>
              </w:rPr>
            </w:pPr>
          </w:p>
        </w:tc>
      </w:tr>
      <w:tr>
        <w:trPr>
          <w:trHeight w:val="337"/>
        </w:trPr>
        <w:tc>
          <w:tcPr>
            <w:tcW w:w="1920" w:type="dxa"/>
            <w:vAlign w:val="bottom"/>
          </w:tcPr>
          <w:p>
            <w:pPr>
              <w:spacing w:after="0"/>
              <w:rPr>
                <w:sz w:val="24"/>
                <w:szCs w:val="24"/>
                <w:color w:val="auto"/>
              </w:rPr>
            </w:pPr>
          </w:p>
        </w:tc>
        <w:tc>
          <w:tcPr>
            <w:tcW w:w="3980" w:type="dxa"/>
            <w:vAlign w:val="bottom"/>
            <w:gridSpan w:val="8"/>
          </w:tcPr>
          <w:p>
            <w:pPr>
              <w:jc w:val="center"/>
              <w:ind w:right="239"/>
              <w:spacing w:after="0"/>
              <w:rPr>
                <w:sz w:val="20"/>
                <w:szCs w:val="20"/>
                <w:color w:val="auto"/>
              </w:rPr>
            </w:pPr>
            <w:r>
              <w:rPr>
                <w:rFonts w:ascii="Arial" w:cs="Arial" w:eastAsia="Arial" w:hAnsi="Arial"/>
                <w:sz w:val="16"/>
                <w:szCs w:val="16"/>
                <w:b w:val="1"/>
                <w:bCs w:val="1"/>
                <w:color w:val="auto"/>
                <w:w w:val="90"/>
              </w:rPr>
              <w:t>Location of Gain or (Loss) Recognized in Earnings</w:t>
            </w:r>
          </w:p>
        </w:tc>
        <w:tc>
          <w:tcPr>
            <w:tcW w:w="120" w:type="dxa"/>
            <w:vAlign w:val="bottom"/>
          </w:tcPr>
          <w:p>
            <w:pPr>
              <w:spacing w:after="0"/>
              <w:rPr>
                <w:sz w:val="24"/>
                <w:szCs w:val="24"/>
                <w:color w:val="auto"/>
              </w:rPr>
            </w:pPr>
          </w:p>
        </w:tc>
        <w:tc>
          <w:tcPr>
            <w:tcW w:w="5220" w:type="dxa"/>
            <w:vAlign w:val="bottom"/>
            <w:gridSpan w:val="15"/>
            <w:vMerge w:val="restart"/>
          </w:tcPr>
          <w:p>
            <w:pPr>
              <w:jc w:val="right"/>
              <w:ind w:right="455"/>
              <w:spacing w:after="0"/>
              <w:rPr>
                <w:sz w:val="20"/>
                <w:szCs w:val="20"/>
                <w:color w:val="auto"/>
              </w:rPr>
            </w:pPr>
            <w:r>
              <w:rPr>
                <w:rFonts w:ascii="Arial" w:cs="Arial" w:eastAsia="Arial" w:hAnsi="Arial"/>
                <w:sz w:val="16"/>
                <w:szCs w:val="16"/>
                <w:b w:val="1"/>
                <w:bCs w:val="1"/>
                <w:color w:val="auto"/>
                <w:w w:val="94"/>
              </w:rPr>
              <w:t>Amount of Gain or (Loss) Recognized in Earnings on Derivatives</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left="117"/>
              <w:spacing w:after="0"/>
              <w:rPr>
                <w:sz w:val="20"/>
                <w:szCs w:val="20"/>
                <w:color w:val="auto"/>
              </w:rPr>
            </w:pPr>
            <w:r>
              <w:rPr>
                <w:rFonts w:ascii="Arial" w:cs="Arial" w:eastAsia="Arial" w:hAnsi="Arial"/>
                <w:sz w:val="16"/>
                <w:szCs w:val="16"/>
                <w:b w:val="1"/>
                <w:bCs w:val="1"/>
                <w:color w:val="auto"/>
                <w:w w:val="89"/>
              </w:rPr>
              <w:t>on Derivatives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1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w w:val="95"/>
              </w:rPr>
              <w:t>Three Months Ended September 30,</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75"/>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7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Foreign currency</w:t>
            </w:r>
          </w:p>
        </w:tc>
        <w:tc>
          <w:tcPr>
            <w:tcW w:w="240" w:type="dxa"/>
            <w:vAlign w:val="bottom"/>
            <w:shd w:val="clear" w:color="auto" w:fill="CCEEFF"/>
          </w:tcPr>
          <w:p>
            <w:pPr>
              <w:spacing w:after="0"/>
              <w:rPr>
                <w:sz w:val="14"/>
                <w:szCs w:val="14"/>
                <w:color w:val="auto"/>
              </w:rPr>
            </w:pPr>
          </w:p>
        </w:tc>
        <w:tc>
          <w:tcPr>
            <w:tcW w:w="1780" w:type="dxa"/>
            <w:vAlign w:val="bottom"/>
            <w:gridSpan w:val="3"/>
            <w:vMerge w:val="restart"/>
            <w:shd w:val="clear" w:color="auto" w:fill="CCEEFF"/>
          </w:tcPr>
          <w:p>
            <w:pPr>
              <w:jc w:val="center"/>
              <w:ind w:right="70"/>
              <w:spacing w:after="0"/>
              <w:rPr>
                <w:sz w:val="20"/>
                <w:szCs w:val="20"/>
                <w:color w:val="auto"/>
              </w:rPr>
            </w:pPr>
            <w:r>
              <w:rPr>
                <w:rFonts w:ascii="Arial" w:cs="Arial" w:eastAsia="Arial" w:hAnsi="Arial"/>
                <w:sz w:val="18"/>
                <w:szCs w:val="18"/>
                <w:color w:val="auto"/>
                <w:w w:val="89"/>
              </w:rPr>
              <w:t>Miscellaneous, net</w:t>
            </w:r>
          </w:p>
        </w:tc>
        <w:tc>
          <w:tcPr>
            <w:tcW w:w="1180" w:type="dxa"/>
            <w:vAlign w:val="bottom"/>
            <w:gridSpan w:val="3"/>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derivatives</w:t>
            </w:r>
          </w:p>
        </w:tc>
        <w:tc>
          <w:tcPr>
            <w:tcW w:w="240" w:type="dxa"/>
            <w:vAlign w:val="bottom"/>
            <w:shd w:val="clear" w:color="auto" w:fill="CCEEFF"/>
          </w:tcPr>
          <w:p>
            <w:pPr>
              <w:spacing w:after="0"/>
              <w:rPr>
                <w:sz w:val="19"/>
                <w:szCs w:val="19"/>
                <w:color w:val="auto"/>
              </w:rPr>
            </w:pPr>
          </w:p>
        </w:tc>
        <w:tc>
          <w:tcPr>
            <w:tcW w:w="1780" w:type="dxa"/>
            <w:vAlign w:val="bottom"/>
            <w:gridSpan w:val="3"/>
            <w:vMerge w:val="continue"/>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three and nine months ended September 30, 2021, income tax expense was $40.7 million and $78.0 million,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respectively, representing an effective tax rate of 26% and 23%, respectively, as compared to the federal statutory rate of 21%. For the three and nine months ended September 30, 2021, the effective tax rate differs from the federal statutory rate due primarily to state and local income tax expense, tax expense related to non-deductible compensation and tax expense for an increase in valuation allowances for foreign taxes and U.S. foreign tax credits, partially offset by a discrete tax benefit for excess tax benefits related to stock compensation and a tax benefit from foreign operations.</w:t>
      </w:r>
    </w:p>
    <w:p>
      <w:pPr>
        <w:spacing w:after="0" w:line="4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For the three and nine months ended September 30, 2020, income tax expense was $52.2 million and $95.5 million, respectively, representing an effective tax rate of 43% and 38%, respectively, as compared to the federal statutory rate of 21%. For the three and nine months ended September 30, 2020, the effective tax rate differs from the federal statutory rate due primarily to tax expense from an increase in valuation allowances for foreign taxes and U.S. foreign tax credits, tax expense from foreign operations, state and local income tax expense, tax expense related to non-deductible compensation and tax expense and tax benefit relating to uncertain tax positions (including accrued interest), respectively. The tax benefit relating to uncertain tax positions for the nine months ended September 30, 2020 is primarily due to audit settlements and the filing of state income tax returns under voluntary disclosure agreements. The increase in valuation allowance is primarily due to a change in judgement about the realizability of foreign net operating losses and other deferred tax assets. Management considers the scheduled reversal of deferred tax liabilities (including the effect in available carryback and carryforward periods), projected taxable income, and tax-planning strategies in making this assessment.</w:t>
      </w:r>
    </w:p>
    <w:p>
      <w:pPr>
        <w:spacing w:after="0" w:line="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September 30, 2021, the Company had foreign tax credit carry forwards of approximately $35.9 million, expiring on various dates from 2022 through 2031. These carryforwards have been reduced by a valuation allowance of $35.9 million as it is more likely than not that these carry forwards will not be realized. For the nine months ended September 30, 2021, $1.0 million relating to amortization of tax deductible second component goodwill was realized as a reduction in tax liability (as determined on a 'with-and-without' approach).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September 30, 2021, the Company's contractual obligations not reflected on the Company's condensed consolidated balance sheet increased $31.1 million, as compared to December 31, 2020, to $1,043.0 million. The increase primarily relates to additional commitments for program rights.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17, 2013, Frank Darabont ("Darabont"), Ferenc, Inc., Darkwoods Productions, Inc., and Creative Artists Agency, LLC (together, the "Plaintiffs"), filed a complaint in New York Supreme Court in connection with Darabont's rendering services as a writer, director and producer of the television series entitled The Walking Dead and the agreement between the parties related thereto. Plaintiffs asserted claims for breach of contract, breach of the covenant of good faith and fair dealing, for an accounting and for declaratory relief.</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January 18, 2018, Plaintiffs filed a second action in New York Supreme Court in connection with Darabont’s services on The Walking Dead television series and agreements between the parties related thereto. Plaintiffs asserted claims for breach of contract, breach of the covenant of good faith and fair dealing, and declaratory relief. The two actions were consolidated for a joint trial, which was scheduled to begin on April 4, 2022.</w:t>
      </w:r>
    </w:p>
    <w:p>
      <w:pPr>
        <w:spacing w:after="0" w:line="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July 16, 2021, the parties entered into a settlement agreement (the “Settlement Agreement”) to resolve the consolidated actions. The Settlement Agreement provides for a cash payment of $200 million (the “Settlement Payment”) to Plaintiffs and future revenue sharing related to certain future streaming exhibition of The Walking Dead and Fear The Walking Dead. With regard to the Settlement Payment, the Company took a charge of approximately $143 million in the quarter ended June 30, 2021 in consideration for the extinguishment of Plaintiffs’ rights to any compensation in connection with The Walking Dead and any related programs and the dismissal of the actions with prejudice, which amount is net of approximately $57 million of ordinary course accrued participations. The Settlement Agreement also includes customary provisions included in such agreements, including providing for mutual releases, covenants not to sue, waivers, confidentiality, non-disparagement and indemnification for third party claims. On July 21, 2021, the Plaintiffs filed a stipulation to discontinue the consolidated actions, with prejudice.</w:t>
      </w:r>
    </w:p>
    <w:p>
      <w:pPr>
        <w:spacing w:after="0" w:line="57" w:lineRule="exact"/>
        <w:rPr>
          <w:sz w:val="20"/>
          <w:szCs w:val="20"/>
          <w:color w:val="auto"/>
        </w:rPr>
      </w:pPr>
    </w:p>
    <w:p>
      <w:pPr>
        <w:jc w:val="both"/>
        <w:ind w:firstLine="486"/>
        <w:spacing w:after="0"/>
        <w:rPr>
          <w:sz w:val="20"/>
          <w:szCs w:val="20"/>
          <w:color w:val="auto"/>
        </w:rPr>
      </w:pPr>
      <w:r>
        <w:rPr>
          <w:rFonts w:ascii="Arial" w:cs="Arial" w:eastAsia="Arial" w:hAnsi="Arial"/>
          <w:sz w:val="17"/>
          <w:szCs w:val="17"/>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The Walking Dead, as well as Fear the Walking Dead and/or Talking Dead,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covenant of good faith and fair dealing, inducing breach of contract, and liability for violation of Cal. Bus. &amp; Prof. Code § 17200. The California Plaintiffs seek compensatory and punitive damages and restitution. On August 8, 2019, the judge in the California Action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California Plaintiffs filed a second amended complaint, eliminating eight named defendants and their claims under Cal. Bus. &amp; Prof. Code § 17200. On May 5, 2021, the California Plaintiffs filed a third amended complaint, repleading in part their claims for alleged breach of the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June 9, 2021, the judge in the California Action set a tentative trial date of November 1, 2021 with regard to claims not addressed in the first phase trial. On September 14, 2021, the judge vacated the November 1, 2021 trial date and set a new trial date of May 9, 2022. The parties have resumed discovery in preparation for the May 9, 2022 trial. The Company believes that the remaining asserted claims are without merit and will vigorously defend against them. At this time, no determination can be made as to the ultimate outcome of this litigation or the potential liability, if any, on the part of the Company.</w:t>
      </w:r>
    </w:p>
    <w:p>
      <w:pPr>
        <w:spacing w:after="0" w:line="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Equity Plans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September 2021, AMC Networks granted 102,145 restricted stock units ("RSUs") under the AMC Networks Inc. Amended and Restated 2016 Employee Stock Plan to its interim chief executive officer. The RSUs vest over a one-year period and the vesting criteria include the achievement of certain performance targets by the Company.</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June 2021, AMC Networks granted 29,916 RSUs under the 2011 Stock Plan for Non-Employee Directors to non-employee directors that vested on the date of grant.</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2021, AMC Networks granted 535,278 RSUs to certain executive officers and employees under the AMC Networks Inc. Amended and Restated 2016 Employee Stock Plan. The RSUs vest ratably over a three-year period and the vesting criteria for 178,764 RSUs include the achievement of certain performance targets by the Company.</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During the nine months ended September 30, 2021, 617,051 RSUs and 368,296 performance restricted stock units (PRSUs) of AMC Networks Class A Common Stock previously issued to employees of the Company vested. On the vesting date, 263,671 RSUs and 168,712 PRSUs were surrendered to the Company to cover the required statutory tax withholding obligations and 353,380 RSU and 199,584 PRSU new shares of AMC Networks Class A Common Stock were issued. The units surrendered to satisfy the employees' statutory minimum tax withholding obligations for the applicable income and other employment tax had an aggregate value of $34.6 million, which has been reflected as a financing activity in the condensed consolidated statement of cash flows for the nine months ended September 30, 2021.</w:t>
      </w:r>
    </w:p>
    <w:p>
      <w:pPr>
        <w:spacing w:after="0" w:line="84"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Share-based compensation expense included in selling, general and administrative expense was $9.5 million and $39.2 million for the three and nine months ended September 30, 2021, respectively and $12.4 million and $43.1 million for the three and nine months ended September 30, 2020, respectively.</w:t>
      </w:r>
    </w:p>
    <w:p>
      <w:pPr>
        <w:spacing w:after="0" w:line="16"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September 30, 2021, there was $39.1 million of total unrecognized share-based compensation cost related to outstanding unvested share-based awards. The unrecognized compensation cost is expected to be recognized over a weighted-average remaining period of approximately 1.8 years.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Redeemable Noncontrolling Interests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nine months ended September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jc w:val="right"/>
              <w:ind w:right="21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88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89"/>
              </w:rPr>
              <w:t>September 30, 2021</w:t>
            </w:r>
          </w:p>
        </w:tc>
      </w:tr>
      <w:tr>
        <w:trPr>
          <w:trHeight w:val="22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 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30"/>
        </w:trPr>
        <w:tc>
          <w:tcPr>
            <w:tcW w:w="8860" w:type="dxa"/>
            <w:vAlign w:val="bottom"/>
          </w:tcPr>
          <w:p>
            <w:pPr>
              <w:ind w:left="760"/>
              <w:spacing w:after="0"/>
              <w:rPr>
                <w:sz w:val="20"/>
                <w:szCs w:val="20"/>
                <w:color w:val="auto"/>
              </w:rPr>
            </w:pPr>
            <w:r>
              <w:rPr>
                <w:rFonts w:ascii="Arial" w:cs="Arial" w:eastAsia="Arial" w:hAnsi="Arial"/>
                <w:sz w:val="18"/>
                <w:szCs w:val="18"/>
                <w:color w:val="auto"/>
              </w:rPr>
              <w:t>Net earnings</w:t>
            </w:r>
          </w:p>
        </w:tc>
        <w:tc>
          <w:tcPr>
            <w:tcW w:w="5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15,119</w:t>
            </w:r>
          </w:p>
        </w:tc>
      </w:tr>
      <w:tr>
        <w:trPr>
          <w:trHeight w:val="229"/>
        </w:trPr>
        <w:tc>
          <w:tcPr>
            <w:tcW w:w="8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Distributions</w:t>
            </w:r>
          </w:p>
        </w:tc>
        <w:tc>
          <w:tcPr>
            <w:tcW w:w="5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r>
      <w:tr>
        <w:trPr>
          <w:trHeight w:val="229"/>
        </w:trPr>
        <w:tc>
          <w:tcPr>
            <w:tcW w:w="8860" w:type="dxa"/>
            <w:vAlign w:val="bottom"/>
          </w:tcPr>
          <w:p>
            <w:pPr>
              <w:ind w:left="760"/>
              <w:spacing w:after="0"/>
              <w:rPr>
                <w:sz w:val="20"/>
                <w:szCs w:val="20"/>
                <w:color w:val="auto"/>
              </w:rPr>
            </w:pPr>
            <w:r>
              <w:rPr>
                <w:rFonts w:ascii="Arial" w:cs="Arial" w:eastAsia="Arial" w:hAnsi="Arial"/>
                <w:sz w:val="18"/>
                <w:szCs w:val="18"/>
                <w:color w:val="auto"/>
              </w:rPr>
              <w:t>Distribution related to spin-off transaction</w:t>
            </w:r>
          </w:p>
        </w:tc>
        <w:tc>
          <w:tcPr>
            <w:tcW w:w="5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(8,040)</w:t>
            </w:r>
          </w:p>
        </w:tc>
      </w:tr>
      <w:tr>
        <w:trPr>
          <w:trHeight w:val="230"/>
        </w:trPr>
        <w:tc>
          <w:tcPr>
            <w:tcW w:w="8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Transfer to noncontrolling interest</w:t>
            </w:r>
          </w:p>
        </w:tc>
        <w:tc>
          <w:tcPr>
            <w:tcW w:w="5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September 30, 2021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291,447</w:t>
            </w:r>
          </w:p>
        </w:tc>
      </w:tr>
      <w:tr>
        <w:trPr>
          <w:trHeight w:val="21"/>
        </w:trPr>
        <w:tc>
          <w:tcPr>
            <w:tcW w:w="8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In connection with the spin-off of the live comedy venue and talent management businesses of Levity Entertainment Group, LLC (see Note 4), $8.0 million of redeemable noncontrolling interests was distributed to the noncontrolling partners. In addition, as part of the transaction, the preexisting put rights of the noncontrolling interest holders were terminated. Accordingly, the remaining $18.4 million of noncontrolling interests was transferred from Redeemable noncontrolling interests to Noncontrolling interests in the condensed consolidated balance sheet.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$1.2 million and $1.2 million for the three months ended September 30, 2021 and 2020, respectively, and $3.7 million and $3.6 million for the nine months ended September 30, 2021 and 2020, respectively. Amounts charged to the Company, included in selling, general and administrative expenses, pursuant to transactions with its related parties amounted to $0.5 million and $0.5 million for the three months ended September 30, 2021 and 2020, respectively, and $1.5 and $0.6 million for the nine months ended September 30, 2021 and 2020,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45"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20320</wp:posOffset>
            </wp:positionV>
            <wp:extent cx="21774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r>
      <w:tr>
        <w:trPr>
          <w:trHeight w:val="22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Finance lease additions</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14,260</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Supplemental Data:</w:t>
            </w:r>
          </w:p>
        </w:tc>
        <w:tc>
          <w:tcPr>
            <w:tcW w:w="2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interest paid</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91,940</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Income taxes paid, net</w:t>
            </w:r>
          </w:p>
        </w:tc>
        <w:tc>
          <w:tcPr>
            <w:tcW w:w="2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60,355</w:t>
            </w: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cloud computing amortization, share-based compensation expense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199,982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25,354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225,336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585,430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810,766</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188,326</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164,178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18,924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183,102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470,913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546,865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654,015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12,394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185,491</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6"/>
        </w:trPr>
        <w:tc>
          <w:tcPr>
            <w:tcW w:w="4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611,406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72,892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684,298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1,284,324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1,589,601</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1,895,730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2,273,899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426,290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39,163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158,973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723,749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713,307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Nine Months Ended September 30, 2020</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564,838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53,097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617,935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1,416,746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1,721,690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2,034,681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361,249</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43,141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(loss)</w:t>
            </w: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633,223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Inter-segment eliminations are primarily licensing revenues recognized between the Domestic Operations and International and Other segments.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8"/>
          </w:tcPr>
          <w:p>
            <w:pPr>
              <w:jc w:val="right"/>
              <w:ind w:right="460"/>
              <w:spacing w:after="0"/>
              <w:rPr>
                <w:sz w:val="20"/>
                <w:szCs w:val="20"/>
                <w:color w:val="auto"/>
              </w:rPr>
            </w:pPr>
            <w:r>
              <w:rPr>
                <w:rFonts w:ascii="Arial" w:cs="Arial" w:eastAsia="Arial" w:hAnsi="Arial"/>
                <w:sz w:val="16"/>
                <w:szCs w:val="16"/>
                <w:b w:val="1"/>
                <w:bCs w:val="1"/>
                <w:color w:val="auto"/>
                <w:w w:val="96"/>
              </w:rPr>
              <w:t>Three Months Ended September 30,</w:t>
            </w:r>
          </w:p>
        </w:tc>
        <w:tc>
          <w:tcPr>
            <w:tcW w:w="340" w:type="dxa"/>
            <w:vAlign w:val="bottom"/>
          </w:tcPr>
          <w:p>
            <w:pPr>
              <w:spacing w:after="0"/>
              <w:rPr>
                <w:sz w:val="18"/>
                <w:szCs w:val="18"/>
                <w:color w:val="auto"/>
              </w:rPr>
            </w:pPr>
          </w:p>
        </w:tc>
        <w:tc>
          <w:tcPr>
            <w:tcW w:w="3260" w:type="dxa"/>
            <w:vAlign w:val="bottom"/>
            <w:gridSpan w:val="7"/>
          </w:tcPr>
          <w:p>
            <w:pPr>
              <w:jc w:val="right"/>
              <w:ind w:right="600"/>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top w:val="single" w:sz="8" w:color="auto"/>
              <w:bottom w:val="single" w:sz="8" w:color="auto"/>
            </w:tcBorders>
          </w:tcPr>
          <w:p>
            <w:pPr>
              <w:spacing w:after="0"/>
              <w:rPr>
                <w:sz w:val="20"/>
                <w:szCs w:val="20"/>
                <w:color w:val="auto"/>
              </w:rPr>
            </w:pPr>
          </w:p>
        </w:tc>
      </w:tr>
      <w:tr>
        <w:trPr>
          <w:trHeight w:val="22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Domestic Operations</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(8,567)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(11,545)</w:t>
            </w:r>
          </w:p>
        </w:tc>
      </w:tr>
      <w:tr>
        <w:trPr>
          <w:trHeight w:val="230"/>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w:t>
            </w:r>
          </w:p>
        </w:tc>
      </w:tr>
      <w:tr>
        <w:trPr>
          <w:trHeight w:val="223"/>
        </w:trPr>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(13,917)</w:t>
            </w:r>
          </w:p>
        </w:tc>
      </w:tr>
      <w:tr>
        <w:trPr>
          <w:trHeight w:val="21"/>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98"/>
        </w:trPr>
        <w:tc>
          <w:tcPr>
            <w:tcW w:w="5980" w:type="dxa"/>
            <w:vAlign w:val="bottom"/>
            <w:gridSpan w:val="7"/>
          </w:tcPr>
          <w:p>
            <w:pPr>
              <w:ind w:left="420"/>
              <w:spacing w:after="0"/>
              <w:rPr>
                <w:sz w:val="20"/>
                <w:szCs w:val="20"/>
                <w:color w:val="auto"/>
              </w:rPr>
            </w:pPr>
            <w:r>
              <w:rPr>
                <w:rFonts w:ascii="Arial" w:cs="Arial" w:eastAsia="Arial" w:hAnsi="Arial"/>
                <w:sz w:val="18"/>
                <w:szCs w:val="18"/>
                <w:color w:val="auto"/>
              </w:rPr>
              <w:t>The table below summarizes revenues based on customer location:</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4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6"/>
                <w:szCs w:val="16"/>
                <w:b w:val="1"/>
                <w:bCs w:val="1"/>
                <w:color w:val="auto"/>
                <w:w w:val="95"/>
              </w:rPr>
              <w:t>Three Months Ended September 30,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6"/>
                <w:szCs w:val="16"/>
                <w:b w:val="1"/>
                <w:bCs w:val="1"/>
                <w:color w:val="auto"/>
              </w:rPr>
              <w:t>Nine Months Ended September 30,</w:t>
            </w:r>
          </w:p>
        </w:tc>
      </w:tr>
      <w:tr>
        <w:trPr>
          <w:trHeight w:val="237"/>
        </w:trPr>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20"/>
                <w:szCs w:val="20"/>
                <w:color w:val="auto"/>
              </w:rPr>
            </w:pPr>
          </w:p>
        </w:tc>
      </w:tr>
      <w:tr>
        <w:trPr>
          <w:trHeight w:val="22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655,427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497,677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1,844,901</w:t>
            </w:r>
          </w:p>
        </w:tc>
        <w:tc>
          <w:tcPr>
            <w:tcW w:w="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1,646,065</w:t>
            </w:r>
          </w:p>
        </w:tc>
        <w:tc>
          <w:tcPr>
            <w:tcW w:w="60" w:type="dxa"/>
            <w:vAlign w:val="bottom"/>
          </w:tcPr>
          <w:p>
            <w:pPr>
              <w:spacing w:after="0"/>
              <w:rPr>
                <w:sz w:val="19"/>
                <w:szCs w:val="19"/>
                <w:color w:val="auto"/>
              </w:rPr>
            </w:pPr>
          </w:p>
        </w:tc>
      </w:tr>
      <w:tr>
        <w:trPr>
          <w:trHeight w:val="229"/>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274,763</w:t>
            </w:r>
          </w:p>
        </w:tc>
        <w:tc>
          <w:tcPr>
            <w:tcW w:w="60" w:type="dxa"/>
            <w:vAlign w:val="bottom"/>
            <w:shd w:val="clear" w:color="auto" w:fill="CCEEFF"/>
          </w:tcPr>
          <w:p>
            <w:pPr>
              <w:spacing w:after="0"/>
              <w:rPr>
                <w:sz w:val="19"/>
                <w:szCs w:val="19"/>
                <w:color w:val="auto"/>
              </w:rPr>
            </w:pPr>
          </w:p>
        </w:tc>
      </w:tr>
      <w:tr>
        <w:trPr>
          <w:trHeight w:val="230"/>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133,538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113,853</w:t>
            </w:r>
          </w:p>
        </w:tc>
        <w:tc>
          <w:tcPr>
            <w:tcW w:w="60" w:type="dxa"/>
            <w:vAlign w:val="bottom"/>
          </w:tcPr>
          <w:p>
            <w:pPr>
              <w:spacing w:after="0"/>
              <w:rPr>
                <w:sz w:val="19"/>
                <w:szCs w:val="19"/>
                <w:color w:val="auto"/>
              </w:rPr>
            </w:pPr>
          </w:p>
        </w:tc>
      </w:tr>
      <w:tr>
        <w:trPr>
          <w:trHeight w:val="248"/>
        </w:trPr>
        <w:tc>
          <w:tcPr>
            <w:tcW w:w="4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654,015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2,273,899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2,034,681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744"/>
        </w:trPr>
        <w:tc>
          <w:tcPr>
            <w:tcW w:w="6340" w:type="dxa"/>
            <w:vAlign w:val="bottom"/>
            <w:gridSpan w:val="8"/>
          </w:tcPr>
          <w:p>
            <w:pPr>
              <w:ind w:left="420"/>
              <w:spacing w:after="0"/>
              <w:rPr>
                <w:sz w:val="20"/>
                <w:szCs w:val="20"/>
                <w:color w:val="auto"/>
              </w:rPr>
            </w:pPr>
            <w:r>
              <w:rPr>
                <w:rFonts w:ascii="Arial" w:cs="Arial" w:eastAsia="Arial" w:hAnsi="Arial"/>
                <w:sz w:val="18"/>
                <w:szCs w:val="18"/>
                <w:color w:val="auto"/>
                <w:w w:val="94"/>
              </w:rPr>
              <w:t>The table below summarizes property and equipment based on asset location:</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8"/>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5"/>
              </w:rPr>
              <w:t>September 30, 2021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December 31, 2020</w:t>
            </w:r>
          </w:p>
        </w:tc>
      </w:tr>
      <w:tr>
        <w:trPr>
          <w:trHeight w:val="226"/>
        </w:trPr>
        <w:tc>
          <w:tcPr>
            <w:tcW w:w="4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203,635</w:t>
            </w:r>
          </w:p>
        </w:tc>
        <w:tc>
          <w:tcPr>
            <w:tcW w:w="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239,387</w:t>
            </w:r>
          </w:p>
        </w:tc>
        <w:tc>
          <w:tcPr>
            <w:tcW w:w="60" w:type="dxa"/>
            <w:vAlign w:val="bottom"/>
          </w:tcPr>
          <w:p>
            <w:pPr>
              <w:spacing w:after="0"/>
              <w:rPr>
                <w:sz w:val="19"/>
                <w:szCs w:val="19"/>
                <w:color w:val="auto"/>
              </w:rPr>
            </w:pPr>
          </w:p>
        </w:tc>
      </w:tr>
      <w:tr>
        <w:trPr>
          <w:trHeight w:val="229"/>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60" w:type="dxa"/>
            <w:vAlign w:val="bottom"/>
          </w:tcPr>
          <w:p>
            <w:pPr>
              <w:spacing w:after="0"/>
              <w:rPr>
                <w:sz w:val="19"/>
                <w:szCs w:val="19"/>
                <w:color w:val="auto"/>
              </w:rPr>
            </w:pPr>
          </w:p>
        </w:tc>
      </w:tr>
      <w:tr>
        <w:trPr>
          <w:trHeight w:val="230"/>
        </w:trPr>
        <w:tc>
          <w:tcPr>
            <w:tcW w:w="43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9"/>
                <w:szCs w:val="19"/>
                <w:color w:val="auto"/>
              </w:rPr>
            </w:pPr>
          </w:p>
        </w:tc>
      </w:tr>
      <w:tr>
        <w:trPr>
          <w:trHeight w:val="248"/>
        </w:trPr>
        <w:tc>
          <w:tcPr>
            <w:tcW w:w="4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218,699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256,045</w:t>
            </w:r>
          </w:p>
        </w:tc>
        <w:tc>
          <w:tcPr>
            <w:tcW w:w="60" w:type="dxa"/>
            <w:vAlign w:val="bottom"/>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4"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w:t>
      </w:r>
    </w:p>
    <w:p>
      <w:pPr>
        <w:spacing w:after="0" w:line="63" w:lineRule="exact"/>
        <w:rPr>
          <w:rFonts w:ascii="Arial" w:cs="Arial" w:eastAsia="Arial" w:hAnsi="Arial"/>
          <w:sz w:val="18"/>
          <w:szCs w:val="18"/>
          <w:color w:val="auto"/>
        </w:rPr>
      </w:pPr>
    </w:p>
    <w:p>
      <w:pPr>
        <w:ind w:left="820" w:right="6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15" w:val="left"/>
        </w:tabs>
        <w:numPr>
          <w:ilvl w:val="0"/>
          <w:numId w:val="7"/>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820" w:right="2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ind w:left="820" w:right="6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2020 Annual Report on Form 10-K (the "2020 Form 10-K"), as filed with the Securities and Exchange Commission ("SEC").</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2020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Consolidated Results of Operations. </w:t>
      </w:r>
      <w:r>
        <w:rPr>
          <w:rFonts w:ascii="Arial" w:cs="Arial" w:eastAsia="Arial" w:hAnsi="Arial"/>
          <w:sz w:val="16"/>
          <w:szCs w:val="16"/>
          <w:color w:val="auto"/>
        </w:rPr>
        <w:t>This section provides an analysis of our results of operations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compared to the three and nine months ended September 30, 2020. Our discussion is presented on both a consolidated and operating segment basis.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two operating segments are: (i) Domestic Operations and (ii) International and Other.</w:t>
      </w:r>
    </w:p>
    <w:p>
      <w:pPr>
        <w:spacing w:after="0" w:line="10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 discussion of our financial condition as of September 30, 2021, as well as an analysis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for the nine months ended September 30, 2021 and 2020. The discussion of our financial condition and liquidity includes summaries of (i) our primary sources of liquidity and (ii) our contractual obligations that existed at September 30, 2021 as compared to December 31, 2020.</w:t>
      </w:r>
    </w:p>
    <w:p>
      <w:pPr>
        <w:spacing w:after="0" w:line="4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Changes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first quarter of 2021, we changed our presentation of operating segments, reflecting a reorganized operating structure focused on a multi-platform distribution approach to content monetization. Our streaming services and IFC Films, previously included in the International and Other segment, are now included within Domestic Operations (formerly referred to as the National Networks segment). In addition, certain corporate overhead costs will no longer be allocated to the operating segments. Operating segment information for the prior period has been recast to reflect these changes. The new reporting structure consists of the following two operating segments:</w:t>
      </w:r>
    </w:p>
    <w:p>
      <w:pPr>
        <w:spacing w:after="0" w:line="80" w:lineRule="exact"/>
        <w:rPr>
          <w:sz w:val="20"/>
          <w:szCs w:val="20"/>
          <w:color w:val="auto"/>
        </w:rPr>
      </w:pPr>
    </w:p>
    <w:p>
      <w:pPr>
        <w:jc w:val="both"/>
        <w:ind w:left="660" w:hanging="328"/>
        <w:spacing w:after="0" w:line="273" w:lineRule="auto"/>
        <w:tabs>
          <w:tab w:leader="none" w:pos="655"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Domestic Operations: </w:t>
      </w:r>
      <w:r>
        <w:rPr>
          <w:rFonts w:ascii="Arial" w:cs="Arial" w:eastAsia="Arial" w:hAnsi="Arial"/>
          <w:sz w:val="17"/>
          <w:szCs w:val="17"/>
          <w:color w:val="auto"/>
        </w:rPr>
        <w:t>Includes activities of our five national programming networks, our streaming services, AMC Studios operation, IFC Films</w:t>
      </w:r>
      <w:r>
        <w:rPr>
          <w:rFonts w:ascii="Arial" w:cs="Arial" w:eastAsia="Arial" w:hAnsi="Arial"/>
          <w:sz w:val="17"/>
          <w:szCs w:val="17"/>
          <w:i w:val="1"/>
          <w:iCs w:val="1"/>
          <w:color w:val="auto"/>
        </w:rPr>
        <w:t xml:space="preserve"> </w:t>
      </w:r>
      <w:r>
        <w:rPr>
          <w:rFonts w:ascii="Arial" w:cs="Arial" w:eastAsia="Arial" w:hAnsi="Arial"/>
          <w:sz w:val="17"/>
          <w:szCs w:val="17"/>
          <w:color w:val="auto"/>
        </w:rPr>
        <w:t>and AMC Broadcasting &amp; Technology. Our national programming networks are AMC, WE tv, BBC AMERICA, IFC, and SundanceTV. Our streaming services consist of our targeted subscription streaming services (Acorn TV, Shudder, Sundance Now, and ALLBLK), AMC+ and other streaming initiatives. Our AMC Studios operation produces original programming for our programming networks and also licenses such programming worldwide. IFC Films is our film distribution business and AMC Networks Broadcasting &amp; Technology is our technical services business, which primarily services most of the national programming networks.</w:t>
      </w:r>
    </w:p>
    <w:p>
      <w:pPr>
        <w:spacing w:after="0" w:line="69" w:lineRule="exact"/>
        <w:rPr>
          <w:rFonts w:ascii="Arial" w:cs="Arial" w:eastAsia="Arial" w:hAnsi="Arial"/>
          <w:sz w:val="17"/>
          <w:szCs w:val="17"/>
          <w:i w:val="1"/>
          <w:iCs w:val="1"/>
          <w:color w:val="auto"/>
        </w:rPr>
      </w:pPr>
    </w:p>
    <w:p>
      <w:pPr>
        <w:jc w:val="both"/>
        <w:ind w:left="660" w:hanging="328"/>
        <w:spacing w:after="0" w:line="286"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Includes AMC Networks International ("AMCNI"), our international programming businesses consisting of a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of channels around the world and 25/7 Media (formerly Levity), our production services business. See Note 4 to the unaudited condensed consolidated financial statements for additional information relating to the spin-off of the Levity comedy venues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54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682,746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546,865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1,895,730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1,721,690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2,034,681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5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5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(118,140)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Consolidated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426,290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5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AOI</w:t>
            </w: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231,076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205,614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723,749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683,000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AOI</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cloud computing amortization, share-based compensation expense or benefit, impairment and other charges (including gains or losses on sales or dispositions of businesses), restructuring and other related charges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3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361,249</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43,141</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80,182</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13,879</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AOI</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224,691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633,223</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Domestic Operations</w:t>
      </w:r>
    </w:p>
    <w:p>
      <w:pPr>
        <w:spacing w:after="0" w:line="117"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In our Domestic Operations segment, we earn revenue principally from: (i) the distribution of our programming, through our programming networks and owned subscription streaming services, (ii) the sale of advertising, and (iii) the licensing of our original programming to distributors, including the distribution of programming of IFC Films. Distribution revenue primarily includes subscription fees paid by distributors to carry our programming networks and streaming services, and content licensing revenue from the licensing of original programming for digital, foreign and home video distribution.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paid on a monthly basis. Content licensing revenue from the licensing of original programming for digital and foreign distribution is recognized upon availability or distribution by the licensee.</w:t>
      </w:r>
    </w:p>
    <w:p>
      <w:pPr>
        <w:spacing w:after="0" w:line="6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 included in technical and operating expense, represents the largest expense of the Domestic Operations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success of our business depends on original programming, both scripted and unscripted, across all of our programming services. These original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and 25/7 Media (formerly Levity).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jc w:val="both"/>
        <w:ind w:firstLine="445"/>
        <w:spacing w:after="0" w:line="253" w:lineRule="auto"/>
        <w:rPr>
          <w:sz w:val="20"/>
          <w:szCs w:val="20"/>
          <w:color w:val="auto"/>
        </w:rPr>
      </w:pPr>
      <w:r>
        <w:rPr>
          <w:rFonts w:ascii="Arial" w:cs="Arial" w:eastAsia="Arial" w:hAnsi="Arial"/>
          <w:sz w:val="18"/>
          <w:szCs w:val="18"/>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nine months ended September 30, 2021, distribution revenues represented 81% of the revenues of the International and Other segment. Distribution revenue primarily includes subscription fees paid by distributors or consumers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w:t>
      </w:r>
    </w:p>
    <w:p>
      <w:pPr>
        <w:spacing w:after="0" w:line="8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Programming expense, program operating costs and production costs incurred to produce content for third parties are included in technical and operating expense, and represent the largest expense of the International and Other segment. Programming expense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Corporate / Inter-segment Eliminations</w:t>
      </w:r>
    </w:p>
    <w:p>
      <w:pPr>
        <w:spacing w:after="0" w:line="11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continues to monitor the ongoing impact of the COVID-19 pandemic on all aspects of its business.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Capital and credit market disruptions, as well as other events such as the COVID-19 pandemic, could cause economic downturns, which may lead to lower demand for our products, such as lower demand for television advertising and a decrease in the number of subscribers receiving our programming services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79" w:lineRule="exact"/>
        <w:rPr>
          <w:sz w:val="20"/>
          <w:szCs w:val="20"/>
          <w:color w:val="auto"/>
        </w:rPr>
      </w:pPr>
    </w:p>
    <w:p>
      <w:pPr>
        <w:jc w:val="right"/>
        <w:ind w:right="4020"/>
        <w:spacing w:after="0" w:line="443" w:lineRule="auto"/>
        <w:rPr>
          <w:sz w:val="20"/>
          <w:szCs w:val="20"/>
          <w:color w:val="auto"/>
        </w:rPr>
      </w:pPr>
      <w:r>
        <w:rPr>
          <w:rFonts w:ascii="Arial" w:cs="Arial" w:eastAsia="Arial" w:hAnsi="Arial"/>
          <w:sz w:val="16"/>
          <w:szCs w:val="16"/>
          <w:b w:val="1"/>
          <w:bCs w:val="1"/>
          <w:i w:val="1"/>
          <w:iCs w:val="1"/>
          <w:color w:val="auto"/>
        </w:rPr>
        <w:t xml:space="preserve">Three Months Ended September 30, 2021 Compared to Three Months Ended September 30, 2020 </w:t>
      </w:r>
      <w:r>
        <w:rPr>
          <w:rFonts w:ascii="Arial" w:cs="Arial" w:eastAsia="Arial" w:hAnsi="Arial"/>
          <w:sz w:val="16"/>
          <w:szCs w:val="16"/>
          <w:color w:val="auto"/>
        </w:rPr>
        <w:t>The following table sets forth our consolidated results of operations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 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54"/>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93"/>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1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1"/>
                <w:szCs w:val="11"/>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1"/>
                <w:szCs w:val="11"/>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156,751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9"/>
              </w:rPr>
              <w:t>24.0 %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378,264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333,816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44,448</w:t>
            </w:r>
          </w:p>
        </w:tc>
        <w:tc>
          <w:tcPr>
            <w:tcW w:w="118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148,769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71,242</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1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118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8"/>
                <w:szCs w:val="18"/>
                <w:color w:val="auto"/>
              </w:rPr>
              <w:t>(82.9)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107,902</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48,849</w:t>
            </w:r>
          </w:p>
        </w:tc>
        <w:tc>
          <w:tcPr>
            <w:tcW w:w="11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1,275</w:t>
            </w:r>
          </w:p>
        </w:tc>
        <w:tc>
          <w:tcPr>
            <w:tcW w:w="1180" w:type="dxa"/>
            <w:vAlign w:val="bottom"/>
            <w:gridSpan w:val="2"/>
          </w:tcPr>
          <w:p>
            <w:pPr>
              <w:jc w:val="right"/>
              <w:ind w:right="79"/>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1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(99.5)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7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11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Net income from operations before income taxes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7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11,451</w:t>
            </w:r>
          </w:p>
        </w:tc>
        <w:tc>
          <w:tcPr>
            <w:tcW w:w="118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50,491</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7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1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110,651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61,640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49,011</w:t>
            </w:r>
          </w:p>
        </w:tc>
        <w:tc>
          <w:tcPr>
            <w:tcW w:w="118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w w:val="89"/>
              </w:rPr>
              <w:t>79.5 %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514"/>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b w:val="1"/>
          <w:bCs w:val="1"/>
          <w:color w:val="auto"/>
        </w:rPr>
        <w:t>Domestic Operations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1023"/>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34"/>
              <w:spacing w:after="0" w:line="130"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Revenues,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net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682,746</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546,865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Technical and operating (excluding depreciation</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303,868</w:t>
            </w:r>
          </w:p>
        </w:tc>
        <w:tc>
          <w:tcPr>
            <w:tcW w:w="1400" w:type="dxa"/>
            <w:vAlign w:val="bottom"/>
            <w:gridSpan w:val="5"/>
            <w:vMerge w:val="restart"/>
            <w:shd w:val="clear" w:color="auto" w:fill="CCEEFF"/>
          </w:tcPr>
          <w:p>
            <w:pPr>
              <w:jc w:val="right"/>
              <w:ind w:right="143"/>
              <w:spacing w:after="0"/>
              <w:rPr>
                <w:sz w:val="20"/>
                <w:szCs w:val="20"/>
                <w:color w:val="auto"/>
              </w:rPr>
            </w:pPr>
            <w:r>
              <w:rPr>
                <w:rFonts w:ascii="Arial" w:cs="Arial" w:eastAsia="Arial" w:hAnsi="Arial"/>
                <w:sz w:val="18"/>
                <w:szCs w:val="18"/>
                <w:color w:val="auto"/>
              </w:rPr>
              <w:t>44.5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260,330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43,538</w:t>
            </w:r>
          </w:p>
        </w:tc>
        <w:tc>
          <w:tcPr>
            <w:tcW w:w="1180" w:type="dxa"/>
            <w:vAlign w:val="bottom"/>
            <w:gridSpan w:val="2"/>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0" w:type="dxa"/>
            <w:vAlign w:val="bottom"/>
            <w:gridSpan w:val="5"/>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154,125</w:t>
            </w:r>
          </w:p>
        </w:tc>
        <w:tc>
          <w:tcPr>
            <w:tcW w:w="1400" w:type="dxa"/>
            <w:vAlign w:val="bottom"/>
            <w:gridSpan w:val="5"/>
          </w:tcPr>
          <w:p>
            <w:pPr>
              <w:jc w:val="right"/>
              <w:ind w:right="143"/>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67,100</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77.1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400" w:type="dxa"/>
            <w:vAlign w:val="bottom"/>
            <w:gridSpan w:val="5"/>
            <w:shd w:val="clear" w:color="auto" w:fill="CCEEFF"/>
          </w:tcPr>
          <w:p>
            <w:pPr>
              <w:jc w:val="right"/>
              <w:ind w:right="143"/>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1180" w:type="dxa"/>
            <w:vAlign w:val="bottom"/>
            <w:tcBorders>
              <w:bottom w:val="single" w:sz="8" w:color="CCEEFF"/>
            </w:tcBorders>
            <w:gridSpan w:val="2"/>
          </w:tcPr>
          <w:p>
            <w:pPr>
              <w:jc w:val="right"/>
              <w:ind w:right="95"/>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213,299</w:t>
            </w:r>
          </w:p>
        </w:tc>
        <w:tc>
          <w:tcPr>
            <w:tcW w:w="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4,174</w:t>
            </w:r>
          </w:p>
        </w:tc>
        <w:tc>
          <w:tcPr>
            <w:tcW w:w="1400" w:type="dxa"/>
            <w:vAlign w:val="bottom"/>
            <w:gridSpan w:val="5"/>
          </w:tcPr>
          <w:p>
            <w:pPr>
              <w:jc w:val="right"/>
              <w:ind w:right="143"/>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400" w:type="dxa"/>
            <w:vAlign w:val="bottom"/>
            <w:gridSpan w:val="5"/>
            <w:shd w:val="clear" w:color="auto" w:fill="CCEEFF"/>
          </w:tcPr>
          <w:p>
            <w:pPr>
              <w:jc w:val="right"/>
              <w:ind w:right="143"/>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(4,587)</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Borders>
              <w:bottom w:val="single" w:sz="8" w:color="auto"/>
            </w:tcBorders>
            <w:shd w:val="clear" w:color="auto" w:fill="CCEEFF"/>
          </w:tcPr>
          <w:p>
            <w:pPr>
              <w:spacing w:after="0"/>
              <w:rPr>
                <w:sz w:val="19"/>
                <w:szCs w:val="19"/>
                <w:color w:val="auto"/>
              </w:rPr>
            </w:pPr>
          </w:p>
        </w:tc>
        <w:tc>
          <w:tcPr>
            <w:tcW w:w="1380" w:type="dxa"/>
            <w:vAlign w:val="bottom"/>
            <w:gridSpan w:val="4"/>
            <w:shd w:val="clear" w:color="auto" w:fill="CCEEFF"/>
          </w:tcPr>
          <w:p>
            <w:pPr>
              <w:jc w:val="right"/>
              <w:ind w:right="143"/>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231,076</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33.8 %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205,614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460"/>
              <w:spacing w:after="0"/>
              <w:rPr>
                <w:sz w:val="20"/>
                <w:szCs w:val="20"/>
                <w:color w:val="auto"/>
              </w:rPr>
            </w:pPr>
            <w:r>
              <w:rPr>
                <w:rFonts w:ascii="Arial" w:cs="Arial" w:eastAsia="Arial" w:hAnsi="Arial"/>
                <w:sz w:val="18"/>
                <w:szCs w:val="18"/>
                <w:b w:val="1"/>
                <w:bCs w:val="1"/>
                <w:color w:val="auto"/>
                <w:w w:val="96"/>
              </w:rPr>
              <w:t>International and Other Segment Results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gridSpan w:val="17"/>
          </w:tcPr>
          <w:p>
            <w:pPr>
              <w:ind w:left="420"/>
              <w:spacing w:after="0"/>
              <w:rPr>
                <w:sz w:val="20"/>
                <w:szCs w:val="20"/>
                <w:color w:val="auto"/>
              </w:rPr>
            </w:pPr>
            <w:r>
              <w:rPr>
                <w:rFonts w:ascii="Arial" w:cs="Arial" w:eastAsia="Arial" w:hAnsi="Arial"/>
                <w:sz w:val="18"/>
                <w:szCs w:val="18"/>
                <w:color w:val="auto"/>
                <w:w w:val="95"/>
              </w:rPr>
              <w:t>The following table sets forth our International and Other segment results for the periods indicated.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1023"/>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jc w:val="center"/>
              <w:ind w:right="40"/>
              <w:spacing w:after="0" w:line="13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Revenues,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129,940</w:t>
            </w:r>
          </w:p>
        </w:tc>
        <w:tc>
          <w:tcPr>
            <w:tcW w:w="40" w:type="dxa"/>
            <w:vAlign w:val="bottom"/>
            <w:tcBorders>
              <w:top w:val="single" w:sz="8" w:color="auto"/>
            </w:tcBorders>
            <w:gridSpan w:val="2"/>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Technical and operating (excluding depreciation</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77,333</w:t>
            </w:r>
          </w:p>
        </w:tc>
        <w:tc>
          <w:tcPr>
            <w:tcW w:w="1400" w:type="dxa"/>
            <w:vAlign w:val="bottom"/>
            <w:gridSpan w:val="5"/>
            <w:vMerge w:val="restart"/>
            <w:shd w:val="clear" w:color="auto" w:fill="CCEEFF"/>
          </w:tcPr>
          <w:p>
            <w:pPr>
              <w:jc w:val="right"/>
              <w:ind w:right="123"/>
              <w:spacing w:after="0"/>
              <w:rPr>
                <w:sz w:val="20"/>
                <w:szCs w:val="20"/>
                <w:color w:val="auto"/>
              </w:rPr>
            </w:pPr>
            <w:r>
              <w:rPr>
                <w:rFonts w:ascii="Arial" w:cs="Arial" w:eastAsia="Arial" w:hAnsi="Arial"/>
                <w:sz w:val="18"/>
                <w:szCs w:val="18"/>
                <w:color w:val="auto"/>
              </w:rPr>
              <w:t>59.5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77,356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0" w:type="dxa"/>
            <w:vAlign w:val="bottom"/>
            <w:gridSpan w:val="5"/>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31,043</w:t>
            </w:r>
          </w:p>
        </w:tc>
        <w:tc>
          <w:tcPr>
            <w:tcW w:w="1400" w:type="dxa"/>
            <w:vAlign w:val="bottom"/>
            <w:gridSpan w:val="5"/>
          </w:tcPr>
          <w:p>
            <w:pPr>
              <w:jc w:val="right"/>
              <w:ind w:right="123"/>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4,999</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400" w:type="dxa"/>
            <w:vAlign w:val="bottom"/>
            <w:gridSpan w:val="5"/>
            <w:shd w:val="clear" w:color="auto" w:fill="CCEEFF"/>
          </w:tcPr>
          <w:p>
            <w:pPr>
              <w:jc w:val="right"/>
              <w:ind w:right="123"/>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400" w:type="dxa"/>
            <w:vAlign w:val="bottom"/>
            <w:gridSpan w:val="5"/>
          </w:tcPr>
          <w:p>
            <w:pPr>
              <w:jc w:val="right"/>
              <w:ind w:right="123"/>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40" w:type="dxa"/>
            <w:vAlign w:val="bottom"/>
            <w:tcBorders>
              <w:top w:val="single" w:sz="8" w:color="auto"/>
            </w:tcBorders>
            <w:gridSpan w:val="2"/>
            <w:shd w:val="clear" w:color="auto" w:fill="CCEEFF"/>
          </w:tcPr>
          <w:p>
            <w:pPr>
              <w:spacing w:after="0"/>
              <w:rPr>
                <w:sz w:val="19"/>
                <w:szCs w:val="19"/>
                <w:color w:val="auto"/>
              </w:rPr>
            </w:pPr>
          </w:p>
        </w:tc>
        <w:tc>
          <w:tcPr>
            <w:tcW w:w="136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180" w:type="dxa"/>
            <w:vAlign w:val="bottom"/>
            <w:tcBorders>
              <w:top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c>
          <w:tcPr>
            <w:tcW w:w="1400" w:type="dxa"/>
            <w:vAlign w:val="bottom"/>
            <w:gridSpan w:val="5"/>
          </w:tcPr>
          <w:p>
            <w:pPr>
              <w:jc w:val="right"/>
              <w:ind w:right="123"/>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w:t>
            </w:r>
          </w:p>
        </w:tc>
        <w:tc>
          <w:tcPr>
            <w:tcW w:w="1180" w:type="dxa"/>
            <w:vAlign w:val="bottom"/>
            <w:gridSpan w:val="2"/>
          </w:tcPr>
          <w:p>
            <w:pPr>
              <w:jc w:val="right"/>
              <w:ind w:right="95"/>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400" w:type="dxa"/>
            <w:vAlign w:val="bottom"/>
            <w:gridSpan w:val="5"/>
            <w:shd w:val="clear" w:color="auto" w:fill="CCEEFF"/>
          </w:tcPr>
          <w:p>
            <w:pPr>
              <w:jc w:val="right"/>
              <w:ind w:right="123"/>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40" w:type="dxa"/>
            <w:vAlign w:val="bottom"/>
            <w:tcBorders>
              <w:bottom w:val="single" w:sz="8" w:color="auto"/>
            </w:tcBorders>
            <w:gridSpan w:val="2"/>
          </w:tcPr>
          <w:p>
            <w:pPr>
              <w:spacing w:after="0"/>
              <w:rPr>
                <w:sz w:val="19"/>
                <w:szCs w:val="19"/>
                <w:color w:val="auto"/>
              </w:rPr>
            </w:pPr>
          </w:p>
        </w:tc>
        <w:tc>
          <w:tcPr>
            <w:tcW w:w="1360" w:type="dxa"/>
            <w:vAlign w:val="bottom"/>
            <w:tcBorders>
              <w:bottom w:val="single" w:sz="8" w:color="CCEEFF"/>
            </w:tcBorders>
            <w:gridSpan w:val="3"/>
          </w:tcPr>
          <w:p>
            <w:pPr>
              <w:jc w:val="right"/>
              <w:ind w:right="123"/>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tcPr>
          <w:p>
            <w:pPr>
              <w:spacing w:after="0"/>
              <w:rPr>
                <w:sz w:val="19"/>
                <w:szCs w:val="19"/>
                <w:color w:val="auto"/>
              </w:rPr>
            </w:pPr>
          </w:p>
        </w:tc>
        <w:tc>
          <w:tcPr>
            <w:tcW w:w="1080" w:type="dxa"/>
            <w:vAlign w:val="bottom"/>
            <w:tcBorders>
              <w:bottom w:val="single" w:sz="8" w:color="CCEEFF"/>
            </w:tcBorders>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5"/>
          </w:tcPr>
          <w:p>
            <w:pPr>
              <w:jc w:val="right"/>
              <w:ind w:right="543"/>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net increased $156.8 million to $810.8 million for the three months ended September 30, 2021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The net change by segment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682,746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546,865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135,881</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24.8 %</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129,940</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111,398</w:t>
            </w:r>
          </w:p>
        </w:tc>
        <w:tc>
          <w:tcPr>
            <w:tcW w:w="1380" w:type="dxa"/>
            <w:vAlign w:val="bottom"/>
            <w:gridSpan w:val="2"/>
          </w:tcPr>
          <w:p>
            <w:pPr>
              <w:jc w:val="right"/>
              <w:ind w:right="139"/>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18,542</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16.6</w:t>
            </w: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3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(54.8)</w:t>
            </w: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156,751</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w w:val="92"/>
              </w:rPr>
              <w:t>24.0 %</w:t>
            </w:r>
          </w:p>
        </w:tc>
      </w:tr>
      <w:tr>
        <w:trPr>
          <w:trHeight w:val="20"/>
        </w:trPr>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Domestic Operations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164,178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21.8 %</w:t>
            </w:r>
          </w:p>
        </w:tc>
      </w:tr>
      <w:tr>
        <w:trPr>
          <w:trHeight w:val="229"/>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482,764</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382,687</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100,077</w:t>
            </w:r>
          </w:p>
        </w:tc>
        <w:tc>
          <w:tcPr>
            <w:tcW w:w="138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color w:val="auto"/>
              </w:rPr>
              <w:t>26.2</w:t>
            </w: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682,746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135,881</w:t>
            </w:r>
          </w:p>
        </w:tc>
        <w:tc>
          <w:tcPr>
            <w:tcW w:w="13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2"/>
              </w:rPr>
              <w:t>24.8 %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jc w:val="both"/>
        <w:ind w:left="980" w:hanging="324"/>
        <w:spacing w:after="0" w:line="259"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of $35.8 million in advertising revenues was primarily attributable to higher pricing and ad-supported streaming growth, and an increase in the number of episodes of our original programming, partially offset by lower ratings. Most of our advertising revenues vary based on the number and timing of our original programming series and the popularity of our programming as measured by Nielsen. Due to these factors, we expect advertising revenues to vary from quarter to quarter.</w:t>
      </w:r>
    </w:p>
    <w:p>
      <w:pPr>
        <w:spacing w:after="0" w:line="213" w:lineRule="exact"/>
        <w:rPr>
          <w:rFonts w:ascii="Arial" w:cs="Arial" w:eastAsia="Arial" w:hAnsi="Arial"/>
          <w:sz w:val="18"/>
          <w:szCs w:val="18"/>
          <w:color w:val="auto"/>
        </w:rPr>
      </w:pPr>
    </w:p>
    <w:p>
      <w:pPr>
        <w:jc w:val="both"/>
        <w:ind w:left="980" w:hanging="324"/>
        <w:spacing w:after="0" w:line="254"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of $100.1 million in distribution and other revenues related to increases in both content licensing revenues and streaming services revenues, partially offset by a decrease in affiliate revenues. Content licensing revenues increased 60% due to a higher number of distributed original programs as compared to the prior comparable period as a result of earlier COVID-19 pandemic production delays. Subscription revenues increased 14% driven by an 83% increase in streaming services revenues attributable to subscriber growth. Subscription revenues vary based on the impact of renewals of affiliation agreements and streaming service subscription trends, and content licensing revenues vary based on the timing of availability of our programming to distributors. Because of these factors, we expect distribution revenues to vary from quarter to quarter.</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34.0 %</w:t>
            </w: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104,586</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92,474</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12,112</w:t>
            </w:r>
          </w:p>
        </w:tc>
        <w:tc>
          <w:tcPr>
            <w:tcW w:w="138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color w:val="auto"/>
              </w:rPr>
              <w:t>13.1</w:t>
            </w: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13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2"/>
              </w:rPr>
              <w:t>16.6 %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advertising revenues is primarily related to higher pricing, better ratings and the favorable impact of foreign currency translation. The increase in distribution revenues related to the resumption of production activities at 25/7 Media and increased distribution at AMCNI, as well as the favorable impact of foreign currency translation.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Technical and operating expense (excluding depreciation and amortization) increased $44.4 million to $378.3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as compared to the three months ended September 30, 2020. The net change by segment was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303,868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260,330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77,333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77,356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6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(24.1)</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378,264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333,816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13.3 %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increase in technical and operating expense of $43.5 million was due to an increase in program rights amortization attributable to an increase in the number of episodes of original programming as compared to the prior comparable period. There were no significant program write-offs for three months ended September 30, 2021. There was $19.7 million of program write-offs for three months ended September 30, 2020. Programming write-offs are based on management's periodic assessment of programming usefulness.</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from quarter to quarter and year to year due to original programming costs and/or content acquisition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Technical and operating expense was flat with an increase at 25/7 Media related to the resumption of production activities offset by a decrease in program rights write-offs at AMCNI as compared to the prior comparable period.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increased $71.2 million to $220.0 million for the three months ended September 30, 2021, as compared to the three months ended September 30, 2020.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154,125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2"/>
              </w:rPr>
              <w:t>77.1 %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31,043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26,044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4,999</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rPr>
              <w:t>19.2</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34,843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(2.4)</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220,011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148,769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71,242</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w w:val="92"/>
              </w:rPr>
              <w:t>47.9 %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2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Selling, general and administrative expense increased $67.1 million principally due to subscriber acquisition expenses related to our streaming services and higher advertising expenses.</w:t>
      </w:r>
    </w:p>
    <w:p>
      <w:pPr>
        <w:spacing w:after="0" w:line="6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promotions and marketing of original programming series.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Selling, general and administrative expense increased $5.0 million, primarily related to increased selling expenses, including commissions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AMCNI.</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 Inter-segment eliminations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corporate charges is due primarily to lower administrative costs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Depreciation and amortization expense decreased $4.1 million to $23.4 million for the three months ended September 30, 2021 as compared to the three months ended September 30, 2020.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5.3</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(2.8)</w:t>
            </w:r>
          </w:p>
        </w:tc>
      </w:tr>
      <w:tr>
        <w:trPr>
          <w:trHeight w:val="223"/>
        </w:trPr>
        <w:tc>
          <w:tcPr>
            <w:tcW w:w="50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decrease in depreciation and amortization expense in the Domestic Operations segment was primarily due to lower depreciation of equipment at our AMC Networks Broadcasting and Technology facilities.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Restructuring and other related charges of $0.8 million for the three months ended September 30, 2021 are associated with severance costs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AMCNI.</w:t>
      </w:r>
    </w:p>
    <w:p>
      <w:pPr>
        <w:spacing w:after="0" w:line="10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Restructuring and other related charges of $4.4 million for the three months ended September 30, 2020 primarily related to severance associated with previously announced restructuring activities.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12,503</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408.5</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(5.4)</w:t>
            </w:r>
          </w:p>
        </w:tc>
      </w:tr>
      <w:tr>
        <w:trPr>
          <w:trHeight w:val="223"/>
        </w:trPr>
        <w:tc>
          <w:tcPr>
            <w:tcW w:w="5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35.0 %</w:t>
            </w: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increase in operating income at the Domestic Operations segment was primarily attributable to an increase in revenue of $135.9 million partially offset by increases in selling, general and administrative expense of $67.1 million and technical and operating expense of $43.5 million.</w:t>
      </w:r>
    </w:p>
    <w:p>
      <w:pPr>
        <w:spacing w:after="0" w:line="3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operating income at the International and Other segment was primarily attributable to an increase in revenues of $18.5 million, partially offset by an increases selling, general and administrative expense of $5.0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35.0 %</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(2,939)</w:t>
            </w:r>
          </w:p>
        </w:tc>
        <w:tc>
          <w:tcPr>
            <w:tcW w:w="1680" w:type="dxa"/>
            <w:vAlign w:val="bottom"/>
            <w:gridSpan w:val="2"/>
          </w:tcPr>
          <w:p>
            <w:pPr>
              <w:jc w:val="right"/>
              <w:ind w:right="96"/>
              <w:spacing w:after="0"/>
              <w:rPr>
                <w:sz w:val="20"/>
                <w:szCs w:val="20"/>
                <w:color w:val="auto"/>
              </w:rPr>
            </w:pPr>
            <w:r>
              <w:rPr>
                <w:rFonts w:ascii="Arial" w:cs="Arial" w:eastAsia="Arial" w:hAnsi="Arial"/>
                <w:sz w:val="18"/>
                <w:szCs w:val="18"/>
                <w:color w:val="auto"/>
              </w:rPr>
              <w:t>(23.7)</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6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(15.0)</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(3,652)</w:t>
            </w:r>
          </w:p>
        </w:tc>
        <w:tc>
          <w:tcPr>
            <w:tcW w:w="1680" w:type="dxa"/>
            <w:vAlign w:val="bottom"/>
            <w:gridSpan w:val="2"/>
          </w:tcPr>
          <w:p>
            <w:pPr>
              <w:jc w:val="right"/>
              <w:ind w:right="96"/>
              <w:spacing w:after="0"/>
              <w:rPr>
                <w:sz w:val="20"/>
                <w:szCs w:val="20"/>
                <w:color w:val="auto"/>
              </w:rPr>
            </w:pPr>
            <w:r>
              <w:rPr>
                <w:rFonts w:ascii="Arial" w:cs="Arial" w:eastAsia="Arial" w:hAnsi="Arial"/>
                <w:sz w:val="18"/>
                <w:szCs w:val="18"/>
                <w:color w:val="auto"/>
              </w:rPr>
              <w:t>(82.9)</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28.9</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1680" w:type="dxa"/>
            <w:vAlign w:val="bottom"/>
            <w:tcBorders>
              <w:top w:val="single" w:sz="8" w:color="CCEEFF"/>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w w:val="92"/>
              </w:rPr>
              <w:t>21.1 %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AOI increased $39.2 million for the three months ended September 30, 2021 as compared to the three months ended September 30, 2020.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13,192</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147.9</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(1.9)</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AOI</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224,691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21.1 %</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increases in AOI at the Domestic Operations and the International and Other segments were primarily due to the increase in revenues, partially offset by higher technical and operating expenses and higher selling, general, and administrative expenses.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the factors discussed above impacting the variability in revenues and operating expenses, we expect AOI to vary from quarter to quarter.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interest expense, net of $1.3 million is primarily due to lower average interest rates on our outstanding senior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Miscellaneous, net was income of $0.1 million for the three months ended September 30, 2021 as compared to income of $11.1 million for the three months ended September 30, 2020. The decrease in miscellaneous, net income of $11.1 million was primarily related to an unfavorable variance in the foreign currency remeasurement of monetary assets and liabilities (principally intercompany loans) that are denominated in currencies other than the underlying functional currency of the applicable entity and lower gains from marketable equity securities and investments.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three months ended September 30, 2021, income tax expense was $40.7 million representing an effective tax rate of 26%. The effective tax rate differs from the federal statutory rate of 21% primarily due to state and local income tax expense, tax expense related to non-deductible compensation and tax expense for an increase in valuation allowances for foreign taxes and U.S. foreign tax credits, partially offset by a discrete tax benefit for excess tax benefits related to stock compensation and a tax benefit from foreign operations.</w:t>
      </w:r>
    </w:p>
    <w:p>
      <w:pPr>
        <w:spacing w:after="0" w:line="7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For the three months ended September 30, 2020, income tax expense was $52.2 million representing an effective tax rate of 43%. The effective tax rate differs from the federal statutory rate of 21% primarily due to tax expense resulting from an increase in valuation allowances for foreign taxes and U.S. foreign tax credits, tax expense from foreign operations, state and local income tax expense, tax expense related to non-deductible compensation and tax expense relating to uncertain tax positions (including accrued interest). The increase in valuation allowance is primarily due to a change in judgement about the realizability of foreign net operating losses and other deferred tax assets. Management considers the scheduled reversal of deferred tax liabilities (including the effect in available carryback and carryforward periods), projected taxable income, and tax-planning strategies in making this assessment.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2"/>
              </w:rPr>
              <w:t>Nine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53"/>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13"/>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1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12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1"/>
                <w:szCs w:val="11"/>
                <w:color w:val="auto"/>
              </w:rPr>
            </w:pPr>
          </w:p>
        </w:tc>
        <w:tc>
          <w:tcPr>
            <w:tcW w:w="10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2,034,681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239,218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Technical and operating (excluding depreciation</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997,677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960,379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37,298</w:t>
            </w:r>
          </w:p>
        </w:tc>
        <w:tc>
          <w:tcPr>
            <w:tcW w:w="118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610,164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488,581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121,583</w:t>
            </w:r>
          </w:p>
        </w:tc>
        <w:tc>
          <w:tcPr>
            <w:tcW w:w="1180" w:type="dxa"/>
            <w:vAlign w:val="bottom"/>
            <w:gridSpan w:val="2"/>
          </w:tcPr>
          <w:p>
            <w:pPr>
              <w:jc w:val="right"/>
              <w:ind w:right="136"/>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28,562</w:t>
            </w:r>
          </w:p>
        </w:tc>
        <w:tc>
          <w:tcPr>
            <w:tcW w:w="1180" w:type="dxa"/>
            <w:vAlign w:val="bottom"/>
            <w:gridSpan w:val="2"/>
          </w:tcPr>
          <w:p>
            <w:pPr>
              <w:jc w:val="right"/>
              <w:ind w:right="136"/>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1,847,609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174,177</w:t>
            </w:r>
          </w:p>
        </w:tc>
        <w:tc>
          <w:tcPr>
            <w:tcW w:w="1180" w:type="dxa"/>
            <w:vAlign w:val="bottom"/>
            <w:tcBorders>
              <w:bottom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65,041</w:t>
            </w: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29,722</w:t>
            </w: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w:t>
            </w:r>
          </w:p>
        </w:tc>
        <w:tc>
          <w:tcPr>
            <w:tcW w:w="118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55"/>
        </w:trPr>
        <w:tc>
          <w:tcPr>
            <w:tcW w:w="386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rPr>
              <w:t>Net income from operations before income</w:t>
            </w: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333,790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254,246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79,544</w:t>
            </w:r>
          </w:p>
        </w:tc>
        <w:tc>
          <w:tcPr>
            <w:tcW w:w="118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17,510</w:t>
            </w:r>
          </w:p>
        </w:tc>
        <w:tc>
          <w:tcPr>
            <w:tcW w:w="118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97,054</w:t>
            </w: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1180" w:type="dxa"/>
            <w:vAlign w:val="bottom"/>
            <w:tcBorders>
              <w:bottom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155"/>
        </w:trPr>
        <w:tc>
          <w:tcPr>
            <w:tcW w:w="3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233,557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145,268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88,289</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60.8 %</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b w:val="1"/>
          <w:bCs w:val="1"/>
          <w:color w:val="auto"/>
        </w:rPr>
        <w:t>Domestic Operations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2"/>
              </w:rPr>
              <w:t>Nine Months Ended 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3"/>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1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2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1,895,730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784,228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759,013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25,215</w:t>
            </w:r>
          </w:p>
        </w:tc>
        <w:tc>
          <w:tcPr>
            <w:tcW w:w="1380" w:type="dxa"/>
            <w:vAlign w:val="bottom"/>
            <w:gridSpan w:val="2"/>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411,442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296,043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115,399</w:t>
            </w:r>
          </w:p>
        </w:tc>
        <w:tc>
          <w:tcPr>
            <w:tcW w:w="1380" w:type="dxa"/>
            <w:vAlign w:val="bottom"/>
            <w:gridSpan w:val="2"/>
          </w:tcPr>
          <w:p>
            <w:pPr>
              <w:jc w:val="right"/>
              <w:ind w:right="135"/>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3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74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143,000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3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517,874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621,446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(103,572)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(1,372)</w:t>
            </w:r>
          </w:p>
        </w:tc>
        <w:tc>
          <w:tcPr>
            <w:tcW w:w="1380" w:type="dxa"/>
            <w:vAlign w:val="bottom"/>
            <w:gridSpan w:val="2"/>
          </w:tcPr>
          <w:p>
            <w:pPr>
              <w:jc w:val="right"/>
              <w:ind w:right="9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(4,630)</w:t>
            </w:r>
          </w:p>
        </w:tc>
        <w:tc>
          <w:tcPr>
            <w:tcW w:w="1380" w:type="dxa"/>
            <w:vAlign w:val="bottom"/>
            <w:gridSpan w:val="2"/>
          </w:tcPr>
          <w:p>
            <w:pPr>
              <w:jc w:val="right"/>
              <w:ind w:right="95"/>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AOI</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2"/>
              </w:rPr>
              <w:t>Nine Months Ended 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1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2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389,384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62,476</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227,437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211,682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140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93,859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18,539</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(114,438)</w:t>
            </w:r>
          </w:p>
        </w:tc>
        <w:tc>
          <w:tcPr>
            <w:tcW w:w="1400" w:type="dxa"/>
            <w:vAlign w:val="bottom"/>
            <w:gridSpan w:val="2"/>
          </w:tcPr>
          <w:p>
            <w:pPr>
              <w:jc w:val="right"/>
              <w:ind w:right="99"/>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150,505</w:t>
            </w:r>
          </w:p>
        </w:tc>
        <w:tc>
          <w:tcPr>
            <w:tcW w:w="1400" w:type="dxa"/>
            <w:vAlign w:val="bottom"/>
            <w:gridSpan w:val="2"/>
          </w:tcPr>
          <w:p>
            <w:pPr>
              <w:jc w:val="right"/>
              <w:ind w:right="99"/>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(6,919)</w:t>
            </w:r>
          </w:p>
        </w:tc>
        <w:tc>
          <w:tcPr>
            <w:tcW w:w="1400" w:type="dxa"/>
            <w:vAlign w:val="bottom"/>
            <w:gridSpan w:val="2"/>
          </w:tcPr>
          <w:p>
            <w:pPr>
              <w:jc w:val="right"/>
              <w:ind w:right="99"/>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(114,438)</w:t>
            </w:r>
          </w:p>
        </w:tc>
        <w:tc>
          <w:tcPr>
            <w:tcW w:w="1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13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40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net increased $239.2 million to $2,273.9 million for the nine months ended September 30, 2021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The net change by segment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1,895,730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1,721,690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10.1 %</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389,384</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326,908</w:t>
            </w:r>
          </w:p>
        </w:tc>
        <w:tc>
          <w:tcPr>
            <w:tcW w:w="1360" w:type="dxa"/>
            <w:vAlign w:val="bottom"/>
            <w:gridSpan w:val="2"/>
          </w:tcPr>
          <w:p>
            <w:pPr>
              <w:jc w:val="right"/>
              <w:ind w:right="139"/>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62,476</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19.1</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3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(19.4)</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2,273,899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2,034,681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239,218</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w w:val="92"/>
              </w:rPr>
              <w:t>11.8 %</w:t>
            </w:r>
          </w:p>
        </w:tc>
      </w:tr>
      <w:tr>
        <w:trPr>
          <w:trHeight w:val="21"/>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Domestic Operations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611,406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564,838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46,568</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1,284,324</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1,156,852</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127,472</w:t>
            </w:r>
          </w:p>
        </w:tc>
        <w:tc>
          <w:tcPr>
            <w:tcW w:w="138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11.0</w:t>
            </w:r>
          </w:p>
        </w:tc>
      </w:tr>
      <w:tr>
        <w:trPr>
          <w:trHeight w:val="248"/>
        </w:trPr>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1,895,730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1,721,690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left="980" w:hanging="324"/>
        <w:spacing w:after="0" w:line="259"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of $46.6 million in advertising revenues was primarily attributable to higher pricing and ad-supported streaming growth, partially offset by a reduction in the number of episodes of our original programming and lower ratings. Most of our advertising revenues vary based on the number and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980" w:hanging="324"/>
        <w:spacing w:after="0" w:line="272"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increase of $127.5 million in distribution and other revenues was primarily related to a 17% increase in subscription revenues driven by an increase in subscribers to our streaming services as well as the current year beneficial impact of a distribution agreement renewal. Excluding the current year beneficial impact, subscription revenues increased 14%. The increase in subscription revenues was partially offset by a 5% decrease in content licensing revenues related to the number of distributed original programs as compared to the prior comparable period. Subscription revenues vary based on the impact of renewals of affiliation agreements and streaming service subscription trends, and content licensing revenues vary based on the timing of availability of our programming to distributors. Because of these factors, we expect distribution revenues to vary from quarter to quarter.</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53,097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19,795</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37.3 %</w:t>
            </w: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316,492</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273,811</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42,681</w:t>
            </w:r>
          </w:p>
        </w:tc>
        <w:tc>
          <w:tcPr>
            <w:tcW w:w="138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color w:val="auto"/>
              </w:rPr>
              <w:t>15.6</w:t>
            </w: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389,384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326,908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62,476</w:t>
            </w:r>
          </w:p>
        </w:tc>
        <w:tc>
          <w:tcPr>
            <w:tcW w:w="13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92"/>
              </w:rPr>
              <w:t>19.1 %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advertising revenues is primarily related to higher pricing and an increase in ratings, as well as the favorable impact of foreign currency translation. The increase in distribution revenues related to the resumption of production activities at 25/7 Media and the favorable impact of foreign currency fluctuations at AMCNI.</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ind w:left="460"/>
        <w:spacing w:after="0"/>
        <w:rPr>
          <w:sz w:val="20"/>
          <w:szCs w:val="20"/>
          <w:color w:val="auto"/>
        </w:rPr>
      </w:pPr>
      <w:r>
        <w:rPr>
          <w:rFonts w:ascii="Arial" w:cs="Arial" w:eastAsia="Arial" w:hAnsi="Arial"/>
          <w:sz w:val="17"/>
          <w:szCs w:val="17"/>
          <w:color w:val="auto"/>
        </w:rPr>
        <w:t>Technical and operating expense (excluding depreciation and amortization) increased $37.3 million to $997.7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as compared to the nine months ended September 30, 2020. The net change by segment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5"/>
          </w:tcPr>
          <w:p>
            <w:pPr>
              <w:jc w:val="right"/>
              <w:ind w:right="613"/>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8"/>
        </w:trPr>
        <w:tc>
          <w:tcPr>
            <w:tcW w:w="2860" w:type="dxa"/>
            <w:vAlign w:val="bottom"/>
          </w:tcPr>
          <w:p>
            <w:pPr>
              <w:ind w:left="4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r>
      <w:tr>
        <w:trPr>
          <w:trHeight w:val="224"/>
        </w:trPr>
        <w:tc>
          <w:tcPr>
            <w:tcW w:w="28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Domestic Operations</w:t>
            </w:r>
          </w:p>
        </w:tc>
        <w:tc>
          <w:tcPr>
            <w:tcW w:w="8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784,228</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759,013</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25,215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60" w:type="dxa"/>
            <w:vAlign w:val="bottom"/>
          </w:tcPr>
          <w:p>
            <w:pPr>
              <w:ind w:left="480"/>
              <w:spacing w:after="0"/>
              <w:rPr>
                <w:sz w:val="20"/>
                <w:szCs w:val="20"/>
                <w:color w:val="auto"/>
              </w:rPr>
            </w:pPr>
            <w:r>
              <w:rPr>
                <w:rFonts w:ascii="Arial" w:cs="Arial" w:eastAsia="Arial" w:hAnsi="Arial"/>
                <w:sz w:val="18"/>
                <w:szCs w:val="18"/>
                <w:color w:val="auto"/>
              </w:rPr>
              <w:t>International and Other</w:t>
            </w:r>
          </w:p>
        </w:tc>
        <w:tc>
          <w:tcPr>
            <w:tcW w:w="840" w:type="dxa"/>
            <w:vAlign w:val="bottom"/>
          </w:tcPr>
          <w:p>
            <w:pPr>
              <w:spacing w:after="0"/>
              <w:rPr>
                <w:sz w:val="19"/>
                <w:szCs w:val="19"/>
                <w:color w:val="auto"/>
              </w:rPr>
            </w:pP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227,437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211,682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w w:val="98"/>
              </w:rPr>
              <w:t>15,755</w:t>
            </w:r>
          </w:p>
        </w:tc>
        <w:tc>
          <w:tcPr>
            <w:tcW w:w="1520" w:type="dxa"/>
            <w:vAlign w:val="bottom"/>
            <w:gridSpan w:val="2"/>
          </w:tcPr>
          <w:p>
            <w:pPr>
              <w:jc w:val="right"/>
              <w:ind w:right="339"/>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r>
      <w:tr>
        <w:trPr>
          <w:trHeight w:val="229"/>
        </w:trPr>
        <w:tc>
          <w:tcPr>
            <w:tcW w:w="2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Inter-segment Eliminations</w:t>
            </w: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(13,988)</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(10,316)</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1"/>
              </w:rPr>
              <w:t>(3,672)</w:t>
            </w:r>
          </w:p>
        </w:tc>
        <w:tc>
          <w:tcPr>
            <w:tcW w:w="152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CEEFF"/>
          </w:tcPr>
          <w:p>
            <w:pPr>
              <w:spacing w:after="0"/>
              <w:rPr>
                <w:sz w:val="19"/>
                <w:szCs w:val="19"/>
                <w:color w:val="auto"/>
              </w:rPr>
            </w:pPr>
          </w:p>
        </w:tc>
      </w:tr>
      <w:tr>
        <w:trPr>
          <w:trHeight w:val="223"/>
        </w:trPr>
        <w:tc>
          <w:tcPr>
            <w:tcW w:w="2860" w:type="dxa"/>
            <w:vAlign w:val="bottom"/>
          </w:tcPr>
          <w:p>
            <w:pPr>
              <w:ind w:left="8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997,677</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960,379</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8"/>
              </w:rPr>
              <w:t>37,298</w:t>
            </w:r>
          </w:p>
        </w:tc>
        <w:tc>
          <w:tcPr>
            <w:tcW w:w="1520" w:type="dxa"/>
            <w:vAlign w:val="bottom"/>
            <w:gridSpan w:val="2"/>
          </w:tcPr>
          <w:p>
            <w:pPr>
              <w:jc w:val="right"/>
              <w:ind w:right="339"/>
              <w:spacing w:after="0"/>
              <w:rPr>
                <w:sz w:val="20"/>
                <w:szCs w:val="20"/>
                <w:color w:val="auto"/>
              </w:rPr>
            </w:pPr>
            <w:r>
              <w:rPr>
                <w:rFonts w:ascii="Arial" w:cs="Arial" w:eastAsia="Arial" w:hAnsi="Arial"/>
                <w:sz w:val="18"/>
                <w:szCs w:val="18"/>
                <w:color w:val="auto"/>
              </w:rPr>
              <w:t>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223"/>
        </w:trPr>
        <w:tc>
          <w:tcPr>
            <w:tcW w:w="28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Percentage of revenues, net</w:t>
            </w: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43.9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47.2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increase in technical and operating expense of $25.2 million was due to an increase in other direct program costs, partially offset by a decrease in program amortization primarily attributable to the mix of original programming as compared to the prior comparable period. There were no significant program write-offs for the nine months ended September 30, 2021. There was $31.6 million of program write-offs for nine months ended September 30, 2020. Programming write-offs are based on management's periodic assessment of programming usefulness.</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from quarter to quarter and year to year due to original programming costs and/or content acquisition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increase in technical and operating expense of $15.8 million was primarily due to an increase at 25/7 Media related to the resumption of production activities.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increased $121.6 million to $610.2 million for the nine months ended September 30, 2021, as compared to the nine months ended September 30, 2020. The net change by segment was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411,442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296,043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39.0 %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93,859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75,320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18,539</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rPr>
              <w:t>24.6</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104,863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117,218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w:t>
            </w:r>
          </w:p>
        </w:tc>
        <w:tc>
          <w:tcPr>
            <w:tcW w:w="1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(10.5)</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610,164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488,581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121,583</w:t>
            </w: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w w:val="92"/>
              </w:rPr>
              <w:t>24.9 %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increased $115.4 million principally due to higher advertising and subscriber acquisition expenses related to our streaming services.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promotions and marketing of original programming series.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Selling, general and administrative expense increased $18.5 million primarily related to increased selling expenses, including commissions at AMCNI, partially offset by a decrease in administrative expense at 25/7 Media related to the temporary closure of comedy venues (until the spin-off in March 2021) as a result of the COVID-19 pandemic.</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9" w:name="page40"/>
    <w:bookmarkEnd w:id="39"/>
    <w:p>
      <w:pPr>
        <w:ind w:left="460"/>
        <w:spacing w:after="0"/>
        <w:rPr>
          <w:sz w:val="20"/>
          <w:szCs w:val="20"/>
          <w:color w:val="auto"/>
        </w:rPr>
      </w:pPr>
      <w:r>
        <w:rPr>
          <w:rFonts w:ascii="Arial" w:cs="Arial" w:eastAsia="Arial" w:hAnsi="Arial"/>
          <w:sz w:val="18"/>
          <w:szCs w:val="18"/>
          <w:i w:val="1"/>
          <w:iCs w:val="1"/>
          <w:color w:val="auto"/>
        </w:rPr>
        <w:t>Corporate / Inter-segment eliminations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corporate charges is due primarily to lower stock-based compensation expense and lower administrative costs.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Depreciation and amortization expense decreased $8.9 million to $71.3 million for the nine months ended September 30, 2021, as compared to the nine months ended September 30, 2020.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(6,919)</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(32.3)</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(3.0)</w:t>
            </w:r>
          </w:p>
        </w:tc>
      </w:tr>
      <w:tr>
        <w:trPr>
          <w:trHeight w:val="223"/>
        </w:trPr>
        <w:tc>
          <w:tcPr>
            <w:tcW w:w="50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80,182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decrease in depreciation and amortization expense in the International and Other segment was primarily due to the lower carrying values of long-lived assets resulting from the impairment charge recognized in June 2020.</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and other charges</w:t>
      </w:r>
    </w:p>
    <w:p>
      <w:pPr>
        <w:spacing w:after="0" w:line="10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The consolidated cases were initially brought in 2013 and 2018 and the trial of the consolidated cases was scheduled to commence on April 4, 2022. The Settlement Agreement provides for a cash payment of $200 million (the “Settlement Payment”) to the Plaintiffs and future revenue sharing related to certain future streaming exhibition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Fear 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With regard to the Settlement Payment, the Company recorded a charge of $143.0 million, included in Impairment and other charges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for the extinguishment of Plaintiffs’ rights to any compensation in connection with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any related programs and the dismissal of the actions with prejudice, which amount is net of $57.0 million of ordinary course accrued participations.</w:t>
      </w:r>
    </w:p>
    <w:p>
      <w:pPr>
        <w:spacing w:after="0" w:line="56"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our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202" w:lineRule="exact"/>
        <w:rPr>
          <w:sz w:val="20"/>
          <w:szCs w:val="20"/>
          <w:color w:val="auto"/>
        </w:rPr>
      </w:pPr>
    </w:p>
    <w:p>
      <w:pPr>
        <w:jc w:val="both"/>
        <w:ind w:firstLine="405"/>
        <w:spacing w:after="0" w:line="225" w:lineRule="auto"/>
        <w:rPr>
          <w:sz w:val="20"/>
          <w:szCs w:val="20"/>
          <w:color w:val="auto"/>
        </w:rPr>
      </w:pPr>
      <w:r>
        <w:rPr>
          <w:rFonts w:ascii="Arial" w:cs="Arial" w:eastAsia="Arial" w:hAnsi="Arial"/>
          <w:sz w:val="18"/>
          <w:szCs w:val="18"/>
          <w:color w:val="auto"/>
        </w:rPr>
        <w:t>In June 2020, as a result of the continuing impact of the COVID-19 pandemic, we qualitatively assessed whether it was more likely than not that goodwill and long-lived assets were impaired as of June 30, 2020. Based on our then current projections and updated forecasts, we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$105.3 million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229" w:lineRule="exact"/>
        <w:rPr>
          <w:sz w:val="20"/>
          <w:szCs w:val="20"/>
          <w:color w:val="auto"/>
        </w:rPr>
      </w:pPr>
    </w:p>
    <w:p>
      <w:pPr>
        <w:jc w:val="both"/>
        <w:ind w:firstLine="567"/>
        <w:spacing w:after="0" w:line="235" w:lineRule="auto"/>
        <w:rPr>
          <w:sz w:val="20"/>
          <w:szCs w:val="20"/>
          <w:color w:val="auto"/>
        </w:rPr>
      </w:pPr>
      <w:r>
        <w:rPr>
          <w:rFonts w:ascii="Arial" w:cs="Arial" w:eastAsia="Arial" w:hAnsi="Arial"/>
          <w:sz w:val="18"/>
          <w:szCs w:val="18"/>
          <w:color w:val="auto"/>
        </w:rPr>
        <w:t>Restructuring and other related charges of $9.5 million for the nine months ended September 30, 2021 consisted of $4.3 million of severance costs associated with the restructuring plan announced in November 2020 and $5.2 million at AMCNI related to severance costs and the termination of distribution in certain international territories.</w:t>
      </w:r>
    </w:p>
    <w:p>
      <w:pPr>
        <w:spacing w:after="0" w:line="202" w:lineRule="exact"/>
        <w:rPr>
          <w:sz w:val="20"/>
          <w:szCs w:val="20"/>
          <w:color w:val="auto"/>
        </w:rPr>
      </w:pPr>
    </w:p>
    <w:p>
      <w:pPr>
        <w:jc w:val="both"/>
        <w:ind w:firstLine="567"/>
        <w:spacing w:after="0" w:line="235" w:lineRule="auto"/>
        <w:rPr>
          <w:sz w:val="20"/>
          <w:szCs w:val="20"/>
          <w:color w:val="auto"/>
        </w:rPr>
      </w:pPr>
      <w:r>
        <w:rPr>
          <w:rFonts w:ascii="Arial" w:cs="Arial" w:eastAsia="Arial" w:hAnsi="Arial"/>
          <w:sz w:val="18"/>
          <w:szCs w:val="18"/>
          <w:color w:val="auto"/>
        </w:rPr>
        <w:t>Restructuring and other related charges of $13.9 million for the nine months ended September 30, 2020 primarily consisted of charges at AMCNI of $6.2 million related to costs associated with termination of distribution in certain territories and charges of $7.6 million related to severance associated with previously announced restructuring activities.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color w:val="auto"/>
        </w:rPr>
        <w:t>Operating Income (Loss)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(118,140)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150,505</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(127.4)</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(12.7)</w:t>
            </w:r>
          </w:p>
        </w:tc>
      </w:tr>
      <w:tr>
        <w:trPr>
          <w:trHeight w:val="223"/>
        </w:trPr>
        <w:tc>
          <w:tcPr>
            <w:tcW w:w="50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18.0 %</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operating income at the Domestic Operations segment was primarily attributable to the $143.0 million charge taken in connection with the Settlement Agreement discussed above, as well as increases in selling, general and administrative expense of $115.4 million and technical and operating expense of $25.2 million, partially offset by an increase in revenue of $174.0 million.</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operating income at the International and Other segment was primarily attributable to a decreases in impairment and other charges of $114.4 million, as well as an increase in revenues of $62.5 million, partially offset by increases in technical and operating expense of $15.8 million, and selling, general and administrative expense of $18.5 million.</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18.0 %</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(3,978)</w:t>
            </w:r>
          </w:p>
        </w:tc>
        <w:tc>
          <w:tcPr>
            <w:tcW w:w="1680" w:type="dxa"/>
            <w:vAlign w:val="bottom"/>
            <w:gridSpan w:val="2"/>
          </w:tcPr>
          <w:p>
            <w:pPr>
              <w:jc w:val="right"/>
              <w:ind w:right="96"/>
              <w:spacing w:after="0"/>
              <w:rPr>
                <w:sz w:val="20"/>
                <w:szCs w:val="20"/>
                <w:color w:val="auto"/>
              </w:rPr>
            </w:pPr>
            <w:r>
              <w:rPr>
                <w:rFonts w:ascii="Arial" w:cs="Arial" w:eastAsia="Arial" w:hAnsi="Arial"/>
                <w:sz w:val="18"/>
                <w:szCs w:val="18"/>
                <w:color w:val="auto"/>
              </w:rPr>
              <w:t>(9.2)</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6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(11.1)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28,562</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21.9</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6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(31.3)</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2,223</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51.0</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computing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AOI</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633,223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80,084</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w w:val="92"/>
              </w:rPr>
              <w:t>12.6 %</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AOI increased $80.1 million for the nine months ended September 30, 2021 as compared to the nine months ended September 30, 2020.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28,434</w:t>
            </w:r>
          </w:p>
        </w:tc>
        <w:tc>
          <w:tcPr>
            <w:tcW w:w="1680" w:type="dxa"/>
            <w:vAlign w:val="bottom"/>
            <w:gridSpan w:val="2"/>
          </w:tcPr>
          <w:p>
            <w:pPr>
              <w:jc w:val="right"/>
              <w:ind w:right="139"/>
              <w:spacing w:after="0"/>
              <w:rPr>
                <w:sz w:val="20"/>
                <w:szCs w:val="20"/>
                <w:color w:val="auto"/>
              </w:rPr>
            </w:pPr>
            <w:r>
              <w:rPr>
                <w:rFonts w:ascii="Arial" w:cs="Arial" w:eastAsia="Arial" w:hAnsi="Arial"/>
                <w:sz w:val="18"/>
                <w:szCs w:val="18"/>
                <w:color w:val="auto"/>
              </w:rPr>
              <w:t>67.2</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1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(11.8)</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AOI</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713,307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633,223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12.6 %</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increase in AOI at the Domestic Operations segment and the International and Other segment was primarily due to the increase in revenues partially offset by higher selling, general, and administrative expenses and higher technical and operating expenses.</w:t>
      </w:r>
    </w:p>
    <w:p>
      <w:pPr>
        <w:spacing w:after="0" w:line="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As a result of the factors discussed above impacting the variability in revenues and operating expenses, we expect AOI to vary from quarter to quarter.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interest expense, net of $3.9 million is primarily due to lower average interest rates on our outstanding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2021, we redeemed (i) the remaining $400 million principal amount of our 4.75% senior notes due December 2022 and (ii) $600 million principal amount of our 5.00% senior notes due April 2024. In connection with the redemptions, we incurred a loss on extinguishment of debt for the quarter ended March 31, 2021 of $22.1 million representing a redemption premium on the 5.00% senior notes due 2024, and the write-off of a portion of the unamortized discount and deferred financing costs related to both issuances.</w:t>
      </w:r>
    </w:p>
    <w:p>
      <w:pPr>
        <w:spacing w:after="0" w:line="79"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In March 2020, we redeemed $200 million principal amount of the outstanding $600 million principal amount of our 4.75% Notes due December 2022. The loss on extinguishment of debt for the nine months ended March 31, 2020 of $2.9 million represents the redemption premium, the write-off of a portion of the unamortized discount and deferred financing costs.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increase in miscellaneous income, net of $29.7 million for the nine months ended September 30, 2021 as compared to the nine months ended September 30, 2020 was primarily related to a favorable variance in the foreign currency remeasurement of monetary assets and liabilities (principally intercompany loans) that are denominated in currencies other than the underlying functional currency of the applicable entity, as well as a net gain associated with various investments compared to the prior year.</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nine months ended September 30, 2021, income tax expense was $78.0 million representing an effective tax rate of 23%. The effective tax rate differs from the federal statutory rate of 21% primarily due to state and local income tax expense, tax expense related to non-deductible compensation and tax expense for an increase in valuation allowances for foreign taxes and U.S. foreign tax credits, partially offset by a discrete tax benefit for excess tax benefits related to stock compensation and a tax benefit from foreign operations.</w:t>
      </w:r>
    </w:p>
    <w:p>
      <w:pPr>
        <w:spacing w:after="0" w:line="79" w:lineRule="exact"/>
        <w:rPr>
          <w:sz w:val="20"/>
          <w:szCs w:val="20"/>
          <w:color w:val="auto"/>
        </w:rPr>
      </w:pPr>
    </w:p>
    <w:p>
      <w:pPr>
        <w:jc w:val="both"/>
        <w:ind w:firstLine="400"/>
        <w:spacing w:after="0" w:line="254" w:lineRule="auto"/>
        <w:rPr>
          <w:sz w:val="20"/>
          <w:szCs w:val="20"/>
          <w:color w:val="auto"/>
        </w:rPr>
      </w:pPr>
      <w:r>
        <w:rPr>
          <w:rFonts w:ascii="Arial" w:cs="Arial" w:eastAsia="Arial" w:hAnsi="Arial"/>
          <w:sz w:val="18"/>
          <w:szCs w:val="18"/>
          <w:color w:val="auto"/>
        </w:rPr>
        <w:t>For the nine months ended September 30, 2020, income tax expense was $95.5 million representing an effective tax rate of 38%. The effective tax rate differs from the federal statutory rate of 21% primarily due to tax expense resulting from an increase in valuation allowances for foreign taxes and U.S. foreign tax credits, tax expense from foreign operations, state and local income tax expense, tax expense related to non-deductible compensation, partially offset by a tax benefit relating to uncertain tax positions (including accrued interest). The tax benefit relating to uncertain tax positions is primarily due to audit settlements and the filing of state income tax returns under voluntary disclosure agreements. The increase in valuation allowance is primarily due to a change in judgement about the realizability of foreign net operating losses and other deferred tax assets. Management considers the scheduled reversal of deferred tax liabilities (including the effect in available carryback and carryforward periods), projected taxable income, and tax-planning strategies in making this assessment.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8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On February 8, 2021, the Company issued $1.0 billion in aggregate principal amount of 4.25% senior notes due February 2029 (the “4.25% Notes due 2029”) and received net proceeds of $982.3 million, after deducting underwriting discounts and commissions and expenses. The Company used such proceeds to redeem (i) the remaining $400 million principal amount of the Company’s 4.75% senior notes due December 2022 and (ii) $600 million principal amount of the Company’s 5.00% senior notes due April 2024 on February 26, 2021 (the "Redemption Date"). The 4.75% senior notes due December 2022 were redeemed at a redemption price of 100.000% of the principal amount of such notes and the 5.00% senior notes due April 2024 were redeemed at a redemption price of 102.500% of the principal amount of such notes, in each case, plus accrued and unpaid interest to, but excluding, the Redemption Date.</w:t>
      </w:r>
    </w:p>
    <w:p>
      <w:pPr>
        <w:spacing w:after="0" w:line="8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8, 2021, the Company entered into Amendment No. 1 (“Amendment No. 1”) to its existing credit agreement (the "Credit Agreement").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jc w:val="both"/>
        <w:ind w:firstLine="445"/>
        <w:spacing w:after="0" w:line="259" w:lineRule="auto"/>
        <w:rPr>
          <w:sz w:val="20"/>
          <w:szCs w:val="20"/>
          <w:color w:val="auto"/>
        </w:rPr>
      </w:pPr>
      <w:r>
        <w:rPr>
          <w:rFonts w:ascii="Arial" w:cs="Arial" w:eastAsia="Arial" w:hAnsi="Arial"/>
          <w:sz w:val="18"/>
          <w:szCs w:val="18"/>
          <w:color w:val="auto"/>
        </w:rPr>
        <w:t>Our Board of Directors has authorized a program to repurchase up to $1.5 billion of our outstanding shares of common stock (the "Stock Repurchase Program"). The Stock Repurchase Program has no pre-established closing date and may be suspended or discontinued at any time. For the nine months ended September 30, 2021, we did not repurchase any of our Class A common stock. As of September 30, 2021, we had $135.3 million of authorization remaining for repurchase under the Stock Repurchase Program.</w:t>
      </w:r>
    </w:p>
    <w:p>
      <w:pPr>
        <w:spacing w:after="0" w:line="7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Although impacted by the COVID-19 pandemic, we continue to increase our investment in original programming, the funding of which generally occurs six to nine months in advance of a program's airing.</w:t>
      </w:r>
    </w:p>
    <w:p>
      <w:pPr>
        <w:spacing w:after="0" w:line="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September 30, 2021, our consolidated cash and cash equivalents balance includes approximately $273.0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6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2020 Form 10-K.</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revolving credit facility was not drawn upon at September 30, 2021.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September 30,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is a summary of cash flows provided by (used in) operating, investing and financing activities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184"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20320</wp:posOffset>
            </wp:positionV>
            <wp:extent cx="22974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644,087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(24,427)</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(364,744)</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254,916</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Net cash provided by operating activities amounted to $44.0 million for the nine months ended September 30, 2021 as compared to $644.1 million for the nine months ended September 30, 2020. Net cash provided by operating activities for the nine months ended September 30, 2021 primarily resulted from $1,050.9 million of net income before amortization of program rights, depreciation and amortization, and other non-cash items, as well as a decrease in accounts receivable of $38.5 million and an increase in accounts payable of $12.1 million, which were partially offset by payments for program rights of $967.2 million, an increase in deferred carriage fees of $29.2 million, and an increase in prepaid expense and other assets of $62.8 million. Changes in all other assets and liabilities resulted in an increase of $1.7 million.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operating activities amounted to $644.1 million for the nine months ended September 30, 2020 as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7"/>
          <w:szCs w:val="17"/>
          <w:color w:val="auto"/>
        </w:rPr>
        <w:t>compared to $400.4 million for the nine months ended September 30, 2019. Net cash provided by operating activities for the nine months ended September 30, 2020 primarily resulted from $1,087.2 million of net income before amortization of program rights, depreciation and amortization, and other non-cash items, which was partially offset by payments for program rights of $565.3 million, a decrease in accounts payable, accrued expenses and other liabilities of $49.3 million primarily related to lower employee related liabilities and an increase in deferred carriage fees payable of $15.1 million. In addition, net cash provided by operating activities increased as a result of a decrease in accounts receivable of $92.3 million, a decrease in prepaid expense and other assets of $79.1 million primarily related to a decrease in long-term receivables and an increase of $17.3 million in income taxes payable. Changes in all other assets and liabilities resulted in a decrease of $2.2 million.</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Net cash provided by (used in) investing activities for the nine months ended September 30, 2021 and 2020 was $30.9 million and $(24.4) million, respectively. For the nine months ended September 30, 2021, cash provided by investing activities included proceeds received from the sale of an investment of $95.4 million and the collection of a loan for $20.0 million, partially offset by the acquisition of equity securities of $28.4 million, payments for the acquisition of a business of $19.1 million, and capital expenditures of $30.0 million. All other changes in investing activities resulted in an decrease of $7.0 million. For the nine months ended September 30, 2020, cash used in investing activities included capital expenditures of $35.0 million, partially offset by partial proceeds received from the sale of an investment of $10.0 million. All other changes in investing activities resulted in an increase of $0.6 million.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used in financing activities amounted to $66.6 million for the nine months ended September 30, 2021 and primarily consisted of principal payments, net of proceeds, on long-term debt (including the redemption of $400 million of 4.75% Notes due December 2022 and $600 million of 5.00% Notes due April 2024) of $29.0 million, taxes paid in lieu of shares issued for equity-based compensation of $34.6 million, distributions to noncontrolling interests of $14.9 million, and payments on finance leases of $2.9 million, partially offset by proceeds from the exercise of stock options of $12.1 million and contributions from noncontrolling interests of $2.7 million.</w:t>
      </w:r>
    </w:p>
    <w:p>
      <w:pPr>
        <w:spacing w:after="0" w:line="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Net cash used in financing activities amounted to $364.7 million for the nine months ended September 30, 2020 and primarily consisted of principal payments, net of proceeds, on long-term debt (including the redemption of $200 million of 4.75% Notes due 2022), of $236.5 million, purchases of our common stock of $102.9 million, taxes paid in lieu of shares issued for equity-based compensation of $8.9 million, distributions to noncontrolling interests of $14.0 million, and payments on finance leases of $2.4 million.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September 30, 2021, our contractual obligations not reflected on the condensed consolidated balance sheet increased $31.1 million, as compared to December 31, 2020, to $1,043.0 million. The increase primarily relates to additional commitments for program rights.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Debt of AMC Networks as of September 30, 2021 included $400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right="131"/>
              <w:spacing w:after="0"/>
              <w:rPr>
                <w:sz w:val="20"/>
                <w:szCs w:val="20"/>
                <w:color w:val="auto"/>
              </w:rPr>
            </w:pPr>
            <w:r>
              <w:rPr>
                <w:rFonts w:ascii="Arial" w:cs="Arial" w:eastAsia="Arial" w:hAnsi="Arial"/>
                <w:sz w:val="16"/>
                <w:szCs w:val="16"/>
                <w:b w:val="1"/>
                <w:bCs w:val="1"/>
                <w:color w:val="auto"/>
                <w:w w:val="91"/>
              </w:rPr>
              <w:t>Nine Months Ended September 30, 2021</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 September 30, 2020</w:t>
            </w:r>
          </w:p>
        </w:tc>
        <w:tc>
          <w:tcPr>
            <w:tcW w:w="0" w:type="dxa"/>
            <w:vAlign w:val="bottom"/>
          </w:tcPr>
          <w:p>
            <w:pPr>
              <w:spacing w:after="0"/>
              <w:rPr>
                <w:sz w:val="1"/>
                <w:szCs w:val="1"/>
                <w:color w:val="auto"/>
              </w:rPr>
            </w:pPr>
          </w:p>
        </w:tc>
      </w:tr>
      <w:tr>
        <w:trPr>
          <w:trHeight w:val="41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1,403,731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1,211,830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976,117</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427,614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297,357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422,489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228,499</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341,365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334,838</w:t>
            </w:r>
          </w:p>
        </w:tc>
        <w:tc>
          <w:tcPr>
            <w:tcW w:w="0" w:type="dxa"/>
            <w:vAlign w:val="bottom"/>
          </w:tcPr>
          <w:p>
            <w:pPr>
              <w:spacing w:after="0"/>
              <w:rPr>
                <w:sz w:val="1"/>
                <w:szCs w:val="1"/>
                <w:color w:val="auto"/>
              </w:rPr>
            </w:pPr>
          </w:p>
        </w:tc>
      </w:tr>
      <w:tr>
        <w:trPr>
          <w:trHeight w:val="81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89"/>
              </w:rPr>
              <w:t>September 30, 2021</w:t>
            </w:r>
          </w:p>
        </w:tc>
        <w:tc>
          <w:tcPr>
            <w:tcW w:w="240" w:type="dxa"/>
            <w:vAlign w:val="bottom"/>
          </w:tcPr>
          <w:p>
            <w:pPr>
              <w:spacing w:after="0"/>
              <w:rPr>
                <w:sz w:val="24"/>
                <w:szCs w:val="24"/>
                <w:color w:val="auto"/>
              </w:rPr>
            </w:pPr>
          </w:p>
        </w:tc>
        <w:tc>
          <w:tcPr>
            <w:tcW w:w="3720" w:type="dxa"/>
            <w:vAlign w:val="bottom"/>
            <w:gridSpan w:val="4"/>
          </w:tcPr>
          <w:p>
            <w:pPr>
              <w:jc w:val="right"/>
              <w:ind w:right="1211"/>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25,749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74,649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1,291,630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3,974,545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3,593,220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3,729,996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3,151,581</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65,191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563,435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124,886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545,105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3,023,726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2020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significant accounting policies since December 31, 2020.</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discuss our critical accounting estimates in Item 7, "Management's Discussion and Analysis of Financial Condition and Results of Operations," in our 2020 Form 10-K. There have been no significant changes in our critical accounting estimates since December 31, 2020.</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September 30, 2021, the carrying value of our fixed rate debt of $2.17 billion was less than its fair value of $2.22 billion by approximately $45.2 million. The fair value of these financial instruments is estimated based on reference to quoted market prices for these or comparable securities. A hypothetical 100 basis point decrease in interest rates prevailing at September 30, 2021 would increase the estimated fair value of our fixed rate debt by approximately $73.6 million to approximately $2.29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6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of September 30, 2021, we had $2.8 billion of debt outstanding (excluding finance leases), of which $0.7 billion is outstanding under our loan facility and is subject to variable interest rates (before consideration of the interest rate swaps contracts described below).</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2021, we had interest rate swap contracts outstanding with notional amounts aggregating $100 million. The aggregate fair value of interest rate swap contracts at September 30, 2021 was a net liability of $0.6 million. As a result of these transactions, the interest rate paid on approximately 80% of our debt (excluding finance leases) as of September 30, 2021 is effectively fixed (77% being fixed rate obligations and 3% effectively fixed through utilization of these interest rate swap contracts).</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hypothetical 100 basis point increase in interest rates prevailing at September 30, 2021 would not have a material impact on our annual interest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$0.4 million loss for the three months ended September 30, 2021 and a $6.1 million gain for the nine months ended September 30, 2021 related to foreign currency transactions. Such amounts are included in miscellaneous, net in the condensed consolidated statement of income.</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color w:val="auto"/>
        </w:rPr>
        <w:t>a negative impact on our comprehensive income (loss) and equity with respect to our holdings solely as a result of changes in foreign currency exchange rates.</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September 30, 2021,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three months ended September 30, 2021,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See Note 15, Commitments and Contingencies to the condensed consolidated financial statements included in this Quarterly Report on Form 10-Q for a description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For the nine months ended September 30, 2021, the Company did not repurchase any of its Class A common stock. As of September 30, 2021, the Company had $135.3 million of authorization remaining for repurchase under the Stock Repurchase Program.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Index to Exhibits.</w:t>
      </w:r>
    </w:p>
    <w:p>
      <w:pPr>
        <w:spacing w:after="0" w:line="140"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10.1</w:t>
            </w:r>
          </w:p>
        </w:tc>
        <w:tc>
          <w:tcPr>
            <w:tcW w:w="10220" w:type="dxa"/>
            <w:vAlign w:val="bottom"/>
            <w:gridSpan w:val="6"/>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Amendment, dated August 23, 2021, to Amended and Restated Employment Agreement, dated December 11, 2020, by and between AMC</w:t>
              </w:r>
            </w:hyperlink>
          </w:p>
        </w:tc>
      </w:tr>
      <w:tr>
        <w:trPr>
          <w:trHeight w:val="156"/>
        </w:trPr>
        <w:tc>
          <w:tcPr>
            <w:tcW w:w="920" w:type="dxa"/>
            <w:vAlign w:val="bottom"/>
          </w:tcPr>
          <w:p>
            <w:pPr>
              <w:spacing w:after="0"/>
              <w:rPr>
                <w:sz w:val="13"/>
                <w:szCs w:val="13"/>
                <w:color w:val="auto"/>
              </w:rPr>
            </w:pPr>
          </w:p>
        </w:tc>
        <w:tc>
          <w:tcPr>
            <w:tcW w:w="2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50">
              <w:r>
                <w:rPr>
                  <w:rFonts w:ascii="Arial" w:cs="Arial" w:eastAsia="Arial" w:hAnsi="Arial"/>
                  <w:sz w:val="18"/>
                  <w:szCs w:val="18"/>
                  <w:color w:val="0000FF"/>
                  <w:w w:val="88"/>
                </w:rPr>
                <w:t>Networks Inc. and Joshua W. Sapan</w:t>
              </w:r>
            </w:hyperlink>
          </w:p>
        </w:tc>
        <w:tc>
          <w:tcPr>
            <w:tcW w:w="76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10.2</w:t>
            </w:r>
          </w:p>
        </w:tc>
        <w:tc>
          <w:tcPr>
            <w:tcW w:w="10220" w:type="dxa"/>
            <w:vAlign w:val="bottom"/>
            <w:gridSpan w:val="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Employment Agreement, dated August 23, 2021, by and between AMC Networks Inc. and Matthew Blank</w:t>
              </w:r>
            </w:hyperlink>
          </w:p>
        </w:tc>
      </w:tr>
      <w:tr>
        <w:trPr>
          <w:trHeight w:val="20"/>
        </w:trPr>
        <w:tc>
          <w:tcPr>
            <w:tcW w:w="920" w:type="dxa"/>
            <w:vAlign w:val="bottom"/>
          </w:tcPr>
          <w:p>
            <w:pPr>
              <w:spacing w:after="0" w:line="20" w:lineRule="exact"/>
              <w:rPr>
                <w:sz w:val="1"/>
                <w:szCs w:val="1"/>
                <w:color w:val="auto"/>
              </w:rPr>
            </w:pPr>
          </w:p>
        </w:tc>
        <w:tc>
          <w:tcPr>
            <w:tcW w:w="77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r>
      <w:tr>
        <w:trPr>
          <w:trHeight w:val="264"/>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10.3</w:t>
            </w:r>
          </w:p>
        </w:tc>
        <w:tc>
          <w:tcPr>
            <w:tcW w:w="80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65">
              <w:r>
                <w:rPr>
                  <w:rFonts w:ascii="Arial" w:cs="Arial" w:eastAsia="Arial" w:hAnsi="Arial"/>
                  <w:sz w:val="18"/>
                  <w:szCs w:val="18"/>
                  <w:color w:val="0000FF"/>
                  <w:w w:val="91"/>
                </w:rPr>
                <w:t>Employment Agreement, dated August 24, 2021, by and between AMC Networks Inc. and Michael J. Sherin III</w:t>
              </w:r>
            </w:hyperlink>
          </w:p>
        </w:tc>
        <w:tc>
          <w:tcPr>
            <w:tcW w:w="2140" w:type="dxa"/>
            <w:vAlign w:val="bottom"/>
            <w:gridSpan w:val="2"/>
          </w:tcPr>
          <w:p>
            <w:pPr>
              <w:spacing w:after="0"/>
              <w:rPr>
                <w:sz w:val="22"/>
                <w:szCs w:val="22"/>
                <w:color w:val="auto"/>
              </w:rPr>
            </w:pPr>
          </w:p>
        </w:tc>
      </w:tr>
      <w:tr>
        <w:trPr>
          <w:trHeight w:val="263"/>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10.4</w:t>
            </w:r>
          </w:p>
        </w:tc>
        <w:tc>
          <w:tcPr>
            <w:tcW w:w="10220" w:type="dxa"/>
            <w:vAlign w:val="bottom"/>
            <w:gridSpan w:val="6"/>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Separation Agreement, dated September 28, 2021, by and between AMC Networks Inc. and Edward A. Carroll</w:t>
              </w:r>
            </w:hyperlink>
          </w:p>
        </w:tc>
      </w:tr>
      <w:tr>
        <w:trPr>
          <w:trHeight w:val="20"/>
        </w:trPr>
        <w:tc>
          <w:tcPr>
            <w:tcW w:w="92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1020" w:hanging="913"/>
        <w:spacing w:after="0"/>
        <w:tabs>
          <w:tab w:leader="none" w:pos="1020" w:val="left"/>
        </w:tabs>
        <w:numPr>
          <w:ilvl w:val="0"/>
          <w:numId w:val="13"/>
        </w:numPr>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Guarantor Subsidiaries of the Registrant</w:t>
        </w:r>
      </w:hyperlink>
    </w:p>
    <w:p>
      <w:pPr>
        <w:spacing w:after="0" w:line="5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Certification of Chief Executive Officer pursuant to Section 302 of the Sarbanes-Oxley Act of 2002.</w:t>
              </w:r>
            </w:hyperlink>
          </w:p>
        </w:tc>
      </w:tr>
      <w:tr>
        <w:trPr>
          <w:trHeight w:val="263"/>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31.2</w:t>
            </w:r>
          </w:p>
        </w:tc>
        <w:tc>
          <w:tcPr>
            <w:tcW w:w="7240" w:type="dxa"/>
            <w:vAlign w:val="bottom"/>
            <w:gridSpan w:val="2"/>
          </w:tcPr>
          <w:p>
            <w:pPr>
              <w:spacing w:after="0"/>
              <w:rPr>
                <w:rFonts w:ascii="Arial" w:cs="Arial" w:eastAsia="Arial" w:hAnsi="Arial"/>
                <w:sz w:val="18"/>
                <w:szCs w:val="18"/>
                <w:color w:val="0000FF"/>
                <w:w w:val="92"/>
              </w:rPr>
            </w:pPr>
            <w:hyperlink w:anchor="page93">
              <w:r>
                <w:rPr>
                  <w:rFonts w:ascii="Arial" w:cs="Arial" w:eastAsia="Arial" w:hAnsi="Arial"/>
                  <w:sz w:val="18"/>
                  <w:szCs w:val="18"/>
                  <w:color w:val="0000FF"/>
                  <w:w w:val="92"/>
                </w:rPr>
                <w:t>Certification of Chief Financial Officer pursuant to Section 302 of the Sarbanes-Oxley Act of 2002.</w:t>
              </w:r>
            </w:hyperlink>
          </w:p>
        </w:tc>
      </w:tr>
      <w:tr>
        <w:trPr>
          <w:trHeight w:val="20"/>
        </w:trPr>
        <w:tc>
          <w:tcPr>
            <w:tcW w:w="92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1020" w:right="40" w:hanging="913"/>
        <w:spacing w:after="0" w:line="235" w:lineRule="auto"/>
        <w:tabs>
          <w:tab w:leader="none" w:pos="1020" w:val="left"/>
        </w:tabs>
        <w:numPr>
          <w:ilvl w:val="0"/>
          <w:numId w:val="14"/>
        </w:numPr>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Section 1350.</w:t>
        </w:r>
      </w:hyperlink>
    </w:p>
    <w:p>
      <w:pPr>
        <w:spacing w:after="0" w:line="23" w:lineRule="exact"/>
        <w:rPr>
          <w:rFonts w:ascii="Arial" w:cs="Arial" w:eastAsia="Arial" w:hAnsi="Arial"/>
          <w:sz w:val="18"/>
          <w:szCs w:val="18"/>
          <w:color w:val="auto"/>
        </w:rPr>
      </w:pPr>
    </w:p>
    <w:tbl>
      <w:tblPr>
        <w:tblLayout w:type="fixed"/>
        <w:tblInd w:w="10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1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800" w:type="dxa"/>
            <w:vAlign w:val="bottom"/>
          </w:tcPr>
          <w:p>
            <w:pPr>
              <w:spacing w:after="0"/>
              <w:rPr>
                <w:sz w:val="20"/>
                <w:szCs w:val="20"/>
                <w:color w:val="auto"/>
              </w:rPr>
            </w:pPr>
          </w:p>
        </w:tc>
        <w:tc>
          <w:tcPr>
            <w:tcW w:w="10200" w:type="dxa"/>
            <w:vAlign w:val="bottom"/>
          </w:tcPr>
          <w:p>
            <w:pPr>
              <w:ind w:left="120"/>
              <w:spacing w:after="0"/>
              <w:rPr>
                <w:sz w:val="20"/>
                <w:szCs w:val="20"/>
                <w:color w:val="auto"/>
              </w:rPr>
            </w:pPr>
            <w:r>
              <w:rPr>
                <w:rFonts w:ascii="Arial" w:cs="Arial" w:eastAsia="Arial" w:hAnsi="Arial"/>
                <w:sz w:val="18"/>
                <w:szCs w:val="18"/>
                <w:color w:val="auto"/>
              </w:rPr>
              <w:t>Inline XBRL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1020" w:hanging="91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AMC Networks Inc.</w:t>
            </w:r>
          </w:p>
        </w:tc>
      </w:tr>
      <w:tr>
        <w:trPr>
          <w:trHeight w:val="378"/>
        </w:trPr>
        <w:tc>
          <w:tcPr>
            <w:tcW w:w="3540" w:type="dxa"/>
            <w:vAlign w:val="bottom"/>
          </w:tcPr>
          <w:p>
            <w:pPr>
              <w:spacing w:after="0"/>
              <w:rPr>
                <w:sz w:val="20"/>
                <w:szCs w:val="20"/>
                <w:color w:val="auto"/>
              </w:rPr>
            </w:pPr>
            <w:r>
              <w:rPr>
                <w:rFonts w:ascii="Arial" w:cs="Arial" w:eastAsia="Arial" w:hAnsi="Arial"/>
                <w:sz w:val="18"/>
                <w:szCs w:val="18"/>
                <w:color w:val="auto"/>
              </w:rPr>
              <w:t>Date: November 5, 2021</w:t>
            </w:r>
          </w:p>
        </w:tc>
        <w:tc>
          <w:tcPr>
            <w:tcW w:w="7480" w:type="dxa"/>
            <w:vAlign w:val="bottom"/>
            <w:gridSpan w:val="2"/>
          </w:tcPr>
          <w:p>
            <w:pPr>
              <w:ind w:left="1760"/>
              <w:spacing w:after="0"/>
              <w:rPr>
                <w:sz w:val="20"/>
                <w:szCs w:val="20"/>
                <w:color w:val="auto"/>
              </w:rPr>
            </w:pPr>
            <w:r>
              <w:rPr>
                <w:rFonts w:ascii="Arial" w:cs="Arial" w:eastAsia="Arial" w:hAnsi="Arial"/>
                <w:sz w:val="18"/>
                <w:szCs w:val="18"/>
                <w:color w:val="auto"/>
              </w:rPr>
              <w:t>By: /s/ Christina Spade</w:t>
            </w:r>
          </w:p>
        </w:tc>
      </w:tr>
      <w:tr>
        <w:trPr>
          <w:trHeight w:val="222"/>
        </w:trPr>
        <w:tc>
          <w:tcPr>
            <w:tcW w:w="3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230"/>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931"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color w:val="auto"/>
        </w:rPr>
        <w:t>August 23, 2021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Mr. Joshua W. Sapan</w:t>
      </w:r>
    </w:p>
    <w:p>
      <w:pPr>
        <w:spacing w:after="0" w:line="217" w:lineRule="auto"/>
        <w:rPr>
          <w:sz w:val="20"/>
          <w:szCs w:val="20"/>
          <w:color w:val="auto"/>
        </w:rPr>
      </w:pPr>
      <w:r>
        <w:rPr>
          <w:rFonts w:ascii="Arial" w:cs="Arial" w:eastAsia="Arial" w:hAnsi="Arial"/>
          <w:sz w:val="22"/>
          <w:szCs w:val="22"/>
          <w:color w:val="auto"/>
        </w:rPr>
        <w:t>AMC Networks Inc.</w:t>
      </w:r>
    </w:p>
    <w:p>
      <w:pPr>
        <w:spacing w:after="0" w:line="218" w:lineRule="auto"/>
        <w:rPr>
          <w:sz w:val="20"/>
          <w:szCs w:val="20"/>
          <w:color w:val="auto"/>
        </w:rPr>
      </w:pPr>
      <w:r>
        <w:rPr>
          <w:rFonts w:ascii="Arial" w:cs="Arial" w:eastAsia="Arial" w:hAnsi="Arial"/>
          <w:sz w:val="22"/>
          <w:szCs w:val="22"/>
          <w:color w:val="auto"/>
        </w:rPr>
        <w:t>Eleven Pennsylvania Plaza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 AMENDMENT TO AMENDED AND RESTATED EMPLOYMENT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Josh:</w:t>
      </w:r>
    </w:p>
    <w:p>
      <w:pPr>
        <w:spacing w:after="0" w:line="220"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This letter (the “</w:t>
      </w:r>
      <w:r>
        <w:rPr>
          <w:rFonts w:ascii="Arial" w:cs="Arial" w:eastAsia="Arial" w:hAnsi="Arial"/>
          <w:sz w:val="21"/>
          <w:szCs w:val="21"/>
          <w:u w:val="single" w:color="auto"/>
          <w:color w:val="auto"/>
        </w:rPr>
        <w:t>Amendment</w:t>
      </w:r>
      <w:r>
        <w:rPr>
          <w:rFonts w:ascii="Arial" w:cs="Arial" w:eastAsia="Arial" w:hAnsi="Arial"/>
          <w:sz w:val="21"/>
          <w:szCs w:val="21"/>
          <w:color w:val="auto"/>
        </w:rPr>
        <w:t>”), effective upon the date hereof, hereby amends your amended and restated employment agreement dated December 11, 2020 (the “</w:t>
      </w:r>
      <w:r>
        <w:rPr>
          <w:rFonts w:ascii="Arial" w:cs="Arial" w:eastAsia="Arial" w:hAnsi="Arial"/>
          <w:sz w:val="21"/>
          <w:szCs w:val="21"/>
          <w:u w:val="single" w:color="auto"/>
          <w:color w:val="auto"/>
        </w:rPr>
        <w:t>A&amp;R Employment Agreement</w:t>
      </w:r>
      <w:r>
        <w:rPr>
          <w:rFonts w:ascii="Arial" w:cs="Arial" w:eastAsia="Arial" w:hAnsi="Arial"/>
          <w:sz w:val="21"/>
          <w:szCs w:val="21"/>
          <w:color w:val="auto"/>
        </w:rPr>
        <w:t>”) with AMC Networks Inc. (the “</w:t>
      </w:r>
      <w:r>
        <w:rPr>
          <w:rFonts w:ascii="Arial" w:cs="Arial" w:eastAsia="Arial" w:hAnsi="Arial"/>
          <w:sz w:val="21"/>
          <w:szCs w:val="21"/>
          <w:u w:val="single" w:color="auto"/>
          <w:color w:val="auto"/>
        </w:rPr>
        <w:t>Company</w:t>
      </w:r>
      <w:r>
        <w:rPr>
          <w:rFonts w:ascii="Arial" w:cs="Arial" w:eastAsia="Arial" w:hAnsi="Arial"/>
          <w:sz w:val="21"/>
          <w:szCs w:val="21"/>
          <w:color w:val="auto"/>
        </w:rPr>
        <w:t>”). Unless otherwise expressly set forth in this Amendment, capitalized terms used herein but not otherwise defined in this Amendment shall have the meanings given such terms in the A&amp;R Employment Agreement.</w:t>
      </w:r>
    </w:p>
    <w:p>
      <w:pPr>
        <w:spacing w:after="0" w:line="199" w:lineRule="exact"/>
        <w:rPr>
          <w:sz w:val="20"/>
          <w:szCs w:val="20"/>
          <w:color w:val="auto"/>
        </w:rPr>
      </w:pPr>
    </w:p>
    <w:p>
      <w:pPr>
        <w:ind w:left="660" w:right="240" w:hanging="328"/>
        <w:spacing w:after="0" w:line="239" w:lineRule="auto"/>
        <w:tabs>
          <w:tab w:leader="none" w:pos="651"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fifth sentence of Paragraph 1 of the A&amp;R Employment Agreement is hereby amended and restated in its entirety as follows:</w:t>
      </w:r>
    </w:p>
    <w:p>
      <w:pPr>
        <w:spacing w:after="0" w:line="198" w:lineRule="exact"/>
        <w:rPr>
          <w:rFonts w:ascii="Arial" w:cs="Arial" w:eastAsia="Arial" w:hAnsi="Arial"/>
          <w:sz w:val="22"/>
          <w:szCs w:val="22"/>
          <w:color w:val="auto"/>
        </w:rPr>
      </w:pPr>
    </w:p>
    <w:p>
      <w:pPr>
        <w:ind w:left="660" w:right="820"/>
        <w:spacing w:after="0" w:line="239" w:lineRule="auto"/>
        <w:rPr>
          <w:rFonts w:ascii="Arial" w:cs="Arial" w:eastAsia="Arial" w:hAnsi="Arial"/>
          <w:sz w:val="22"/>
          <w:szCs w:val="22"/>
          <w:color w:val="auto"/>
        </w:rPr>
      </w:pPr>
      <w:r>
        <w:rPr>
          <w:rFonts w:ascii="Arial" w:cs="Arial" w:eastAsia="Arial" w:hAnsi="Arial"/>
          <w:sz w:val="22"/>
          <w:szCs w:val="22"/>
          <w:color w:val="auto"/>
        </w:rPr>
        <w:t>Either you or the Company may, upon written notice to the other at any time, change your title to Executive Vice Chairman effective no earlier than September 8, 2021.</w:t>
      </w:r>
    </w:p>
    <w:p>
      <w:pPr>
        <w:spacing w:after="0" w:line="198" w:lineRule="exact"/>
        <w:rPr>
          <w:rFonts w:ascii="Arial" w:cs="Arial" w:eastAsia="Arial" w:hAnsi="Arial"/>
          <w:sz w:val="22"/>
          <w:szCs w:val="22"/>
          <w:color w:val="auto"/>
        </w:rPr>
      </w:pPr>
    </w:p>
    <w:p>
      <w:pPr>
        <w:ind w:left="660" w:right="660" w:hanging="328"/>
        <w:spacing w:after="0" w:line="239" w:lineRule="auto"/>
        <w:tabs>
          <w:tab w:leader="none" w:pos="71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last sentence of Paragraph 10 of the A&amp;R Employment Agreement is hereby amended to delete “for the 2022 calendar year”.</w:t>
      </w:r>
    </w:p>
    <w:p>
      <w:pPr>
        <w:spacing w:after="0" w:line="198" w:lineRule="exact"/>
        <w:rPr>
          <w:rFonts w:ascii="Arial" w:cs="Arial" w:eastAsia="Arial" w:hAnsi="Arial"/>
          <w:sz w:val="22"/>
          <w:szCs w:val="22"/>
          <w:color w:val="auto"/>
        </w:rPr>
      </w:pPr>
    </w:p>
    <w:p>
      <w:pPr>
        <w:ind w:left="700" w:hanging="368"/>
        <w:spacing w:after="0"/>
        <w:tabs>
          <w:tab w:leader="none" w:pos="7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definition of “Good Reason” in Annex A is hereby amended and restated in its entirety as follows:</w:t>
      </w:r>
    </w:p>
    <w:p>
      <w:pPr>
        <w:spacing w:after="0" w:line="220" w:lineRule="exact"/>
        <w:rPr>
          <w:sz w:val="20"/>
          <w:szCs w:val="20"/>
          <w:color w:val="auto"/>
        </w:rPr>
      </w:pPr>
    </w:p>
    <w:p>
      <w:pPr>
        <w:ind w:right="60" w:firstLine="648"/>
        <w:spacing w:after="0" w:line="258" w:lineRule="auto"/>
        <w:rPr>
          <w:sz w:val="20"/>
          <w:szCs w:val="20"/>
          <w:color w:val="auto"/>
        </w:rPr>
      </w:pPr>
      <w:r>
        <w:rPr>
          <w:rFonts w:ascii="Arial" w:cs="Arial" w:eastAsia="Arial" w:hAnsi="Arial"/>
          <w:sz w:val="19"/>
          <w:szCs w:val="19"/>
          <w:color w:val="auto"/>
        </w:rPr>
        <w:t>Termination for “</w:t>
      </w:r>
      <w:r>
        <w:rPr>
          <w:rFonts w:ascii="Arial" w:cs="Arial" w:eastAsia="Arial" w:hAnsi="Arial"/>
          <w:sz w:val="19"/>
          <w:szCs w:val="19"/>
          <w:u w:val="single" w:color="auto"/>
          <w:color w:val="auto"/>
        </w:rPr>
        <w:t>Good Reason</w:t>
      </w:r>
      <w:r>
        <w:rPr>
          <w:rFonts w:ascii="Arial" w:cs="Arial" w:eastAsia="Arial" w:hAnsi="Arial"/>
          <w:sz w:val="19"/>
          <w:szCs w:val="19"/>
          <w:color w:val="auto"/>
        </w:rPr>
        <w:t>” means that, except as otherwise provided and agreed in this Agreement, (1) without your consent, (A) your base salary or bonus target as an employee is reduced, (B) the Company requires that your principal office be located more than fifty miles from Manhattan, (C) the Company materially breaches its obligations to you under this Agreement,</w:t>
      </w:r>
    </w:p>
    <w:p>
      <w:pPr>
        <w:spacing w:after="0" w:line="2" w:lineRule="exact"/>
        <w:rPr>
          <w:sz w:val="20"/>
          <w:szCs w:val="20"/>
          <w:color w:val="auto"/>
        </w:rPr>
      </w:pPr>
    </w:p>
    <w:p>
      <w:pPr>
        <w:ind w:right="100" w:firstLine="8"/>
        <w:spacing w:after="0" w:line="252" w:lineRule="auto"/>
        <w:tabs>
          <w:tab w:leader="none" w:pos="354" w:val="left"/>
        </w:tabs>
        <w:numPr>
          <w:ilvl w:val="0"/>
          <w:numId w:val="17"/>
        </w:numPr>
        <w:rPr>
          <w:rFonts w:ascii="Arial" w:cs="Arial" w:eastAsia="Arial" w:hAnsi="Arial"/>
          <w:sz w:val="19"/>
          <w:szCs w:val="19"/>
          <w:color w:val="auto"/>
        </w:rPr>
      </w:pPr>
      <w:r>
        <w:rPr>
          <w:rFonts w:ascii="Arial" w:cs="Arial" w:eastAsia="Arial" w:hAnsi="Arial"/>
          <w:sz w:val="19"/>
          <w:szCs w:val="19"/>
          <w:color w:val="auto"/>
        </w:rPr>
        <w:t>prior to September 8, 2021, you are no longer the President and Chief Executive Officer of the Company, or beginning on September 8, 2021, your title is no longer Executive Vice Chairman, (E) you report directly to someone other than the Executive Chairman (if any) or Chairman of the Board of Directors of the Company, or (F) your responsibilities are materially diminished,</w:t>
      </w:r>
    </w:p>
    <w:p>
      <w:pPr>
        <w:spacing w:after="0" w:line="237" w:lineRule="auto"/>
        <w:rPr>
          <w:rFonts w:ascii="Arial" w:cs="Arial" w:eastAsia="Arial" w:hAnsi="Arial"/>
          <w:sz w:val="19"/>
          <w:szCs w:val="19"/>
          <w:color w:val="auto"/>
        </w:rPr>
      </w:pPr>
      <w:r>
        <w:rPr>
          <w:rFonts w:ascii="Arial" w:cs="Arial" w:eastAsia="Arial" w:hAnsi="Arial"/>
          <w:sz w:val="21"/>
          <w:szCs w:val="21"/>
          <w:color w:val="auto"/>
        </w:rPr>
        <w:t>(2) you have given the Company written notice, referring specifically to this definition, that you do not consent to such action, (3) the Company has not corrected such action within 15 days of receiving such notice, and (4) you voluntarily terminate your employment within 90 days following the happening of the action described in subsection (1) above.</w:t>
      </w:r>
    </w:p>
    <w:p>
      <w:pPr>
        <w:spacing w:after="0" w:line="198" w:lineRule="exact"/>
        <w:rPr>
          <w:rFonts w:ascii="Arial" w:cs="Arial" w:eastAsia="Arial" w:hAnsi="Arial"/>
          <w:sz w:val="19"/>
          <w:szCs w:val="19"/>
          <w:color w:val="auto"/>
        </w:rPr>
      </w:pPr>
    </w:p>
    <w:p>
      <w:pPr>
        <w:ind w:left="720" w:hanging="388"/>
        <w:spacing w:after="0"/>
        <w:tabs>
          <w:tab w:leader="none" w:pos="720" w:val="left"/>
        </w:tabs>
        <w:numPr>
          <w:ilvl w:val="1"/>
          <w:numId w:val="17"/>
        </w:numPr>
        <w:rPr>
          <w:rFonts w:ascii="Arial" w:cs="Arial" w:eastAsia="Arial" w:hAnsi="Arial"/>
          <w:sz w:val="22"/>
          <w:szCs w:val="22"/>
          <w:color w:val="auto"/>
        </w:rPr>
      </w:pPr>
      <w:r>
        <w:rPr>
          <w:rFonts w:ascii="Arial" w:cs="Arial" w:eastAsia="Arial" w:hAnsi="Arial"/>
          <w:sz w:val="22"/>
          <w:szCs w:val="22"/>
          <w:color w:val="auto"/>
        </w:rPr>
        <w:t>Paragraph 29 is added as follows:</w:t>
      </w:r>
    </w:p>
    <w:p>
      <w:pPr>
        <w:spacing w:after="0" w:line="220"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Subject to the terms set forth herein, in each of the 2023 and 2024 calendar years, the Company shall acquire at least three films from those submitted by you, provided that you have</w:t>
      </w:r>
    </w:p>
    <w:p>
      <w:pPr>
        <w:sectPr>
          <w:pgSz w:w="11900" w:h="16838" w:orient="portrait"/>
          <w:cols w:equalWidth="0" w:num="1">
            <w:col w:w="11220"/>
          </w:cols>
          <w:pgMar w:left="320" w:top="1414" w:right="359" w:bottom="1440" w:gutter="0" w:footer="0" w:header="0"/>
        </w:sectPr>
      </w:pPr>
    </w:p>
    <w:bookmarkStart w:id="50" w:name="page51"/>
    <w:bookmarkEnd w:id="50"/>
    <w:p>
      <w:pPr>
        <w:ind w:right="160"/>
        <w:spacing w:after="0" w:line="226" w:lineRule="auto"/>
        <w:rPr>
          <w:sz w:val="20"/>
          <w:szCs w:val="20"/>
          <w:color w:val="auto"/>
        </w:rPr>
      </w:pPr>
      <w:r>
        <w:rPr>
          <w:rFonts w:ascii="Arial" w:cs="Arial" w:eastAsia="Arial" w:hAnsi="Arial"/>
          <w:sz w:val="22"/>
          <w:szCs w:val="22"/>
          <w:color w:val="auto"/>
        </w:rPr>
        <w:t>submitted an appropriate number of films each year (</w:t>
      </w:r>
      <w:r>
        <w:rPr>
          <w:rFonts w:ascii="Arial" w:cs="Arial" w:eastAsia="Arial" w:hAnsi="Arial"/>
          <w:sz w:val="22"/>
          <w:szCs w:val="22"/>
          <w:i w:val="1"/>
          <w:iCs w:val="1"/>
          <w:color w:val="auto"/>
        </w:rPr>
        <w:t>i.e.</w:t>
      </w:r>
      <w:r>
        <w:rPr>
          <w:rFonts w:ascii="Arial" w:cs="Arial" w:eastAsia="Arial" w:hAnsi="Arial"/>
          <w:sz w:val="22"/>
          <w:szCs w:val="22"/>
          <w:color w:val="auto"/>
        </w:rPr>
        <w:t>, at least six), with the Company receiving exclusive North American rights for all manner of exclusive exploitation, including without limitation, theatrical, linear and all currently and then existing forms of streaming. The price for each such acquired film shall be $900,000, which amount will assist you in financing and producing such films. You may submit films with a higher price, but the Company shall be under no obligation to acquire a film with a price in excess of $900,000.</w:t>
      </w:r>
    </w:p>
    <w:p>
      <w:pPr>
        <w:spacing w:after="0" w:line="199"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You shall submit films for acceptance and approval of type and quality consistent with those historically acquired by the Company, pursuant to guidance from the Company in advance as to the type of films the Company is interested in acquiring. You shall submit in writing the proposed films (with such information regarding the films as may be reasonably requested by the Company’s acquisition executives), and will work with the Company’s acquisition executives to shape the film if it is acquired by the Company and initiated at the script stage. If the Company rejects a film that is submitted by you, you shall submit an alternative film of comparable or better quality. The Company shall be permitted to reject up to three proposed films for each of the 2023 and 2024 calendar years for any reason or for no reason. For the avoidance of doubt, the Company shall not be obligated to acquire films unless you comply with the submission requirements set forth herein.</w:t>
      </w:r>
    </w:p>
    <w:p>
      <w:pPr>
        <w:spacing w:after="0" w:line="185" w:lineRule="exact"/>
        <w:rPr>
          <w:sz w:val="20"/>
          <w:szCs w:val="20"/>
          <w:color w:val="auto"/>
        </w:rPr>
      </w:pPr>
    </w:p>
    <w:p>
      <w:pPr>
        <w:ind w:right="100" w:firstLine="8"/>
        <w:spacing w:after="0" w:line="223" w:lineRule="auto"/>
        <w:tabs>
          <w:tab w:leader="none" w:pos="378" w:val="left"/>
        </w:tabs>
        <w:numPr>
          <w:ilvl w:val="0"/>
          <w:numId w:val="18"/>
        </w:numPr>
        <w:rPr>
          <w:rFonts w:ascii="Arial" w:cs="Arial" w:eastAsia="Arial" w:hAnsi="Arial"/>
          <w:sz w:val="22"/>
          <w:szCs w:val="22"/>
          <w:color w:val="auto"/>
        </w:rPr>
      </w:pPr>
      <w:r>
        <w:rPr>
          <w:rFonts w:ascii="Arial" w:cs="Arial" w:eastAsia="Arial" w:hAnsi="Arial"/>
          <w:sz w:val="22"/>
          <w:szCs w:val="22"/>
          <w:color w:val="auto"/>
        </w:rPr>
        <w:t>By signing below, you hereby give written notice to the Company, in accordance with Paragraph 1 of the A&amp;R Employment Agreement as hereby amended, of your election to change your title to Executive Vice Chairman effective September 8,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The provisions of the A&amp;R Employment Agreement applicable to your service as Executive Vice Chairman shall apply as of the Effective Date. For the avoidance of doubt, your transition from President and Chief Executive Officer to Executive Vice Chairman, including any change to your powers, responsibilities, duties and authority as well as compensation, shall not constitute Good Reason under the A&amp;R Employment Agreement or any other arrangement between you and the Company.</w:t>
      </w:r>
    </w:p>
    <w:p>
      <w:pPr>
        <w:spacing w:after="0" w:line="204" w:lineRule="exact"/>
        <w:rPr>
          <w:rFonts w:ascii="Arial" w:cs="Arial" w:eastAsia="Arial" w:hAnsi="Arial"/>
          <w:sz w:val="22"/>
          <w:szCs w:val="22"/>
          <w:color w:val="auto"/>
        </w:rPr>
      </w:pPr>
    </w:p>
    <w:p>
      <w:pPr>
        <w:ind w:firstLine="8"/>
        <w:spacing w:after="0" w:line="223" w:lineRule="auto"/>
        <w:tabs>
          <w:tab w:leader="none" w:pos="378"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Except as expressly set forth in this Amendment, the A&amp;R Employment Agreement shall remain in full force and effect. This Amendment shall be governed by and construed in accordance with the laws of the State of New York applicable to contracts made and to be performed entirely within that state. The following provisions of the A&amp;R Employment Agreement shall be incorporated into, and be effective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with respect to, this Amendment as if set forth herein in their entirety: Paragraphs 22, 24 and 25. This Amendment may be executed in several counterparts (including, without limitation, by facsimile, PDF or electronic transmission), each of which will be deemed an original, and such counterparts will constitute one and the same instrument.</w:t>
      </w:r>
    </w:p>
    <w:p>
      <w:pPr>
        <w:sectPr>
          <w:pgSz w:w="11900" w:h="16838" w:orient="portrait"/>
          <w:cols w:equalWidth="0" w:num="1">
            <w:col w:w="11240"/>
          </w:cols>
          <w:pgMar w:left="320" w:top="1414" w:right="339" w:bottom="1440" w:gutter="0" w:footer="0" w:header="0"/>
        </w:sectPr>
      </w:pPr>
    </w:p>
    <w:bookmarkStart w:id="51" w:name="page52"/>
    <w:bookmarkEnd w:id="51"/>
    <w:p>
      <w:pPr>
        <w:spacing w:after="0" w:line="2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w:t>
      </w:r>
    </w:p>
    <w:p>
      <w:pPr>
        <w:ind w:left="5600"/>
        <w:spacing w:after="0"/>
        <w:rPr>
          <w:sz w:val="20"/>
          <w:szCs w:val="20"/>
          <w:color w:val="auto"/>
        </w:rPr>
      </w:pPr>
      <w:r>
        <w:rPr>
          <w:rFonts w:ascii="Arial" w:cs="Arial" w:eastAsia="Arial" w:hAnsi="Arial"/>
          <w:sz w:val="22"/>
          <w:szCs w:val="22"/>
          <w:color w:val="auto"/>
        </w:rPr>
        <w:t>Title:</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22"/>
          <w:szCs w:val="22"/>
          <w:u w:val="single" w:color="auto"/>
          <w:color w:val="auto"/>
        </w:rPr>
        <w:t>/s/ James G. Gallagher</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 James G. Gallagher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EVP &amp; General Counsel</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Joshua W. Sapan</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Joshua W. Sapan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Joshua W. Sapan</w:t>
      </w:r>
    </w:p>
    <w:p>
      <w:pPr>
        <w:sectPr>
          <w:pgSz w:w="11900" w:h="16838" w:orient="portrait"/>
          <w:cols w:equalWidth="0" w:num="1">
            <w:col w:w="10119"/>
          </w:cols>
          <w:pgMar w:left="340" w:top="1440" w:right="1440" w:bottom="1440" w:gutter="0" w:footer="0" w:header="0"/>
        </w:sectPr>
      </w:pPr>
    </w:p>
    <w:bookmarkStart w:id="52" w:name="page53"/>
    <w:bookmarkEnd w:id="52"/>
    <w:p>
      <w:pPr>
        <w:ind w:left="5200"/>
        <w:spacing w:after="0"/>
        <w:rPr>
          <w:sz w:val="20"/>
          <w:szCs w:val="20"/>
          <w:color w:val="auto"/>
        </w:rPr>
      </w:pPr>
      <w:r>
        <w:rPr>
          <w:rFonts w:ascii="Arial" w:cs="Arial" w:eastAsia="Arial" w:hAnsi="Arial"/>
          <w:sz w:val="22"/>
          <w:szCs w:val="22"/>
          <w:color w:val="auto"/>
        </w:rPr>
        <w:t>August 23, 2021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Mr. Matthew Blank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AMC Networks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11 Penn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298"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Employment</w:t>
      </w:r>
    </w:p>
    <w:p>
      <w:pPr>
        <w:spacing w:after="0" w:line="34"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auto"/>
        </w:rPr>
        <w:t>Agreement</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Dear Matthew:</w:t>
      </w:r>
    </w:p>
    <w:p>
      <w:pPr>
        <w:spacing w:after="0" w:line="2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This letter (the “</w:t>
      </w:r>
      <w:r>
        <w:rPr>
          <w:rFonts w:ascii="Arial" w:cs="Arial" w:eastAsia="Arial" w:hAnsi="Arial"/>
          <w:sz w:val="22"/>
          <w:szCs w:val="22"/>
          <w:i w:val="1"/>
          <w:iCs w:val="1"/>
          <w:color w:val="auto"/>
        </w:rPr>
        <w:t>Agreement</w:t>
      </w:r>
      <w:r>
        <w:rPr>
          <w:rFonts w:ascii="Arial" w:cs="Arial" w:eastAsia="Arial" w:hAnsi="Arial"/>
          <w:sz w:val="22"/>
          <w:szCs w:val="22"/>
          <w:color w:val="auto"/>
        </w:rPr>
        <w:t>”) will confirm the terms of your employment by AMC Networks Inc. (the “</w:t>
      </w:r>
      <w:r>
        <w:rPr>
          <w:rFonts w:ascii="Arial" w:cs="Arial" w:eastAsia="Arial" w:hAnsi="Arial"/>
          <w:sz w:val="22"/>
          <w:szCs w:val="22"/>
          <w:i w:val="1"/>
          <w:iCs w:val="1"/>
          <w:color w:val="auto"/>
        </w:rPr>
        <w:t>Company</w:t>
      </w:r>
      <w:r>
        <w:rPr>
          <w:rFonts w:ascii="Arial" w:cs="Arial" w:eastAsia="Arial" w:hAnsi="Arial"/>
          <w:sz w:val="22"/>
          <w:szCs w:val="22"/>
          <w:color w:val="auto"/>
        </w:rPr>
        <w:t>”) as an at will employee with the title of Interim Chief Executive Officer, reporting to the Chairman of the Board of Directors of the Company. This Agreement will be effective as of September 8, 2021 (the “</w:t>
      </w:r>
      <w:r>
        <w:rPr>
          <w:rFonts w:ascii="Arial" w:cs="Arial" w:eastAsia="Arial" w:hAnsi="Arial"/>
          <w:sz w:val="22"/>
          <w:szCs w:val="22"/>
          <w:i w:val="1"/>
          <w:iCs w:val="1"/>
          <w:color w:val="auto"/>
        </w:rPr>
        <w:t>Effective Date</w:t>
      </w:r>
      <w:r>
        <w:rPr>
          <w:rFonts w:ascii="Arial" w:cs="Arial" w:eastAsia="Arial" w:hAnsi="Arial"/>
          <w:sz w:val="22"/>
          <w:szCs w:val="22"/>
          <w:color w:val="auto"/>
        </w:rPr>
        <w:t>”).</w:t>
      </w:r>
    </w:p>
    <w:p>
      <w:pPr>
        <w:spacing w:after="0" w:line="220" w:lineRule="exact"/>
        <w:rPr>
          <w:sz w:val="20"/>
          <w:szCs w:val="20"/>
          <w:color w:val="auto"/>
        </w:rPr>
      </w:pPr>
    </w:p>
    <w:p>
      <w:pPr>
        <w:jc w:val="both"/>
        <w:ind w:right="20" w:firstLine="1296"/>
        <w:spacing w:after="0" w:line="251" w:lineRule="auto"/>
        <w:rPr>
          <w:sz w:val="20"/>
          <w:szCs w:val="20"/>
          <w:color w:val="auto"/>
        </w:rPr>
      </w:pPr>
      <w:r>
        <w:rPr>
          <w:rFonts w:ascii="Arial" w:cs="Arial" w:eastAsia="Arial" w:hAnsi="Arial"/>
          <w:sz w:val="22"/>
          <w:szCs w:val="22"/>
          <w:color w:val="auto"/>
        </w:rPr>
        <w:t>The term of this Agreement (the “</w:t>
      </w:r>
      <w:r>
        <w:rPr>
          <w:rFonts w:ascii="Arial" w:cs="Arial" w:eastAsia="Arial" w:hAnsi="Arial"/>
          <w:sz w:val="22"/>
          <w:szCs w:val="22"/>
          <w:i w:val="1"/>
          <w:iCs w:val="1"/>
          <w:color w:val="auto"/>
        </w:rPr>
        <w:t>Term</w:t>
      </w:r>
      <w:r>
        <w:rPr>
          <w:rFonts w:ascii="Arial" w:cs="Arial" w:eastAsia="Arial" w:hAnsi="Arial"/>
          <w:sz w:val="22"/>
          <w:szCs w:val="22"/>
          <w:color w:val="auto"/>
        </w:rPr>
        <w:t>”) shall commence as of the Effective Date and shall automatically expire on the first anniversary of the Effective Date (the “</w:t>
      </w:r>
      <w:r>
        <w:rPr>
          <w:rFonts w:ascii="Arial" w:cs="Arial" w:eastAsia="Arial" w:hAnsi="Arial"/>
          <w:sz w:val="22"/>
          <w:szCs w:val="22"/>
          <w:i w:val="1"/>
          <w:iCs w:val="1"/>
          <w:color w:val="auto"/>
        </w:rPr>
        <w:t>Expiration Date</w:t>
      </w:r>
      <w:r>
        <w:rPr>
          <w:rFonts w:ascii="Arial" w:cs="Arial" w:eastAsia="Arial" w:hAnsi="Arial"/>
          <w:sz w:val="22"/>
          <w:szCs w:val="22"/>
          <w:color w:val="auto"/>
        </w:rPr>
        <w:t>”).</w:t>
      </w:r>
    </w:p>
    <w:p>
      <w:pPr>
        <w:spacing w:after="0" w:line="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You agree to devote substantially all of your business time and attention to the business and affairs of the Company and to perform your duties in a diligent, competent, professional and skillful manner and in accordance with applicable law and the Company’s policies and procedures. Notwithstanding the foregoing, nothing herein shall preclude you from engaging in the activities set forth in </w:t>
      </w:r>
      <w:r>
        <w:rPr>
          <w:rFonts w:ascii="Arial" w:cs="Arial" w:eastAsia="Arial" w:hAnsi="Arial"/>
          <w:sz w:val="21"/>
          <w:szCs w:val="21"/>
          <w:i w:val="1"/>
          <w:iCs w:val="1"/>
          <w:color w:val="auto"/>
        </w:rPr>
        <w:t>Annex I</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activities in connection with such service shall be limited by you so as not to materially interfere with the performance of your duties and responsibilities hereunder, including compliance with the covenants set forth in </w:t>
      </w:r>
      <w:r>
        <w:rPr>
          <w:rFonts w:ascii="Arial" w:cs="Arial" w:eastAsia="Arial" w:hAnsi="Arial"/>
          <w:sz w:val="21"/>
          <w:szCs w:val="21"/>
          <w:i w:val="1"/>
          <w:iCs w:val="1"/>
          <w:color w:val="auto"/>
        </w:rPr>
        <w:t>Annex II</w:t>
      </w:r>
      <w:r>
        <w:rPr>
          <w:rFonts w:ascii="Arial" w:cs="Arial" w:eastAsia="Arial" w:hAnsi="Arial"/>
          <w:sz w:val="21"/>
          <w:szCs w:val="21"/>
          <w:color w:val="auto"/>
        </w:rPr>
        <w:t>.</w:t>
      </w:r>
    </w:p>
    <w:p>
      <w:pPr>
        <w:spacing w:after="0" w:line="21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Beginning on the Effective Date, your annual base salary will be $2,000,000. You will also participate in our discretionary annual bonus program with an annual target bonus opportunity equal to two hundred percent (200%) of salary, pro rated for any partial years. Bonus payments are based on actual salary dollars earned during the year and depend on a number of factors including Company, unit and individual performance and will be subject to increase only at the discretion of the Compensation Committee of the Board of Directors of the Company (the “</w:t>
      </w:r>
      <w:r>
        <w:rPr>
          <w:rFonts w:ascii="Arial" w:cs="Arial" w:eastAsia="Arial" w:hAnsi="Arial"/>
          <w:sz w:val="19"/>
          <w:szCs w:val="19"/>
          <w:i w:val="1"/>
          <w:iCs w:val="1"/>
          <w:color w:val="auto"/>
        </w:rPr>
        <w:t>Compensation Committee</w:t>
      </w:r>
      <w:r>
        <w:rPr>
          <w:rFonts w:ascii="Arial" w:cs="Arial" w:eastAsia="Arial" w:hAnsi="Arial"/>
          <w:sz w:val="19"/>
          <w:szCs w:val="19"/>
          <w:color w:val="auto"/>
        </w:rPr>
        <w:t>”). Except as otherwise provided herein, in order to receive a bonus, you must be employed by the Company at the time bonuses are being paid. Your annual base salary and annual bonus target will not be reduced during the term of this Agreement. Notwithstanding the foregoing, if your employment with the Company ends on the Expiration Date, you shall be paid your bonus for the fiscal year ending December 31, 2022, if any, even if you are not employed on the date of payment of such bonus and even if such payment is not made to you prior to the Expiration Date, which bonus shall be subject to Company and unit performance for the fiscal year as determined by the Company in its sole discretion.</w:t>
      </w:r>
    </w:p>
    <w:p>
      <w:pPr>
        <w:spacing w:after="0" w:line="19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In addition, on the Effective Date you will be granted a one-time special award of restricted stock units with an aggregate value of $5,000,000 (the “</w:t>
      </w:r>
      <w:r>
        <w:rPr>
          <w:rFonts w:ascii="Arial" w:cs="Arial" w:eastAsia="Arial" w:hAnsi="Arial"/>
          <w:sz w:val="22"/>
          <w:szCs w:val="22"/>
          <w:i w:val="1"/>
          <w:iCs w:val="1"/>
          <w:u w:val="single" w:color="auto"/>
          <w:color w:val="auto"/>
        </w:rPr>
        <w:t>Special Equity Award</w:t>
      </w:r>
      <w:r>
        <w:rPr>
          <w:rFonts w:ascii="Arial" w:cs="Arial" w:eastAsia="Arial" w:hAnsi="Arial"/>
          <w:sz w:val="22"/>
          <w:szCs w:val="22"/>
          <w:color w:val="auto"/>
        </w:rPr>
        <w:t>”). The number of restricted stock units comprising the Special Equity Award shall be determined by</w:t>
      </w:r>
    </w:p>
    <w:p>
      <w:pPr>
        <w:sectPr>
          <w:pgSz w:w="11900" w:h="16838" w:orient="portrait"/>
          <w:cols w:equalWidth="0" w:num="1">
            <w:col w:w="11240"/>
          </w:cols>
          <w:pgMar w:left="320" w:top="1428" w:right="339" w:bottom="1440" w:gutter="0" w:footer="0" w:header="0"/>
        </w:sectPr>
      </w:pPr>
    </w:p>
    <w:bookmarkStart w:id="53" w:name="page54"/>
    <w:bookmarkEnd w:id="53"/>
    <w:p>
      <w:pPr>
        <w:jc w:val="both"/>
        <w:spacing w:after="0" w:line="253" w:lineRule="auto"/>
        <w:rPr>
          <w:sz w:val="20"/>
          <w:szCs w:val="20"/>
          <w:color w:val="auto"/>
        </w:rPr>
      </w:pPr>
      <w:r>
        <w:rPr>
          <w:rFonts w:ascii="Arial" w:cs="Arial" w:eastAsia="Arial" w:hAnsi="Arial"/>
          <w:sz w:val="22"/>
          <w:szCs w:val="22"/>
          <w:color w:val="auto"/>
        </w:rPr>
        <w:t>dividing $5,000,000 by the average closing price of a share of Class A Common Stock of the Company for the 20 trading days prior to the date of grant. The Special Equity Award will vest upon the Expiration Date. For the avoidance of doubt, you will not be eligible to participate in the Company’s long-term bonus or incentive programs.</w:t>
      </w:r>
    </w:p>
    <w:p>
      <w:pPr>
        <w:spacing w:after="0" w:line="212"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You will be eligible to participate in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entitled to four (4) weeks’ vacation per year, to be accrued and used in accordance with Company policy. You will also be entitled to reimbursement of business expenses upon submission of appropriate documentation in accordance with Company policy.</w:t>
      </w:r>
    </w:p>
    <w:p>
      <w:pPr>
        <w:spacing w:after="0" w:line="17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Effective as of the Effective Date, you and the Company agree to be bound by the additional covenants and provisions applicable to each that are set forth in </w:t>
      </w:r>
      <w:r>
        <w:rPr>
          <w:rFonts w:ascii="Arial" w:cs="Arial" w:eastAsia="Arial" w:hAnsi="Arial"/>
          <w:sz w:val="22"/>
          <w:szCs w:val="22"/>
          <w:i w:val="1"/>
          <w:iCs w:val="1"/>
          <w:color w:val="auto"/>
        </w:rPr>
        <w:t>Annex II</w:t>
      </w:r>
      <w:r>
        <w:rPr>
          <w:rFonts w:ascii="Arial" w:cs="Arial" w:eastAsia="Arial" w:hAnsi="Arial"/>
          <w:sz w:val="22"/>
          <w:szCs w:val="22"/>
          <w:color w:val="auto"/>
        </w:rPr>
        <w:t xml:space="preserve"> attached hereto, which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be deemed to be a part of this Agreement.</w:t>
      </w:r>
    </w:p>
    <w:p>
      <w:pPr>
        <w:spacing w:after="0" w:line="212"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If your employment with the Company is terminated after the Effective Date but prior to the Expiration Date (1) by the Company or (2) by you for “</w:t>
      </w:r>
      <w:r>
        <w:rPr>
          <w:rFonts w:ascii="Arial" w:cs="Arial" w:eastAsia="Arial" w:hAnsi="Arial"/>
          <w:sz w:val="19"/>
          <w:szCs w:val="19"/>
          <w:i w:val="1"/>
          <w:iCs w:val="1"/>
          <w:color w:val="auto"/>
        </w:rPr>
        <w:t>Good Reason</w:t>
      </w:r>
      <w:r>
        <w:rPr>
          <w:rFonts w:ascii="Arial" w:cs="Arial" w:eastAsia="Arial" w:hAnsi="Arial"/>
          <w:sz w:val="19"/>
          <w:szCs w:val="19"/>
          <w:color w:val="auto"/>
        </w:rPr>
        <w:t>,” and at the time of such termination under clauses (1) or (2) “</w:t>
      </w:r>
      <w:r>
        <w:rPr>
          <w:rFonts w:ascii="Arial" w:cs="Arial" w:eastAsia="Arial" w:hAnsi="Arial"/>
          <w:sz w:val="19"/>
          <w:szCs w:val="19"/>
          <w:i w:val="1"/>
          <w:iCs w:val="1"/>
          <w:color w:val="auto"/>
        </w:rPr>
        <w:t>Cause</w:t>
      </w:r>
      <w:r>
        <w:rPr>
          <w:rFonts w:ascii="Arial" w:cs="Arial" w:eastAsia="Arial" w:hAnsi="Arial"/>
          <w:sz w:val="19"/>
          <w:szCs w:val="19"/>
          <w:color w:val="auto"/>
        </w:rPr>
        <w:t xml:space="preserve">” does not exist, then, subject to your execution and the effectiveness of an agreement satisfactory to the Company, which agreement shall include, without limitation, a full and complete general release in favor of the Company and its affiliates (subject to customary carve outs), and their respective directors and officers, as well as your agreement to non-competition (limited to one year), non-solicitation, non-disparagement, confidentiality and further cooperation obligations and restrictions substantially in the form set forth in </w:t>
      </w:r>
      <w:r>
        <w:rPr>
          <w:rFonts w:ascii="Arial" w:cs="Arial" w:eastAsia="Arial" w:hAnsi="Arial"/>
          <w:sz w:val="19"/>
          <w:szCs w:val="19"/>
          <w:i w:val="1"/>
          <w:iCs w:val="1"/>
          <w:color w:val="auto"/>
        </w:rPr>
        <w:t>Annex II</w:t>
      </w:r>
      <w:r>
        <w:rPr>
          <w:rFonts w:ascii="Arial" w:cs="Arial" w:eastAsia="Arial" w:hAnsi="Arial"/>
          <w:sz w:val="19"/>
          <w:szCs w:val="19"/>
          <w:color w:val="auto"/>
        </w:rPr>
        <w:t xml:space="preserve"> attached hereto (the “</w:t>
      </w:r>
      <w:r>
        <w:rPr>
          <w:rFonts w:ascii="Arial" w:cs="Arial" w:eastAsia="Arial" w:hAnsi="Arial"/>
          <w:sz w:val="19"/>
          <w:szCs w:val="19"/>
          <w:i w:val="1"/>
          <w:iCs w:val="1"/>
          <w:color w:val="auto"/>
        </w:rPr>
        <w:t>Early Termination Agreement</w:t>
      </w:r>
      <w:r>
        <w:rPr>
          <w:rFonts w:ascii="Arial" w:cs="Arial" w:eastAsia="Arial" w:hAnsi="Arial"/>
          <w:sz w:val="19"/>
          <w:szCs w:val="19"/>
          <w:color w:val="auto"/>
        </w:rPr>
        <w:t>”), the Company will provide you with the following:</w:t>
      </w:r>
    </w:p>
    <w:p>
      <w:pPr>
        <w:spacing w:after="0" w:line="178" w:lineRule="exact"/>
        <w:rPr>
          <w:sz w:val="20"/>
          <w:szCs w:val="20"/>
          <w:color w:val="auto"/>
        </w:rPr>
      </w:pPr>
    </w:p>
    <w:p>
      <w:pPr>
        <w:ind w:left="660" w:hanging="652"/>
        <w:spacing w:after="0" w:line="249" w:lineRule="auto"/>
        <w:tabs>
          <w:tab w:leader="none" w:pos="331"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cash payment in an amount equal to your base salary for the period from the date your employment so terminates (the “</w:t>
      </w:r>
      <w:r>
        <w:rPr>
          <w:rFonts w:ascii="Arial" w:cs="Arial" w:eastAsia="Arial" w:hAnsi="Arial"/>
          <w:sz w:val="22"/>
          <w:szCs w:val="22"/>
          <w:i w:val="1"/>
          <w:iCs w:val="1"/>
          <w:color w:val="auto"/>
        </w:rPr>
        <w:t>Termination Date</w:t>
      </w:r>
      <w:r>
        <w:rPr>
          <w:rFonts w:ascii="Arial" w:cs="Arial" w:eastAsia="Arial" w:hAnsi="Arial"/>
          <w:sz w:val="22"/>
          <w:szCs w:val="22"/>
          <w:color w:val="auto"/>
        </w:rPr>
        <w:t>”) through the Expiration Date and such payment shall be payable to you in a lump sum on the 90</w:t>
      </w:r>
      <w:r>
        <w:rPr>
          <w:rFonts w:ascii="Arial" w:cs="Arial" w:eastAsia="Arial" w:hAnsi="Arial"/>
          <w:sz w:val="11"/>
          <w:szCs w:val="11"/>
          <w:color w:val="auto"/>
        </w:rPr>
        <w:t>th</w:t>
      </w:r>
      <w:r>
        <w:rPr>
          <w:rFonts w:ascii="Arial" w:cs="Arial" w:eastAsia="Arial" w:hAnsi="Arial"/>
          <w:sz w:val="22"/>
          <w:szCs w:val="22"/>
          <w:color w:val="auto"/>
        </w:rPr>
        <w:t xml:space="preserve"> day after the Termination Date;</w:t>
      </w:r>
    </w:p>
    <w:p>
      <w:pPr>
        <w:ind w:left="660" w:hanging="652"/>
        <w:spacing w:after="0" w:line="243" w:lineRule="auto"/>
        <w:tabs>
          <w:tab w:leader="none" w:pos="331"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A full bonus based on the amount of your base salary earned by you during the fiscal year in which your employment so terminates (including the base salary payable pursuant to section (1) above), </w:t>
      </w:r>
      <w:r>
        <w:rPr>
          <w:rFonts w:ascii="Arial" w:cs="Arial" w:eastAsia="Arial" w:hAnsi="Arial"/>
          <w:sz w:val="22"/>
          <w:szCs w:val="22"/>
          <w:i w:val="1"/>
          <w:iCs w:val="1"/>
          <w:color w:val="auto"/>
        </w:rPr>
        <w:t>provided</w:t>
      </w:r>
      <w:r>
        <w:rPr>
          <w:rFonts w:ascii="Arial" w:cs="Arial" w:eastAsia="Arial" w:hAnsi="Arial"/>
          <w:sz w:val="22"/>
          <w:szCs w:val="22"/>
          <w:color w:val="auto"/>
        </w:rPr>
        <w:t>, that such bonus, if any, will be payable to you if and when such bonuses are generally paid to similarly situated employees and will be based on your then current annual target bonus as well as Company and your business unit performance as determined by the Compensation Committee in its discretion;</w:t>
      </w:r>
    </w:p>
    <w:p>
      <w:pPr>
        <w:spacing w:after="0" w:line="1" w:lineRule="exact"/>
        <w:rPr>
          <w:rFonts w:ascii="Arial" w:cs="Arial" w:eastAsia="Arial" w:hAnsi="Arial"/>
          <w:sz w:val="22"/>
          <w:szCs w:val="22"/>
          <w:color w:val="auto"/>
        </w:rPr>
      </w:pPr>
    </w:p>
    <w:p>
      <w:pPr>
        <w:ind w:left="660" w:hanging="652"/>
        <w:spacing w:after="0" w:line="244" w:lineRule="auto"/>
        <w:tabs>
          <w:tab w:leader="none" w:pos="318"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If, as of the Termination Date, annual bonuses had not yet generally been paid to similarly situated employees with respect to the prior fiscal year, a bonus based on the amount of your base salary actually paid to you during such prior fiscal year, </w:t>
      </w:r>
      <w:r>
        <w:rPr>
          <w:rFonts w:ascii="Arial" w:cs="Arial" w:eastAsia="Arial" w:hAnsi="Arial"/>
          <w:sz w:val="22"/>
          <w:szCs w:val="22"/>
          <w:i w:val="1"/>
          <w:iCs w:val="1"/>
          <w:color w:val="auto"/>
        </w:rPr>
        <w:t>provided</w:t>
      </w:r>
      <w:r>
        <w:rPr>
          <w:rFonts w:ascii="Arial" w:cs="Arial" w:eastAsia="Arial" w:hAnsi="Arial"/>
          <w:sz w:val="22"/>
          <w:szCs w:val="22"/>
          <w:color w:val="auto"/>
        </w:rPr>
        <w:t>, that such bonus, if any, will be payable to you if and when such bonuses are generally paid to similarly situated</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and will be based on your annual target bonus that was in effect with respect to such prior fiscal year as well as Company and your business unit</w:t>
      </w:r>
    </w:p>
    <w:p>
      <w:pPr>
        <w:sectPr>
          <w:pgSz w:w="11900" w:h="16838" w:orient="portrait"/>
          <w:cols w:equalWidth="0" w:num="1">
            <w:col w:w="11240"/>
          </w:cols>
          <w:pgMar w:left="320" w:top="1428" w:right="339" w:bottom="1440" w:gutter="0" w:footer="0" w:header="0"/>
        </w:sectPr>
      </w:pPr>
    </w:p>
    <w:bookmarkStart w:id="54" w:name="page55"/>
    <w:bookmarkEnd w:id="54"/>
    <w:p>
      <w:pPr>
        <w:ind w:left="660"/>
        <w:spacing w:after="0" w:line="251" w:lineRule="auto"/>
        <w:rPr>
          <w:sz w:val="20"/>
          <w:szCs w:val="20"/>
          <w:color w:val="auto"/>
        </w:rPr>
      </w:pPr>
      <w:r>
        <w:rPr>
          <w:rFonts w:ascii="Arial" w:cs="Arial" w:eastAsia="Arial" w:hAnsi="Arial"/>
          <w:sz w:val="22"/>
          <w:szCs w:val="22"/>
          <w:color w:val="auto"/>
        </w:rPr>
        <w:t>performance as determined by the Compensation Committee in its discretion, but without adjustment for your individual performance; and</w:t>
      </w:r>
    </w:p>
    <w:p>
      <w:pPr>
        <w:spacing w:after="0" w:line="2" w:lineRule="exact"/>
        <w:rPr>
          <w:sz w:val="20"/>
          <w:szCs w:val="20"/>
          <w:color w:val="auto"/>
        </w:rPr>
      </w:pPr>
    </w:p>
    <w:p>
      <w:pPr>
        <w:ind w:left="660" w:hanging="652"/>
        <w:spacing w:after="0" w:line="246" w:lineRule="auto"/>
        <w:tabs>
          <w:tab w:leader="none" w:pos="331" w:val="left"/>
        </w:tabs>
        <w:numPr>
          <w:ilvl w:val="0"/>
          <w:numId w:val="20"/>
        </w:numPr>
        <w:rPr>
          <w:rFonts w:ascii="Arial" w:cs="Arial" w:eastAsia="Arial" w:hAnsi="Arial"/>
          <w:sz w:val="22"/>
          <w:szCs w:val="22"/>
          <w:color w:val="auto"/>
        </w:rPr>
      </w:pPr>
      <w:r>
        <w:rPr>
          <w:rFonts w:ascii="Arial" w:cs="Arial" w:eastAsia="Arial" w:hAnsi="Arial"/>
          <w:sz w:val="22"/>
          <w:szCs w:val="22"/>
          <w:color w:val="auto"/>
        </w:rPr>
        <w:t>Each of your restricted stock units granted pursuant to the Special Equity Award shall immediately vest in full and shall be payable to you on the 90</w:t>
      </w:r>
      <w:r>
        <w:rPr>
          <w:rFonts w:ascii="Arial" w:cs="Arial" w:eastAsia="Arial" w:hAnsi="Arial"/>
          <w:sz w:val="11"/>
          <w:szCs w:val="11"/>
          <w:color w:val="auto"/>
        </w:rPr>
        <w:t>th</w:t>
      </w:r>
      <w:r>
        <w:rPr>
          <w:rFonts w:ascii="Arial" w:cs="Arial" w:eastAsia="Arial" w:hAnsi="Arial"/>
          <w:sz w:val="22"/>
          <w:szCs w:val="22"/>
          <w:color w:val="auto"/>
        </w:rPr>
        <w:t xml:space="preserve"> day after the Termination Date.</w:t>
      </w:r>
    </w:p>
    <w:p>
      <w:pPr>
        <w:spacing w:after="0" w:line="21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If you die after a termination of your employment that is subject to the above, your estate or beneficiaries will be provided any remaining benefits and rights under the above sections (1) through (4).</w:t>
      </w:r>
    </w:p>
    <w:p>
      <w:pPr>
        <w:spacing w:after="0" w:line="20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Except as otherwise set forth herein, in connection with any termination of your employment, your then outstanding equity awards shall be treated in accordance with their terms and, other than as provided in this Agreement, you shall not be eligible for termination benefits under any other plan, program or policy of the Company. Nothing in this Agreement is intended to limit any more favorable rights that you may be entitled to under your equity award agreements, including, without limitation, your rights in the event of a termination of your employment, a “Going Private Transaction” or a “Change of Control” (as those terms are defined in the applicable award agreement).</w:t>
      </w:r>
    </w:p>
    <w:p>
      <w:pPr>
        <w:spacing w:after="0" w:line="2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Early Termination Agreement, you or your estate or beneficiary shall be provided with the following:</w:t>
      </w:r>
    </w:p>
    <w:p>
      <w:pPr>
        <w:spacing w:after="0" w:line="219" w:lineRule="exact"/>
        <w:rPr>
          <w:sz w:val="20"/>
          <w:szCs w:val="20"/>
          <w:color w:val="auto"/>
        </w:rPr>
      </w:pPr>
    </w:p>
    <w:p>
      <w:pPr>
        <w:ind w:left="660" w:hanging="652"/>
        <w:spacing w:after="0" w:line="246" w:lineRule="auto"/>
        <w:tabs>
          <w:tab w:leader="none" w:pos="318"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A prorated bonus based on the amount of your base salary earned by you during the fiscal year through the Termination Date, </w:t>
      </w:r>
      <w:r>
        <w:rPr>
          <w:rFonts w:ascii="Arial" w:cs="Arial" w:eastAsia="Arial" w:hAnsi="Arial"/>
          <w:sz w:val="22"/>
          <w:szCs w:val="22"/>
          <w:i w:val="1"/>
          <w:iCs w:val="1"/>
          <w:color w:val="auto"/>
        </w:rPr>
        <w:t>provided</w:t>
      </w:r>
      <w:r>
        <w:rPr>
          <w:rFonts w:ascii="Arial" w:cs="Arial" w:eastAsia="Arial" w:hAnsi="Arial"/>
          <w:sz w:val="22"/>
          <w:szCs w:val="22"/>
          <w:color w:val="auto"/>
        </w:rPr>
        <w:t>, that such bonus, if any, will be payable to you if and when such bonuses are generally paid to similarly situated</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and will be based on your then current annual target bonus as well as Company and your business unit performance as determined by the Compensation Committee in its discretion, but without adjustment for your individual performance; and</w:t>
      </w:r>
    </w:p>
    <w:p>
      <w:pPr>
        <w:spacing w:after="0" w:line="4" w:lineRule="exact"/>
        <w:rPr>
          <w:rFonts w:ascii="Arial" w:cs="Arial" w:eastAsia="Arial" w:hAnsi="Arial"/>
          <w:sz w:val="22"/>
          <w:szCs w:val="22"/>
          <w:color w:val="auto"/>
        </w:rPr>
      </w:pPr>
    </w:p>
    <w:p>
      <w:pPr>
        <w:ind w:left="660" w:hanging="652"/>
        <w:spacing w:after="0" w:line="254" w:lineRule="auto"/>
        <w:tabs>
          <w:tab w:leader="none" w:pos="318" w:val="left"/>
        </w:tabs>
        <w:numPr>
          <w:ilvl w:val="0"/>
          <w:numId w:val="21"/>
        </w:numPr>
        <w:rPr>
          <w:rFonts w:ascii="Arial" w:cs="Arial" w:eastAsia="Arial" w:hAnsi="Arial"/>
          <w:sz w:val="21"/>
          <w:szCs w:val="21"/>
          <w:color w:val="auto"/>
        </w:rPr>
      </w:pPr>
      <w:r>
        <w:rPr>
          <w:rFonts w:ascii="Arial" w:cs="Arial" w:eastAsia="Arial" w:hAnsi="Arial"/>
          <w:sz w:val="21"/>
          <w:szCs w:val="21"/>
          <w:color w:val="auto"/>
        </w:rPr>
        <w:t xml:space="preserve">If, as of the Termination Date, annual bonuses had not yet generally been paid to similarly situated employees with respect to the prior fiscal year, a bonus based on the amount of your base salary actually paid to you during such prior fiscal year, </w:t>
      </w:r>
      <w:r>
        <w:rPr>
          <w:rFonts w:ascii="Arial" w:cs="Arial" w:eastAsia="Arial" w:hAnsi="Arial"/>
          <w:sz w:val="21"/>
          <w:szCs w:val="21"/>
          <w:i w:val="1"/>
          <w:iCs w:val="1"/>
          <w:color w:val="auto"/>
        </w:rPr>
        <w:t>provided</w:t>
      </w:r>
      <w:r>
        <w:rPr>
          <w:rFonts w:ascii="Arial" w:cs="Arial" w:eastAsia="Arial" w:hAnsi="Arial"/>
          <w:sz w:val="21"/>
          <w:szCs w:val="21"/>
          <w:color w:val="auto"/>
        </w:rPr>
        <w:t>, that such bonus, if any, will be payable to you if and when such bonuses are generally paid to similarly situated</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employees and will be based on your annual target bonus that was in effect with respect to such prior fiscal year as well as Company and your business unit performance as determined by the Compensation Committee in its discretion, but without adjustment for your individual performance.</w:t>
      </w:r>
    </w:p>
    <w:p>
      <w:pPr>
        <w:spacing w:after="0" w:line="5" w:lineRule="exact"/>
        <w:rPr>
          <w:rFonts w:ascii="Arial" w:cs="Arial" w:eastAsia="Arial" w:hAnsi="Arial"/>
          <w:sz w:val="21"/>
          <w:szCs w:val="21"/>
          <w:color w:val="auto"/>
        </w:rPr>
      </w:pPr>
    </w:p>
    <w:p>
      <w:pPr>
        <w:ind w:left="660" w:hanging="652"/>
        <w:spacing w:after="0" w:line="246" w:lineRule="auto"/>
        <w:tabs>
          <w:tab w:leader="none" w:pos="331" w:val="left"/>
        </w:tabs>
        <w:numPr>
          <w:ilvl w:val="0"/>
          <w:numId w:val="21"/>
        </w:numPr>
        <w:rPr>
          <w:rFonts w:ascii="Arial" w:cs="Arial" w:eastAsia="Arial" w:hAnsi="Arial"/>
          <w:sz w:val="22"/>
          <w:szCs w:val="22"/>
          <w:color w:val="auto"/>
        </w:rPr>
      </w:pPr>
      <w:r>
        <w:rPr>
          <w:rFonts w:ascii="Arial" w:cs="Arial" w:eastAsia="Arial" w:hAnsi="Arial"/>
          <w:sz w:val="22"/>
          <w:szCs w:val="22"/>
          <w:color w:val="auto"/>
        </w:rPr>
        <w:t>Each of your restricted stock units granted pursuant to the Special Equity Award shall immediately vest in full and shall be payable to you on the 90</w:t>
      </w:r>
      <w:r>
        <w:rPr>
          <w:rFonts w:ascii="Arial" w:cs="Arial" w:eastAsia="Arial" w:hAnsi="Arial"/>
          <w:sz w:val="11"/>
          <w:szCs w:val="11"/>
          <w:color w:val="auto"/>
        </w:rPr>
        <w:t>th</w:t>
      </w:r>
      <w:r>
        <w:rPr>
          <w:rFonts w:ascii="Arial" w:cs="Arial" w:eastAsia="Arial" w:hAnsi="Arial"/>
          <w:sz w:val="22"/>
          <w:szCs w:val="22"/>
          <w:color w:val="auto"/>
        </w:rPr>
        <w:t xml:space="preserve"> day after termination of your employment.</w:t>
      </w:r>
    </w:p>
    <w:p>
      <w:pPr>
        <w:sectPr>
          <w:pgSz w:w="11900" w:h="16838" w:orient="portrait"/>
          <w:cols w:equalWidth="0" w:num="1">
            <w:col w:w="11240"/>
          </w:cols>
          <w:pgMar w:left="320" w:top="1428" w:right="339" w:bottom="1440" w:gutter="0" w:footer="0" w:header="0"/>
        </w:sectPr>
      </w:pPr>
    </w:p>
    <w:bookmarkStart w:id="55" w:name="page56"/>
    <w:bookmarkEnd w:id="55"/>
    <w:p>
      <w:pPr>
        <w:jc w:val="both"/>
        <w:ind w:firstLine="1296"/>
        <w:spacing w:after="0" w:line="250" w:lineRule="auto"/>
        <w:rPr>
          <w:sz w:val="20"/>
          <w:szCs w:val="20"/>
          <w:color w:val="auto"/>
        </w:rPr>
      </w:pPr>
      <w:r>
        <w:rPr>
          <w:rFonts w:ascii="Arial" w:cs="Arial" w:eastAsia="Arial" w:hAnsi="Arial"/>
          <w:sz w:val="22"/>
          <w:szCs w:val="22"/>
          <w:color w:val="auto"/>
        </w:rPr>
        <w:t>This Agreement does not constitute a guarantee of employment or benefits for any definite period. Your employment may be terminated by you or the Company at any time, with or without notice, liability (subject to the terms of this Agreement) or cause. With the exception of the provisions that, by their term, survive your death, this Agreement shall automatically terminate upon your death.</w:t>
      </w:r>
    </w:p>
    <w:p>
      <w:pPr>
        <w:spacing w:after="0" w:line="21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If and to the extent that any payment or benefit hereunder, or any plan, award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Any amount not paid or benefit not provided in respect of the six-month period specified in the preceding sentence will be paid to you in a lump sum or provided to you as soon as practicable after the expiration of such six-month period. Each payment or benefit hereunder shall be treated as a separate payment for purposes of Section 409A to the extent Section 409A applies to such payments or benefits.</w:t>
      </w:r>
    </w:p>
    <w:p>
      <w:pPr>
        <w:spacing w:after="0" w:line="212"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To the extent you are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spacing w:after="0" w:line="17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The Company may withhold from any payment due to you hereunder any taxes that are required to be withheld under any law, rule or regulation. If any payment otherwise due to you hereunder would result in the imposition of the excise tax imposed by Section 4999 of the Internal Revenue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w:t>
      </w:r>
      <w:r>
        <w:rPr>
          <w:rFonts w:ascii="Arial" w:cs="Arial" w:eastAsia="Arial" w:hAnsi="Arial"/>
          <w:sz w:val="19"/>
          <w:szCs w:val="19"/>
          <w:i w:val="1"/>
          <w:iCs w:val="1"/>
          <w:color w:val="auto"/>
        </w:rPr>
        <w:t>i.e.</w:t>
      </w:r>
      <w:r>
        <w:rPr>
          <w:rFonts w:ascii="Arial" w:cs="Arial" w:eastAsia="Arial" w:hAnsi="Arial"/>
          <w:sz w:val="19"/>
          <w:szCs w:val="19"/>
          <w:color w:val="auto"/>
        </w:rPr>
        <w:t>, later payments will be reduced first) until the reduction specified is achieved.</w:t>
      </w:r>
    </w:p>
    <w:p>
      <w:pPr>
        <w:spacing w:after="0" w:line="184"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w:t>
      </w:r>
    </w:p>
    <w:p>
      <w:pPr>
        <w:sectPr>
          <w:pgSz w:w="11900" w:h="16838" w:orient="portrait"/>
          <w:cols w:equalWidth="0" w:num="1">
            <w:col w:w="11240"/>
          </w:cols>
          <w:pgMar w:left="320" w:top="1428" w:right="339" w:bottom="1440" w:gutter="0" w:footer="0" w:header="0"/>
        </w:sectPr>
      </w:pPr>
    </w:p>
    <w:bookmarkStart w:id="56" w:name="page57"/>
    <w:bookmarkEnd w:id="56"/>
    <w:p>
      <w:pPr>
        <w:jc w:val="both"/>
        <w:spacing w:after="0" w:line="343" w:lineRule="auto"/>
        <w:rPr>
          <w:sz w:val="20"/>
          <w:szCs w:val="20"/>
          <w:color w:val="auto"/>
        </w:rPr>
      </w:pPr>
      <w:r>
        <w:rPr>
          <w:rFonts w:ascii="Arial" w:cs="Arial" w:eastAsia="Arial" w:hAnsi="Arial"/>
          <w:sz w:val="19"/>
          <w:szCs w:val="19"/>
          <w:color w:val="auto"/>
        </w:rPr>
        <w:t>penalties under Section 409A. Neither party shall take any action to accelerate or delay the payment of any monies and/or provision of any benefits that are subject to Section 409A in any manner that would not be in compliance with Section 409A.</w:t>
      </w:r>
    </w:p>
    <w:p>
      <w:pPr>
        <w:spacing w:after="0" w:line="13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Early Termination Agreement as provided for herein.</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You hereby represent to the Company that you are not subject to any contract, arrangement, agreement, policy or understanding, including any restrictive covenants obligations owed to any third-party (other than customary confidentiality restrictions imposed by your prior employer), that would in any way prevent, restrict or limit your ability to enter into and perform your obligations under this Agreement.</w:t>
      </w:r>
    </w:p>
    <w:p>
      <w:pPr>
        <w:spacing w:after="0" w:line="21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209" w:lineRule="exact"/>
        <w:rPr>
          <w:sz w:val="20"/>
          <w:szCs w:val="20"/>
          <w:color w:val="auto"/>
        </w:rPr>
      </w:pPr>
    </w:p>
    <w:p>
      <w:pPr>
        <w:jc w:val="both"/>
        <w:ind w:firstLine="1093"/>
        <w:spacing w:after="0" w:line="256" w:lineRule="auto"/>
        <w:rPr>
          <w:sz w:val="20"/>
          <w:szCs w:val="20"/>
          <w:color w:val="auto"/>
        </w:rPr>
      </w:pPr>
      <w:r>
        <w:rPr>
          <w:rFonts w:ascii="Arial" w:cs="Arial" w:eastAsia="Arial" w:hAnsi="Arial"/>
          <w:sz w:val="22"/>
          <w:szCs w:val="22"/>
          <w:b w:val="1"/>
          <w:bCs w:val="1"/>
          <w:color w:val="auto"/>
        </w:rPr>
        <w:t>To the extent permitted by law, you hereby waive any and all rights to a jury trial with respect to any claim arising out of or in any way connected with or related to this Agreement, your employment by the Company or the termination of your employment with the Company.</w:t>
      </w:r>
    </w:p>
    <w:p>
      <w:pPr>
        <w:spacing w:after="0" w:line="203" w:lineRule="exact"/>
        <w:rPr>
          <w:sz w:val="20"/>
          <w:szCs w:val="20"/>
          <w:color w:val="auto"/>
        </w:rPr>
      </w:pPr>
    </w:p>
    <w:p>
      <w:pPr>
        <w:jc w:val="both"/>
        <w:ind w:firstLine="1093"/>
        <w:spacing w:after="0" w:line="269" w:lineRule="auto"/>
        <w:rPr>
          <w:sz w:val="20"/>
          <w:szCs w:val="20"/>
          <w:color w:val="auto"/>
        </w:rPr>
      </w:pPr>
      <w:r>
        <w:rPr>
          <w:rFonts w:ascii="Arial" w:cs="Arial" w:eastAsia="Arial" w:hAnsi="Arial"/>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9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You and the Company hereby irrevocably submit to the jurisdiction of the courts of the State of New York and the federal courts of the United States of America located in the State of New York solely in respect of the interpretation and enforcement of the provisions of this Agreement, and you and the Company hereby waive, and agree not to assert, as a defense that you are not subject thereto or that the venue thereof may not be appropriate.</w:t>
      </w:r>
    </w:p>
    <w:p>
      <w:pPr>
        <w:spacing w:after="0" w:line="21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You and the Company hereby agree that mailing of notice, process or other papers in connection with any such action or proceeding in any manner as may be permitted by law shall be valid and sufficient service thereof if delivered to you at your address set forth above or to the Company at 11 Penn Plaza, New York, NY 10001, respectively, or to such other address as you or the Company may later designate in writing for the receipt of such notices.</w:t>
      </w:r>
    </w:p>
    <w:p>
      <w:pPr>
        <w:sectPr>
          <w:pgSz w:w="11900" w:h="16838" w:orient="portrait"/>
          <w:cols w:equalWidth="0" w:num="1">
            <w:col w:w="11240"/>
          </w:cols>
          <w:pgMar w:left="320" w:top="1428" w:right="339" w:bottom="1440" w:gutter="0" w:footer="0" w:header="0"/>
        </w:sectPr>
      </w:pPr>
    </w:p>
    <w:bookmarkStart w:id="57" w:name="page58"/>
    <w:bookmarkEnd w:id="57"/>
    <w:p>
      <w:pPr>
        <w:jc w:val="both"/>
        <w:ind w:firstLine="1296"/>
        <w:spacing w:after="0" w:line="263" w:lineRule="auto"/>
        <w:rPr>
          <w:sz w:val="20"/>
          <w:szCs w:val="20"/>
          <w:color w:val="auto"/>
        </w:rPr>
      </w:pPr>
      <w:r>
        <w:rPr>
          <w:rFonts w:ascii="Arial" w:cs="Arial" w:eastAsia="Arial" w:hAnsi="Arial"/>
          <w:sz w:val="22"/>
          <w:szCs w:val="22"/>
          <w:color w:val="auto"/>
        </w:rPr>
        <w:t>This Agreement may not be amended or modified otherwise than by a written agreement executed by the parties hereto or their respective successors and legal representatives.</w:t>
      </w:r>
    </w:p>
    <w:p>
      <w:pPr>
        <w:spacing w:after="0" w:line="202"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This Agreement may be executed in counterparts, each of which shall be deemed to be an original, and all of which together shall constitute one and the same agreement.</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w:t>
      </w:r>
    </w:p>
    <w:p>
      <w:pPr>
        <w:spacing w:after="0" w:line="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Capitalized terms used in this Agreement, including in </w:t>
      </w:r>
      <w:r>
        <w:rPr>
          <w:rFonts w:ascii="Arial" w:cs="Arial" w:eastAsia="Arial" w:hAnsi="Arial"/>
          <w:sz w:val="22"/>
          <w:szCs w:val="22"/>
          <w:i w:val="1"/>
          <w:iCs w:val="1"/>
          <w:color w:val="auto"/>
        </w:rPr>
        <w:t>Annex I</w:t>
      </w:r>
      <w:r>
        <w:rPr>
          <w:rFonts w:ascii="Arial" w:cs="Arial" w:eastAsia="Arial" w:hAnsi="Arial"/>
          <w:sz w:val="22"/>
          <w:szCs w:val="22"/>
          <w:color w:val="auto"/>
        </w:rPr>
        <w:t xml:space="preserve"> and </w:t>
      </w:r>
      <w:r>
        <w:rPr>
          <w:rFonts w:ascii="Arial" w:cs="Arial" w:eastAsia="Arial" w:hAnsi="Arial"/>
          <w:sz w:val="22"/>
          <w:szCs w:val="22"/>
          <w:i w:val="1"/>
          <w:iCs w:val="1"/>
          <w:color w:val="auto"/>
        </w:rPr>
        <w:t>Annex II</w:t>
      </w:r>
      <w:r>
        <w:rPr>
          <w:rFonts w:ascii="Arial" w:cs="Arial" w:eastAsia="Arial" w:hAnsi="Arial"/>
          <w:sz w:val="22"/>
          <w:szCs w:val="22"/>
          <w:color w:val="auto"/>
        </w:rPr>
        <w:t xml:space="preserve"> attached hereto, shall have the meanings set forth below:</w:t>
      </w:r>
    </w:p>
    <w:p>
      <w:pPr>
        <w:spacing w:after="0" w:line="21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xml:space="preserve">” 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in each case, any crime involving moral turpitude or any felony.</w:t>
      </w:r>
    </w:p>
    <w:p>
      <w:pPr>
        <w:spacing w:after="0" w:line="21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Good Reason</w:t>
      </w:r>
      <w:r>
        <w:rPr>
          <w:rFonts w:ascii="Arial" w:cs="Arial" w:eastAsia="Arial" w:hAnsi="Arial"/>
          <w:sz w:val="21"/>
          <w:szCs w:val="21"/>
          <w:color w:val="auto"/>
        </w:rPr>
        <w:t xml:space="preserve">” means that (1) without your consent, (A) your base salary or annual bonus target is reduced, (B) the Company requires that your principal office be located more than fifty miles from Manhattan, (C) the Company materially breaches its obligations to you under this Agreement, (D) you are no longer the Chief Executive Officer of the Company (whether with or without your consent), (E) you report to someone other than the Chairman of the Company’s Board of Directors, or (F) your responsibilities are materially diminished, (2) you have given the Company written notice, referring specifically to this letter and definition, that you do not consent to such action, (3) the Company has not corrected such action within 30 days of receiving such notice, </w:t>
      </w:r>
      <w:r>
        <w:rPr>
          <w:rFonts w:ascii="Arial" w:cs="Arial" w:eastAsia="Arial" w:hAnsi="Arial"/>
          <w:sz w:val="21"/>
          <w:szCs w:val="21"/>
          <w:u w:val="single" w:color="auto"/>
          <w:color w:val="auto"/>
        </w:rPr>
        <w:t>and</w:t>
      </w:r>
      <w:r>
        <w:rPr>
          <w:rFonts w:ascii="Arial" w:cs="Arial" w:eastAsia="Arial" w:hAnsi="Arial"/>
          <w:sz w:val="21"/>
          <w:szCs w:val="21"/>
          <w:color w:val="auto"/>
        </w:rPr>
        <w:t xml:space="preserve"> (4) you voluntarily terminate your employment with the Company within 90 days following the happening of the action described in subsection (1) above.</w:t>
      </w:r>
    </w:p>
    <w:p>
      <w:pPr>
        <w:spacing w:after="0" w:line="21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It is the parties’ intention that this Agreement not be construed more strictly with regard to you or the Company. This Agreement reflects the entire understanding and agreement of you and the Company with respect to the subject matter hereof and supersedes and replaces any and all prior discussions, understandings or arrangements regarding the subject matter herein.</w:t>
      </w:r>
    </w:p>
    <w:p>
      <w:pPr>
        <w:sectPr>
          <w:pgSz w:w="11900" w:h="16838" w:orient="portrait"/>
          <w:cols w:equalWidth="0" w:num="1">
            <w:col w:w="11240"/>
          </w:cols>
          <w:pgMar w:left="320" w:top="1428" w:right="339" w:bottom="1440" w:gutter="0" w:footer="0" w:header="0"/>
        </w:sectPr>
      </w:pPr>
    </w:p>
    <w:bookmarkStart w:id="58" w:name="page59"/>
    <w:bookmarkEnd w:id="58"/>
    <w:p>
      <w:pPr>
        <w:spacing w:after="0" w:line="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176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Jamie Gallagher</w:t>
            </w:r>
          </w:p>
        </w:tc>
      </w:tr>
      <w:tr>
        <w:trPr>
          <w:trHeight w:val="275"/>
        </w:trPr>
        <w:tc>
          <w:tcPr>
            <w:tcW w:w="17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Name: Jamie Gallagher</w:t>
            </w:r>
          </w:p>
        </w:tc>
      </w:tr>
      <w:tr>
        <w:trPr>
          <w:trHeight w:val="239"/>
        </w:trPr>
        <w:tc>
          <w:tcPr>
            <w:tcW w:w="1760" w:type="dxa"/>
            <w:vAlign w:val="bottom"/>
          </w:tcPr>
          <w:p>
            <w:pPr>
              <w:spacing w:after="0"/>
              <w:rPr>
                <w:sz w:val="20"/>
                <w:szCs w:val="20"/>
                <w:color w:val="auto"/>
              </w:rPr>
            </w:pPr>
          </w:p>
        </w:tc>
        <w:tc>
          <w:tcPr>
            <w:tcW w:w="5360" w:type="dxa"/>
            <w:vAlign w:val="bottom"/>
          </w:tcPr>
          <w:p>
            <w:pPr>
              <w:ind w:left="20"/>
              <w:spacing w:after="0" w:line="239" w:lineRule="exact"/>
              <w:rPr>
                <w:sz w:val="20"/>
                <w:szCs w:val="20"/>
                <w:color w:val="auto"/>
              </w:rPr>
            </w:pPr>
            <w:r>
              <w:rPr>
                <w:rFonts w:ascii="Arial" w:cs="Arial" w:eastAsia="Arial" w:hAnsi="Arial"/>
                <w:sz w:val="22"/>
                <w:szCs w:val="22"/>
                <w:color w:val="auto"/>
              </w:rPr>
              <w:t>Title: Executive Vice President &amp;</w:t>
            </w:r>
          </w:p>
        </w:tc>
      </w:tr>
      <w:tr>
        <w:trPr>
          <w:trHeight w:val="274"/>
        </w:trPr>
        <w:tc>
          <w:tcPr>
            <w:tcW w:w="17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172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Matthew Blank</w:t>
            </w:r>
          </w:p>
        </w:tc>
      </w:tr>
      <w:tr>
        <w:trPr>
          <w:trHeight w:val="275"/>
        </w:trPr>
        <w:tc>
          <w:tcPr>
            <w:tcW w:w="172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22"/>
                <w:szCs w:val="22"/>
                <w:color w:val="auto"/>
              </w:rPr>
              <w:t>Name:   Matthew Blank</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Date: August 23, 2021</w:t>
      </w:r>
    </w:p>
    <w:p>
      <w:pPr>
        <w:sectPr>
          <w:pgSz w:w="11900" w:h="16838" w:orient="portrait"/>
          <w:cols w:equalWidth="0" w:num="1">
            <w:col w:w="10139"/>
          </w:cols>
          <w:pgMar w:left="320" w:top="1440"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b w:val="1"/>
          <w:bCs w:val="1"/>
          <w:i w:val="1"/>
          <w:iCs w:val="1"/>
          <w:color w:val="auto"/>
        </w:rPr>
        <w:t>ANNEX I</w:t>
      </w:r>
    </w:p>
    <w:p>
      <w:pPr>
        <w:spacing w:after="0" w:line="247"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This Annex constitutes part of the Agreement dated August 23, 2021, by and between Matthew Blank (“</w:t>
      </w:r>
      <w:r>
        <w:rPr>
          <w:rFonts w:ascii="Arial" w:cs="Arial" w:eastAsia="Arial" w:hAnsi="Arial"/>
          <w:sz w:val="19"/>
          <w:szCs w:val="19"/>
          <w:i w:val="1"/>
          <w:iCs w:val="1"/>
          <w:color w:val="auto"/>
        </w:rPr>
        <w:t>You</w:t>
      </w:r>
      <w:r>
        <w:rPr>
          <w:rFonts w:ascii="Arial" w:cs="Arial" w:eastAsia="Arial" w:hAnsi="Arial"/>
          <w:sz w:val="19"/>
          <w:szCs w:val="19"/>
          <w:color w:val="auto"/>
        </w:rPr>
        <w:t>”) and AMC Networks Inc. (the “</w:t>
      </w:r>
      <w:r>
        <w:rPr>
          <w:rFonts w:ascii="Arial" w:cs="Arial" w:eastAsia="Arial" w:hAnsi="Arial"/>
          <w:sz w:val="19"/>
          <w:szCs w:val="19"/>
          <w:i w:val="1"/>
          <w:iCs w:val="1"/>
          <w:color w:val="auto"/>
        </w:rPr>
        <w:t>Company</w:t>
      </w:r>
      <w:r>
        <w:rPr>
          <w:rFonts w:ascii="Arial" w:cs="Arial" w:eastAsia="Arial" w:hAnsi="Arial"/>
          <w:sz w:val="19"/>
          <w:szCs w:val="19"/>
          <w:color w:val="auto"/>
        </w:rPr>
        <w:t>”). Terms defined in the Agreement shall have the same meanings in this Annex.</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You shall not be precluded from engaging in the following activities:</w:t>
      </w:r>
    </w:p>
    <w:p>
      <w:pPr>
        <w:spacing w:after="0" w:line="1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Serving as a member of the board of directors of Cumulus Media, Inc.</w:t>
      </w:r>
    </w:p>
    <w:p>
      <w:pPr>
        <w:spacing w:after="0" w:line="6" w:lineRule="exact"/>
        <w:rPr>
          <w:rFonts w:ascii="Arial" w:cs="Arial" w:eastAsia="Arial" w:hAnsi="Arial"/>
          <w:sz w:val="22"/>
          <w:szCs w:val="22"/>
          <w:color w:val="auto"/>
        </w:rPr>
      </w:pPr>
    </w:p>
    <w:p>
      <w:pPr>
        <w:ind w:left="640" w:hanging="308"/>
        <w:spacing w:after="0"/>
        <w:tabs>
          <w:tab w:leader="none" w:pos="6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Serving as a member of the board of directors of CuriosityStream Inc.</w:t>
      </w:r>
    </w:p>
    <w:p>
      <w:pPr>
        <w:spacing w:after="0" w:line="3" w:lineRule="exact"/>
        <w:rPr>
          <w:rFonts w:ascii="Arial" w:cs="Arial" w:eastAsia="Arial" w:hAnsi="Arial"/>
          <w:sz w:val="22"/>
          <w:szCs w:val="22"/>
          <w:color w:val="auto"/>
        </w:rPr>
      </w:pPr>
    </w:p>
    <w:p>
      <w:pPr>
        <w:ind w:left="640" w:hanging="308"/>
        <w:spacing w:after="0"/>
        <w:tabs>
          <w:tab w:leader="none" w:pos="6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Serving as a senior advisor to The Raine Group, LLC</w:t>
      </w:r>
    </w:p>
    <w:p>
      <w:pPr>
        <w:spacing w:after="0" w:line="3" w:lineRule="exact"/>
        <w:rPr>
          <w:rFonts w:ascii="Arial" w:cs="Arial" w:eastAsia="Arial" w:hAnsi="Arial"/>
          <w:sz w:val="22"/>
          <w:szCs w:val="22"/>
          <w:color w:val="auto"/>
        </w:rPr>
      </w:pPr>
    </w:p>
    <w:p>
      <w:pPr>
        <w:ind w:left="640" w:hanging="308"/>
        <w:spacing w:after="0"/>
        <w:tabs>
          <w:tab w:leader="none" w:pos="6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Serving as an advisor to D&amp;Z Media Acquisition Corp.</w:t>
      </w:r>
    </w:p>
    <w:p>
      <w:pPr>
        <w:spacing w:after="0" w:line="3" w:lineRule="exact"/>
        <w:rPr>
          <w:rFonts w:ascii="Arial" w:cs="Arial" w:eastAsia="Arial" w:hAnsi="Arial"/>
          <w:sz w:val="22"/>
          <w:szCs w:val="22"/>
          <w:color w:val="auto"/>
        </w:rPr>
      </w:pPr>
    </w:p>
    <w:p>
      <w:pPr>
        <w:ind w:left="640" w:hanging="308"/>
        <w:spacing w:after="0"/>
        <w:tabs>
          <w:tab w:leader="none" w:pos="6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Serving as a Producer for Paradise Square (Broadway Musical)</w:t>
      </w:r>
    </w:p>
    <w:p>
      <w:pPr>
        <w:spacing w:after="0" w:line="3" w:lineRule="exact"/>
        <w:rPr>
          <w:rFonts w:ascii="Arial" w:cs="Arial" w:eastAsia="Arial" w:hAnsi="Arial"/>
          <w:sz w:val="22"/>
          <w:szCs w:val="22"/>
          <w:color w:val="auto"/>
        </w:rPr>
      </w:pPr>
    </w:p>
    <w:p>
      <w:pPr>
        <w:ind w:left="660" w:hanging="328"/>
        <w:spacing w:after="0" w:line="246" w:lineRule="auto"/>
        <w:tabs>
          <w:tab w:leader="none" w:pos="659"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Serving as Executive Producer on several sports/social justice related limited series with Disney for which work is currently in process (no confirmed pickups at this time)</w:t>
      </w:r>
    </w:p>
    <w:p>
      <w:pPr>
        <w:sectPr>
          <w:pgSz w:w="11900" w:h="16838" w:orient="portrait"/>
          <w:cols w:equalWidth="0" w:num="1">
            <w:col w:w="11220"/>
          </w:cols>
          <w:pgMar w:left="320" w:top="1428"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i w:val="1"/>
          <w:iCs w:val="1"/>
          <w:color w:val="auto"/>
        </w:rPr>
        <w:t>ANNEX II</w:t>
      </w:r>
    </w:p>
    <w:p>
      <w:pPr>
        <w:spacing w:after="0" w:line="233" w:lineRule="exact"/>
        <w:rPr>
          <w:sz w:val="20"/>
          <w:szCs w:val="20"/>
          <w:color w:val="auto"/>
        </w:rPr>
      </w:pPr>
    </w:p>
    <w:p>
      <w:pPr>
        <w:ind w:right="20" w:firstLine="1296"/>
        <w:spacing w:after="0" w:line="343" w:lineRule="auto"/>
        <w:rPr>
          <w:sz w:val="20"/>
          <w:szCs w:val="20"/>
          <w:color w:val="auto"/>
        </w:rPr>
      </w:pPr>
      <w:r>
        <w:rPr>
          <w:rFonts w:ascii="Arial" w:cs="Arial" w:eastAsia="Arial" w:hAnsi="Arial"/>
          <w:sz w:val="19"/>
          <w:szCs w:val="19"/>
          <w:color w:val="auto"/>
        </w:rPr>
        <w:t>This Annex constitutes part of the Agreement dated August 23, 2021, by and between Matthew Blank (“</w:t>
      </w:r>
      <w:r>
        <w:rPr>
          <w:rFonts w:ascii="Arial" w:cs="Arial" w:eastAsia="Arial" w:hAnsi="Arial"/>
          <w:sz w:val="19"/>
          <w:szCs w:val="19"/>
          <w:i w:val="1"/>
          <w:iCs w:val="1"/>
          <w:color w:val="auto"/>
        </w:rPr>
        <w:t>You</w:t>
      </w:r>
      <w:r>
        <w:rPr>
          <w:rFonts w:ascii="Arial" w:cs="Arial" w:eastAsia="Arial" w:hAnsi="Arial"/>
          <w:sz w:val="19"/>
          <w:szCs w:val="19"/>
          <w:color w:val="auto"/>
        </w:rPr>
        <w:t>”) and AMC Networks Inc. (the “</w:t>
      </w:r>
      <w:r>
        <w:rPr>
          <w:rFonts w:ascii="Arial" w:cs="Arial" w:eastAsia="Arial" w:hAnsi="Arial"/>
          <w:sz w:val="19"/>
          <w:szCs w:val="19"/>
          <w:i w:val="1"/>
          <w:iCs w:val="1"/>
          <w:color w:val="auto"/>
        </w:rPr>
        <w:t>Company</w:t>
      </w:r>
      <w:r>
        <w:rPr>
          <w:rFonts w:ascii="Arial" w:cs="Arial" w:eastAsia="Arial" w:hAnsi="Arial"/>
          <w:sz w:val="19"/>
          <w:szCs w:val="19"/>
          <w:color w:val="auto"/>
        </w:rPr>
        <w:t>”). Terms defined in the Agreement shall have the same meanings in this Annex.</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322" w:lineRule="exact"/>
        <w:rPr>
          <w:sz w:val="20"/>
          <w:szCs w:val="20"/>
          <w:color w:val="auto"/>
        </w:rPr>
      </w:pPr>
    </w:p>
    <w:p>
      <w:pPr>
        <w:ind w:left="900" w:hanging="154"/>
        <w:spacing w:after="0"/>
        <w:tabs>
          <w:tab w:leader="none" w:pos="900" w:val="left"/>
        </w:tabs>
        <w:numPr>
          <w:ilvl w:val="1"/>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31" w:lineRule="exact"/>
        <w:rPr>
          <w:rFonts w:ascii="Arial" w:cs="Arial" w:eastAsia="Arial" w:hAnsi="Arial"/>
          <w:sz w:val="22"/>
          <w:szCs w:val="22"/>
          <w:b w:val="1"/>
          <w:bCs w:val="1"/>
          <w:color w:val="auto"/>
        </w:rPr>
      </w:pPr>
    </w:p>
    <w:p>
      <w:pPr>
        <w:jc w:val="both"/>
        <w:ind w:firstLine="1304"/>
        <w:spacing w:after="0" w:line="259" w:lineRule="auto"/>
        <w:tabs>
          <w:tab w:leader="none" w:pos="1581" w:val="left"/>
        </w:tabs>
        <w:numPr>
          <w:ilvl w:val="2"/>
          <w:numId w:val="23"/>
        </w:numPr>
        <w:rPr>
          <w:rFonts w:ascii="Arial" w:cs="Arial" w:eastAsia="Arial" w:hAnsi="Arial"/>
          <w:sz w:val="21"/>
          <w:szCs w:val="21"/>
          <w:color w:val="auto"/>
        </w:rPr>
      </w:pP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You agree to keep the existence and terms of this Agreement confidential (unless it is made public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spacing w:after="0" w:line="210" w:lineRule="exact"/>
        <w:rPr>
          <w:rFonts w:ascii="Arial" w:cs="Arial" w:eastAsia="Arial" w:hAnsi="Arial"/>
          <w:sz w:val="21"/>
          <w:szCs w:val="21"/>
          <w:color w:val="auto"/>
        </w:rPr>
      </w:pPr>
    </w:p>
    <w:p>
      <w:pPr>
        <w:jc w:val="both"/>
        <w:ind w:firstLine="1304"/>
        <w:spacing w:after="0" w:line="284" w:lineRule="auto"/>
        <w:tabs>
          <w:tab w:leader="none" w:pos="1593" w:val="left"/>
        </w:tabs>
        <w:numPr>
          <w:ilvl w:val="2"/>
          <w:numId w:val="23"/>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Arial" w:cs="Arial" w:eastAsia="Arial" w:hAnsi="Arial"/>
          <w:sz w:val="19"/>
          <w:szCs w:val="19"/>
          <w:i w:val="1"/>
          <w:iCs w:val="1"/>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 (i) information designated or treated as confidential, (ii) budgets, plans, forecasts or other financial or accounting data;</w:t>
      </w:r>
    </w:p>
    <w:p>
      <w:pPr>
        <w:spacing w:after="0" w:line="3" w:lineRule="exact"/>
        <w:rPr>
          <w:rFonts w:ascii="Arial" w:cs="Arial" w:eastAsia="Arial" w:hAnsi="Arial"/>
          <w:sz w:val="19"/>
          <w:szCs w:val="19"/>
          <w:color w:val="auto"/>
        </w:rPr>
      </w:pPr>
    </w:p>
    <w:p>
      <w:pPr>
        <w:jc w:val="both"/>
        <w:ind w:firstLine="8"/>
        <w:spacing w:after="0" w:line="286" w:lineRule="auto"/>
        <w:tabs>
          <w:tab w:leader="none" w:pos="412" w:val="left"/>
        </w:tabs>
        <w:numPr>
          <w:ilvl w:val="0"/>
          <w:numId w:val="24"/>
        </w:numPr>
        <w:rPr>
          <w:rFonts w:ascii="Arial" w:cs="Arial" w:eastAsia="Arial" w:hAnsi="Arial"/>
          <w:sz w:val="19"/>
          <w:szCs w:val="19"/>
          <w:color w:val="auto"/>
        </w:rPr>
      </w:pPr>
      <w:r>
        <w:rPr>
          <w:rFonts w:ascii="Arial" w:cs="Arial" w:eastAsia="Arial" w:hAnsi="Arial"/>
          <w:sz w:val="19"/>
          <w:szCs w:val="19"/>
          <w:color w:val="auto"/>
        </w:rPr>
        <w:t>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ectPr>
          <w:pgSz w:w="11900" w:h="16838" w:orient="portrait"/>
          <w:cols w:equalWidth="0" w:num="1">
            <w:col w:w="11240"/>
          </w:cols>
          <w:pgMar w:left="320" w:top="1414" w:right="339" w:bottom="1440" w:gutter="0" w:footer="0" w:header="0"/>
        </w:sectPr>
      </w:pPr>
    </w:p>
    <w:bookmarkStart w:id="61" w:name="page62"/>
    <w:bookmarkEnd w:id="61"/>
    <w:p>
      <w:pPr>
        <w:jc w:val="both"/>
        <w:ind w:firstLine="1304"/>
        <w:spacing w:after="0" w:line="253" w:lineRule="auto"/>
        <w:tabs>
          <w:tab w:leader="none" w:pos="1635"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Exception for Disclosure Pursuant to Law</w:t>
      </w:r>
      <w:r>
        <w:rPr>
          <w:rFonts w:ascii="Arial" w:cs="Arial" w:eastAsia="Arial" w:hAnsi="Arial"/>
          <w:sz w:val="22"/>
          <w:szCs w:val="22"/>
          <w:color w:val="auto"/>
        </w:rPr>
        <w:t>. Notwithstanding the foregoing, the obligations set forth in subsection (b) above, other than with respect to subscriber or customer information, shall not apply to Confidential Information that is:</w:t>
      </w:r>
    </w:p>
    <w:p>
      <w:pPr>
        <w:spacing w:after="0" w:line="293" w:lineRule="exact"/>
        <w:rPr>
          <w:rFonts w:ascii="Arial" w:cs="Arial" w:eastAsia="Arial" w:hAnsi="Arial"/>
          <w:sz w:val="22"/>
          <w:szCs w:val="22"/>
          <w:color w:val="auto"/>
        </w:rPr>
      </w:pPr>
    </w:p>
    <w:p>
      <w:pPr>
        <w:ind w:left="900" w:hanging="874"/>
        <w:spacing w:after="0"/>
        <w:tabs>
          <w:tab w:leader="none" w:pos="9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900" w:hanging="874"/>
        <w:spacing w:after="0"/>
        <w:tabs>
          <w:tab w:leader="none" w:pos="9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disclosed to you by a third party with the right to disclose it in good faith; or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00" w:hanging="874"/>
        <w:spacing w:after="0"/>
        <w:tabs>
          <w:tab w:leader="none" w:pos="9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specifically exempted in writing by the applicable Covered Party from the applicability of this Agreement.</w:t>
      </w:r>
    </w:p>
    <w:p>
      <w:pPr>
        <w:spacing w:after="0" w:line="36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212"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25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2 Non-Compete</w:t>
      </w:r>
    </w:p>
    <w:p>
      <w:pPr>
        <w:spacing w:after="0" w:line="13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Arial" w:cs="Arial" w:eastAsia="Arial" w:hAnsi="Arial"/>
          <w:sz w:val="19"/>
          <w:szCs w:val="19"/>
          <w:i w:val="1"/>
          <w:iCs w:val="1"/>
          <w:color w:val="auto"/>
        </w:rPr>
        <w:t>Competitive Entity</w:t>
      </w:r>
      <w:r>
        <w:rPr>
          <w:rFonts w:ascii="Arial" w:cs="Arial" w:eastAsia="Arial" w:hAnsi="Arial"/>
          <w:sz w:val="19"/>
          <w:szCs w:val="19"/>
          <w:color w:val="auto"/>
        </w:rPr>
        <w:t>” 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w:t>
      </w:r>
    </w:p>
    <w:p>
      <w:pPr>
        <w:sectPr>
          <w:pgSz w:w="11900" w:h="16838" w:orient="portrait"/>
          <w:cols w:equalWidth="0" w:num="1">
            <w:col w:w="11240"/>
          </w:cols>
          <w:pgMar w:left="320" w:top="1428" w:right="339" w:bottom="1440" w:gutter="0" w:footer="0" w:header="0"/>
        </w:sectPr>
      </w:pPr>
    </w:p>
    <w:bookmarkStart w:id="62" w:name="page63"/>
    <w:bookmarkEnd w:id="62"/>
    <w:p>
      <w:pPr>
        <w:spacing w:after="0" w:line="306"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3 Additional Understandings</w:t>
      </w:r>
    </w:p>
    <w:p>
      <w:pPr>
        <w:spacing w:after="0" w:line="13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215" w:lineRule="exact"/>
        <w:rPr>
          <w:sz w:val="20"/>
          <w:szCs w:val="20"/>
          <w:color w:val="auto"/>
        </w:rPr>
      </w:pPr>
    </w:p>
    <w:p>
      <w:pPr>
        <w:jc w:val="both"/>
        <w:ind w:firstLine="1093"/>
        <w:spacing w:after="0" w:line="250" w:lineRule="auto"/>
        <w:rPr>
          <w:sz w:val="20"/>
          <w:szCs w:val="20"/>
          <w:color w:val="auto"/>
        </w:rPr>
      </w:pPr>
      <w:r>
        <w:rPr>
          <w:rFonts w:ascii="Arial" w:cs="Arial" w:eastAsia="Arial" w:hAnsi="Arial"/>
          <w:sz w:val="22"/>
          <w:szCs w:val="22"/>
          <w:color w:val="auto"/>
        </w:rPr>
        <w:t xml:space="preserve">This agreement in no way restricts or prevents you from providing truthful testimony concerning the Company or its affiliates (i) as required by court order or other legal process,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you afford the Company written notice and an opportunity to respond prior to such disclosure; or (ii) in proceedings to enforce or defend your rights under this agreement or any other written agreement between you and the Company or its affiliates.</w:t>
      </w:r>
    </w:p>
    <w:p>
      <w:pPr>
        <w:spacing w:after="0" w:line="21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Arial" w:cs="Arial" w:eastAsia="Arial" w:hAnsi="Arial"/>
          <w:sz w:val="21"/>
          <w:szCs w:val="21"/>
          <w:i w:val="1"/>
          <w:iCs w:val="1"/>
          <w:color w:val="auto"/>
        </w:rPr>
        <w:t>Materials</w:t>
      </w:r>
      <w:r>
        <w:rPr>
          <w:rFonts w:ascii="Arial" w:cs="Arial" w:eastAsia="Arial" w:hAnsi="Arial"/>
          <w:sz w:val="21"/>
          <w:szCs w:val="21"/>
          <w:color w:val="auto"/>
        </w:rPr>
        <w:t>”). The Company will have the sole and exclusive authority to use the Materials in any manner that it deems appropriate, in perpetuity, without additional payment to you.</w:t>
      </w:r>
    </w:p>
    <w:p>
      <w:pPr>
        <w:spacing w:after="0" w:line="28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4 Further Cooperation</w:t>
      </w:r>
    </w:p>
    <w:p>
      <w:pPr>
        <w:spacing w:after="0" w:line="11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$6,800.00 per day for each day or part thereof, within 30 days of the approval of the invoice thereof.</w:t>
      </w:r>
    </w:p>
    <w:p>
      <w:pPr>
        <w:spacing w:after="0" w:line="18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w:t>
      </w:r>
    </w:p>
    <w:p>
      <w:pPr>
        <w:sectPr>
          <w:pgSz w:w="11900" w:h="16838" w:orient="portrait"/>
          <w:cols w:equalWidth="0" w:num="1">
            <w:col w:w="11240"/>
          </w:cols>
          <w:pgMar w:left="320" w:top="1440"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expenses. You agree to provide the Company with an estimate of any such expense before it is incurred.</w:t>
      </w:r>
    </w:p>
    <w:p>
      <w:pPr>
        <w:spacing w:after="0" w:line="322"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5 No Hire or Solicit</w:t>
      </w:r>
    </w:p>
    <w:p>
      <w:pPr>
        <w:spacing w:after="0" w:line="13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For the term of the Agreement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This restriction does not apply to any employee who was discharged by the Company or any of its affiliates. In addition, this</w:t>
      </w:r>
    </w:p>
    <w:p>
      <w:pPr>
        <w:spacing w:after="0" w:line="56" w:lineRule="exact"/>
        <w:rPr>
          <w:sz w:val="20"/>
          <w:szCs w:val="20"/>
          <w:color w:val="auto"/>
        </w:rPr>
      </w:pPr>
    </w:p>
    <w:p>
      <w:pPr>
        <w:spacing w:after="0"/>
        <w:tabs>
          <w:tab w:leader="none" w:pos="1800" w:val="left"/>
          <w:tab w:leader="none" w:pos="3080" w:val="left"/>
          <w:tab w:leader="none" w:pos="4280" w:val="left"/>
          <w:tab w:leader="none" w:pos="5880" w:val="left"/>
          <w:tab w:leader="none" w:pos="7140" w:val="left"/>
          <w:tab w:leader="none" w:pos="8500" w:val="left"/>
          <w:tab w:leader="none" w:pos="10260" w:val="left"/>
        </w:tabs>
        <w:rPr>
          <w:sz w:val="20"/>
          <w:szCs w:val="20"/>
          <w:color w:val="auto"/>
        </w:rPr>
      </w:pPr>
      <w:r>
        <w:rPr>
          <w:rFonts w:ascii="Arial" w:cs="Arial" w:eastAsia="Arial" w:hAnsi="Arial"/>
          <w:sz w:val="22"/>
          <w:szCs w:val="22"/>
          <w:color w:val="auto"/>
        </w:rPr>
        <w:t>restriction</w:t>
      </w:r>
      <w:r>
        <w:rPr>
          <w:sz w:val="20"/>
          <w:szCs w:val="20"/>
          <w:color w:val="auto"/>
        </w:rPr>
        <w:tab/>
      </w:r>
      <w:r>
        <w:rPr>
          <w:rFonts w:ascii="Arial" w:cs="Arial" w:eastAsia="Arial" w:hAnsi="Arial"/>
          <w:sz w:val="22"/>
          <w:szCs w:val="22"/>
          <w:color w:val="auto"/>
        </w:rPr>
        <w:t>will</w:t>
      </w:r>
      <w:r>
        <w:rPr>
          <w:sz w:val="20"/>
          <w:szCs w:val="20"/>
          <w:color w:val="auto"/>
        </w:rPr>
        <w:tab/>
      </w:r>
      <w:r>
        <w:rPr>
          <w:rFonts w:ascii="Arial" w:cs="Arial" w:eastAsia="Arial" w:hAnsi="Arial"/>
          <w:sz w:val="22"/>
          <w:szCs w:val="22"/>
          <w:color w:val="auto"/>
        </w:rPr>
        <w:t>not</w:t>
      </w:r>
      <w:r>
        <w:rPr>
          <w:sz w:val="20"/>
          <w:szCs w:val="20"/>
          <w:color w:val="auto"/>
        </w:rPr>
        <w:tab/>
      </w:r>
      <w:r>
        <w:rPr>
          <w:rFonts w:ascii="Arial" w:cs="Arial" w:eastAsia="Arial" w:hAnsi="Arial"/>
          <w:sz w:val="22"/>
          <w:szCs w:val="22"/>
          <w:color w:val="auto"/>
        </w:rPr>
        <w:t>prevent</w:t>
      </w:r>
      <w:r>
        <w:rPr>
          <w:sz w:val="20"/>
          <w:szCs w:val="20"/>
          <w:color w:val="auto"/>
        </w:rPr>
        <w:tab/>
      </w:r>
      <w:r>
        <w:rPr>
          <w:rFonts w:ascii="Arial" w:cs="Arial" w:eastAsia="Arial" w:hAnsi="Arial"/>
          <w:sz w:val="22"/>
          <w:szCs w:val="22"/>
          <w:color w:val="auto"/>
        </w:rPr>
        <w:t>you</w:t>
      </w:r>
      <w:r>
        <w:rPr>
          <w:sz w:val="20"/>
          <w:szCs w:val="20"/>
          <w:color w:val="auto"/>
        </w:rPr>
        <w:tab/>
      </w:r>
      <w:r>
        <w:rPr>
          <w:rFonts w:ascii="Arial" w:cs="Arial" w:eastAsia="Arial" w:hAnsi="Arial"/>
          <w:sz w:val="22"/>
          <w:szCs w:val="22"/>
          <w:color w:val="auto"/>
        </w:rPr>
        <w:t>from</w:t>
      </w:r>
      <w:r>
        <w:rPr>
          <w:sz w:val="20"/>
          <w:szCs w:val="20"/>
          <w:color w:val="auto"/>
        </w:rPr>
        <w:tab/>
      </w:r>
      <w:r>
        <w:rPr>
          <w:rFonts w:ascii="Arial" w:cs="Arial" w:eastAsia="Arial" w:hAnsi="Arial"/>
          <w:sz w:val="22"/>
          <w:szCs w:val="22"/>
          <w:color w:val="auto"/>
        </w:rPr>
        <w:t>providing</w:t>
      </w:r>
      <w:r>
        <w:rPr>
          <w:sz w:val="20"/>
          <w:szCs w:val="20"/>
          <w:color w:val="auto"/>
        </w:rPr>
        <w:tab/>
      </w:r>
      <w:r>
        <w:rPr>
          <w:rFonts w:ascii="Arial" w:cs="Arial" w:eastAsia="Arial" w:hAnsi="Arial"/>
          <w:sz w:val="18"/>
          <w:szCs w:val="18"/>
          <w:color w:val="auto"/>
        </w:rPr>
        <w:t>references.</w:t>
      </w:r>
    </w:p>
    <w:p>
      <w:pPr>
        <w:spacing w:after="0" w:line="30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6 Acknowledgments</w:t>
      </w:r>
    </w:p>
    <w:p>
      <w:pPr>
        <w:spacing w:after="0" w:line="118"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You acknowledge that the restrictions contained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raise the defense that the Company has an adequate remedy at law. Nothing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construed as prohibiting the Company from pursuing any other remedies at law or in equity that it may have or any other rights that it may have under any other agreement. If it is determined that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then, in addition to all other rights and remedies available to the Company, the Company shall have no further obligation to pay you any termination benefits or to provide you with any other rights or benefits to which you would have been entitled pursuant to this Agreement had you not breached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27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7 Survival</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covenants and agreement set forth in this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survive any termination or expiration of this Agreement and any termination of your employment with the Company, in accordance with their respective terms.</w:t>
      </w:r>
    </w:p>
    <w:p>
      <w:pPr>
        <w:sectPr>
          <w:pgSz w:w="11900" w:h="16838" w:orient="portrait"/>
          <w:cols w:equalWidth="0" w:num="1">
            <w:col w:w="11240"/>
          </w:cols>
          <w:pgMar w:left="320" w:top="1428"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911860</wp:posOffset>
            </wp:positionV>
            <wp:extent cx="4088765" cy="8572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0887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August 24, 2021</w:t>
      </w:r>
    </w:p>
    <w:p>
      <w:pPr>
        <w:spacing w:after="0" w:line="217" w:lineRule="auto"/>
        <w:rPr>
          <w:sz w:val="20"/>
          <w:szCs w:val="20"/>
          <w:color w:val="auto"/>
        </w:rPr>
      </w:pPr>
      <w:r>
        <w:rPr>
          <w:rFonts w:ascii="Arial" w:cs="Arial" w:eastAsia="Arial" w:hAnsi="Arial"/>
          <w:sz w:val="22"/>
          <w:szCs w:val="22"/>
          <w:color w:val="auto"/>
        </w:rPr>
        <w:t>Michael J. Sherin III</w:t>
      </w:r>
    </w:p>
    <w:p>
      <w:pPr>
        <w:spacing w:after="0" w:line="218" w:lineRule="auto"/>
        <w:rPr>
          <w:sz w:val="20"/>
          <w:szCs w:val="20"/>
          <w:color w:val="auto"/>
        </w:rPr>
      </w:pPr>
      <w:r>
        <w:rPr>
          <w:rFonts w:ascii="Arial" w:cs="Arial" w:eastAsia="Arial" w:hAnsi="Arial"/>
          <w:sz w:val="22"/>
          <w:szCs w:val="22"/>
          <w:color w:val="auto"/>
        </w:rPr>
        <w:t>c/o AMC Networks Inc.</w:t>
      </w:r>
    </w:p>
    <w:p>
      <w:pPr>
        <w:spacing w:after="0" w:line="218" w:lineRule="auto"/>
        <w:rPr>
          <w:sz w:val="20"/>
          <w:szCs w:val="20"/>
          <w:color w:val="auto"/>
        </w:rPr>
      </w:pPr>
      <w:r>
        <w:rPr>
          <w:rFonts w:ascii="Arial" w:cs="Arial" w:eastAsia="Arial" w:hAnsi="Arial"/>
          <w:sz w:val="22"/>
          <w:szCs w:val="22"/>
          <w:color w:val="auto"/>
        </w:rPr>
        <w:t>11 Penn Plaza</w:t>
      </w:r>
    </w:p>
    <w:p>
      <w:pPr>
        <w:spacing w:after="0" w:line="217" w:lineRule="auto"/>
        <w:rPr>
          <w:sz w:val="20"/>
          <w:szCs w:val="20"/>
          <w:color w:val="auto"/>
        </w:rPr>
      </w:pPr>
      <w:r>
        <w:rPr>
          <w:rFonts w:ascii="Arial" w:cs="Arial" w:eastAsia="Arial" w:hAnsi="Arial"/>
          <w:sz w:val="22"/>
          <w:szCs w:val="22"/>
          <w:color w:val="auto"/>
        </w:rPr>
        <w:t>New York, New York 10001</w:t>
      </w:r>
    </w:p>
    <w:p>
      <w:pPr>
        <w:ind w:left="3900"/>
        <w:spacing w:after="0" w:line="218" w:lineRule="auto"/>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Employment</w:t>
      </w:r>
    </w:p>
    <w:p>
      <w:pPr>
        <w:spacing w:after="0" w:line="218" w:lineRule="auto"/>
        <w:rPr>
          <w:sz w:val="20"/>
          <w:szCs w:val="20"/>
          <w:color w:val="auto"/>
        </w:rPr>
      </w:pPr>
      <w:r>
        <w:rPr>
          <w:rFonts w:ascii="Arial" w:cs="Arial" w:eastAsia="Arial" w:hAnsi="Arial"/>
          <w:sz w:val="22"/>
          <w:szCs w:val="22"/>
          <w:color w:val="auto"/>
        </w:rPr>
        <w:t>Dear Mike:</w:t>
      </w:r>
    </w:p>
    <w:p>
      <w:pPr>
        <w:jc w:val="both"/>
        <w:ind w:firstLine="648"/>
        <w:spacing w:after="0" w:line="293" w:lineRule="auto"/>
        <w:rPr>
          <w:sz w:val="20"/>
          <w:szCs w:val="20"/>
          <w:color w:val="auto"/>
        </w:rPr>
      </w:pPr>
      <w:r>
        <w:rPr>
          <w:rFonts w:ascii="Arial" w:cs="Arial" w:eastAsia="Arial" w:hAnsi="Arial"/>
          <w:sz w:val="19"/>
          <w:szCs w:val="19"/>
          <w:color w:val="auto"/>
        </w:rPr>
        <w:t>I am pleased to forward this letter agreement (the “Agreement”) setting forth the terms of your continued employment with AMC Networks Inc. which, together with its subsidiaries, and affiliates, is referred to herein as the “Company.”</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term of this Agreement shall commence as of the date it is executed by you and the Company (the “Effective Date”), and shall automatically expire on the three-year anniversary of the Effective Date (the “Expiration Date”).</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As of the Effective Date, you will be employed in the position of Executive Vice President and Chief Accounting Officer. You agree to devote substantially all of your business time and attention to the business and affairs of the Company and shall perform your duties in a diligent, competent and skillful manner and in accordance with applicable law.</w:t>
      </w:r>
    </w:p>
    <w:p>
      <w:pPr>
        <w:spacing w:after="0" w:line="16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Beginning on the Effective Date, your annual base salary will be not less than $400,000, subject to annual review and potential increase by the Compensation Committee of the Board of Directors of AMC Networks Inc. (the “Compensation Committee”), in its discretion.</w:t>
      </w:r>
    </w:p>
    <w:p>
      <w:pPr>
        <w:spacing w:after="0" w:line="20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You will also continue to be eligible to participate in our discretionary annual incentive bonus program (“AIP”). Beginning on the Effective Date, your annual target bonus opportunity will be equal to forty percent (40%) of salary. Bonus payments are based on actual salary dollars paid during the year and depend on a number of factors including Company, unit and individual performance. However,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Such bonus shall be earned, only if and when actually paid to, and received by, you.</w:t>
      </w:r>
    </w:p>
    <w:p>
      <w:pPr>
        <w:spacing w:after="0" w:line="20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You will also continue to be eligible, subject to your continued employment by the Company and actual grant by the Compensation Committee in its discretion, to participate in such long-term equity and other incentive programs as are made available in the future to similarly situated executives at the Company. Beginning with awards granted in 2022, it is expected that such awards will consist of annual grants of cash and/or equity awards with an annual target value of not less than $340,000, as determined by the Compensation Committee. For calendar year 2021, you have previously received grants of restricted stock units and cash</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9"/>
          <w:szCs w:val="19"/>
          <w:color w:val="auto"/>
        </w:rPr>
        <w:t xml:space="preserve">performance awards with a combined target value of $225,000. In addition to said grants, in October 2021, you will be recommended to the Compensation Committee for additional grants of long-term incentive awards with a total target value of $115,000, which grants will be comprised of a one-time award of restricted stock units with a target value of $20,000 and a one-time award of cash performance awards with a target value of $95,000.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provided, however, that such terms and conditions shall be consistent with the terms and conditions of the grant agreements received by similarly situated executives;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the purposes of this provision, the Company’s Chief Executive Officer shall not be deemed a “similarly situated executive.”</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You will also be eligible for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We currently offer medical, dental, vision, life, and accidental death and dismemberment insurance; short and long-term disability insurance; a savings and retirement program, and paid holidays. You will be entitled to four (4) weeks’ vacation per year, to be accrued and used in accordance with Company policy. You will also be entitled to reimbursement of business expenses upon submission of appropriate documentation in accordance with Company policy.</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1"/>
          <w:szCs w:val="21"/>
          <w:color w:val="auto"/>
        </w:rPr>
        <w:t>If, prior to the Expiration Date, your employment is involuntarily terminated by the Company for reasons other than “</w:t>
      </w:r>
      <w:r>
        <w:rPr>
          <w:rFonts w:ascii="Arial" w:cs="Arial" w:eastAsia="Arial" w:hAnsi="Arial"/>
          <w:sz w:val="21"/>
          <w:szCs w:val="21"/>
          <w:i w:val="1"/>
          <w:iCs w:val="1"/>
          <w:color w:val="auto"/>
        </w:rPr>
        <w:t>Cause</w:t>
      </w:r>
      <w:r>
        <w:rPr>
          <w:rFonts w:ascii="Arial" w:cs="Arial" w:eastAsia="Arial" w:hAnsi="Arial"/>
          <w:sz w:val="21"/>
          <w:szCs w:val="21"/>
          <w:color w:val="auto"/>
        </w:rPr>
        <w:t>,” then subject to your execution and the effectiveness of a severance agreement (the “Severance Agreement”) to the Company’s satisfaction (to include, without limitation, non-compete (limited to one year), non-disparagement, non-solicitation, confidentiality and further cooperation obligations/restrictions on you as well as a general release by you of the Company and its affiliates), you will be paid no less than an amount (the “Severance Amount”) equal to:</w:t>
      </w:r>
    </w:p>
    <w:p>
      <w:pPr>
        <w:spacing w:after="0" w:line="198" w:lineRule="exact"/>
        <w:rPr>
          <w:sz w:val="20"/>
          <w:szCs w:val="20"/>
          <w:color w:val="auto"/>
        </w:rPr>
      </w:pPr>
    </w:p>
    <w:p>
      <w:pPr>
        <w:jc w:val="both"/>
        <w:ind w:firstLine="656"/>
        <w:spacing w:after="0" w:line="235" w:lineRule="auto"/>
        <w:tabs>
          <w:tab w:leader="none" w:pos="891"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One and one-half (1.5) times the sum of your annual base salary and annual target bonus opportunity each as in effect on the effective date of your termination (the “Termination Date”). Sixty percent (60%) of the payment provided for in this paragraph (the “First Payment”) will be payable to you on the six-month anniversary of the Termination Date and the remaining forty percent (40%) will be payable to you on the twelve-month anniversary of the Termination Date; provided that the maximum portion of the First Payment that is exempt from Section 409A (as defined below) will be payable to you on or before the seventy-fifth (75) day following the date your employment so terminates; </w:t>
      </w:r>
      <w:r>
        <w:rPr>
          <w:rFonts w:ascii="Arial" w:cs="Arial" w:eastAsia="Arial" w:hAnsi="Arial"/>
          <w:sz w:val="21"/>
          <w:szCs w:val="21"/>
          <w:i w:val="1"/>
          <w:iCs w:val="1"/>
          <w:color w:val="auto"/>
        </w:rPr>
        <w:t>plus</w:t>
      </w:r>
    </w:p>
    <w:p>
      <w:pPr>
        <w:spacing w:after="0" w:line="201" w:lineRule="exact"/>
        <w:rPr>
          <w:rFonts w:ascii="Arial" w:cs="Arial" w:eastAsia="Arial" w:hAnsi="Arial"/>
          <w:sz w:val="21"/>
          <w:szCs w:val="21"/>
          <w:color w:val="auto"/>
        </w:rPr>
      </w:pPr>
    </w:p>
    <w:p>
      <w:pPr>
        <w:jc w:val="both"/>
        <w:ind w:firstLine="656"/>
        <w:spacing w:after="0" w:line="226" w:lineRule="auto"/>
        <w:tabs>
          <w:tab w:leader="none" w:pos="883"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A prorated annual bonus based on the amount of your then current annual base salary actually earned by you during the fiscal year through the Termination Date, provided, that such bonus, if any, will be payable to you if and when such bonuses are generally paid to similarly situated employees and will be based on your then current annual target bonus as well as Company and your business unit performance as determined by the Company in its discretion, but without adjustment for your individual performance; </w:t>
      </w:r>
      <w:r>
        <w:rPr>
          <w:rFonts w:ascii="Arial" w:cs="Arial" w:eastAsia="Arial" w:hAnsi="Arial"/>
          <w:sz w:val="22"/>
          <w:szCs w:val="22"/>
          <w:i w:val="1"/>
          <w:iCs w:val="1"/>
          <w:color w:val="auto"/>
        </w:rPr>
        <w:t>and</w:t>
      </w:r>
    </w:p>
    <w:p>
      <w:pPr>
        <w:sectPr>
          <w:pgSz w:w="11900" w:h="16838" w:orient="portrait"/>
          <w:cols w:equalWidth="0" w:num="1">
            <w:col w:w="11240"/>
          </w:cols>
          <w:pgMar w:left="320" w:top="1414" w:right="339" w:bottom="1440" w:gutter="0" w:footer="0" w:header="0"/>
        </w:sectPr>
      </w:pPr>
    </w:p>
    <w:bookmarkStart w:id="66" w:name="page67"/>
    <w:bookmarkEnd w:id="66"/>
    <w:p>
      <w:pPr>
        <w:jc w:val="both"/>
        <w:ind w:firstLine="656"/>
        <w:spacing w:after="0" w:line="267" w:lineRule="auto"/>
        <w:tabs>
          <w:tab w:leader="none" w:pos="89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If, as of the Termination Date, bonuses had not yet generally been paid to similarly situated employees with respect to the prior fiscal year, a bonus based on the amount of your base salary actually paid to you during such prior fiscal year, </w:t>
      </w:r>
      <w:r>
        <w:rPr>
          <w:rFonts w:ascii="Arial" w:cs="Arial" w:eastAsia="Arial" w:hAnsi="Arial"/>
          <w:sz w:val="19"/>
          <w:szCs w:val="19"/>
          <w:i w:val="1"/>
          <w:iCs w:val="1"/>
          <w:color w:val="auto"/>
        </w:rPr>
        <w:t>provided</w:t>
      </w:r>
      <w:r>
        <w:rPr>
          <w:rFonts w:ascii="Arial" w:cs="Arial" w:eastAsia="Arial" w:hAnsi="Arial"/>
          <w:sz w:val="19"/>
          <w:szCs w:val="19"/>
          <w:color w:val="auto"/>
        </w:rPr>
        <w:t>, that such bonus, if any, will be payable to you if and when such bonuses are generally paid to similarly situated employees and will be based on your annual target bonus that was in effect with respect to such prior fiscal year as well as Company and your business unit performance as determined by the Company, but without adjustment for your individual performance.</w:t>
      </w:r>
    </w:p>
    <w:p>
      <w:pPr>
        <w:spacing w:after="0" w:line="17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If you die after a termination of your employment that is subject to the above, your estate or beneficiaries will be provided any remaining benefits and rights under the above Sections (1) through (3).</w:t>
      </w:r>
    </w:p>
    <w:p>
      <w:pPr>
        <w:spacing w:after="0" w:line="19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In connection with any termination of your employment, your then outstanding long-term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long-term incentive award agreements, including, without limitation, your rights in the event of a termination of your employment, a “Going Private Transaction” or a “Change of Control” (as those terms are defined in the applicable award agreement).</w:t>
      </w:r>
    </w:p>
    <w:p>
      <w:pPr>
        <w:spacing w:after="0" w:line="20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1"/>
          <w:szCs w:val="21"/>
          <w:color w:val="auto"/>
        </w:rPr>
        <w:t>For purposes of this Agreement, “</w:t>
      </w:r>
      <w:r>
        <w:rPr>
          <w:rFonts w:ascii="Arial" w:cs="Arial" w:eastAsia="Arial" w:hAnsi="Arial"/>
          <w:sz w:val="21"/>
          <w:szCs w:val="21"/>
          <w:i w:val="1"/>
          <w:iCs w:val="1"/>
          <w:color w:val="auto"/>
        </w:rPr>
        <w:t>Cause</w:t>
      </w:r>
      <w:r>
        <w:rPr>
          <w:rFonts w:ascii="Arial" w:cs="Arial" w:eastAsia="Arial" w:hAnsi="Arial"/>
          <w:sz w:val="21"/>
          <w:szCs w:val="21"/>
          <w:color w:val="auto"/>
        </w:rPr>
        <w:t xml:space="preserve">” means, as determined by the Company,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1"/>
          <w:szCs w:val="21"/>
          <w:i w:val="1"/>
          <w:iCs w:val="1"/>
          <w:color w:val="auto"/>
        </w:rPr>
        <w:t>nolo contendere</w:t>
      </w:r>
      <w:r>
        <w:rPr>
          <w:rFonts w:ascii="Arial" w:cs="Arial" w:eastAsia="Arial" w:hAnsi="Arial"/>
          <w:sz w:val="21"/>
          <w:szCs w:val="21"/>
          <w:color w:val="auto"/>
        </w:rPr>
        <w:t>, or imposition of unadjudicated probation for any crime involving moral turpitude or any felony.</w:t>
      </w:r>
    </w:p>
    <w:p>
      <w:pPr>
        <w:spacing w:after="0" w:line="19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 xml:space="preserve">Effective immediately, you and the Company agree to be bound by the additional covenants and provisions applicable to each that are set forth in the </w:t>
      </w:r>
      <w:r>
        <w:rPr>
          <w:rFonts w:ascii="Arial" w:cs="Arial" w:eastAsia="Arial" w:hAnsi="Arial"/>
          <w:sz w:val="19"/>
          <w:szCs w:val="19"/>
          <w:i w:val="1"/>
          <w:iCs w:val="1"/>
          <w:color w:val="auto"/>
        </w:rPr>
        <w:t>Annex</w:t>
      </w:r>
      <w:r>
        <w:rPr>
          <w:rFonts w:ascii="Arial" w:cs="Arial" w:eastAsia="Arial" w:hAnsi="Arial"/>
          <w:sz w:val="19"/>
          <w:szCs w:val="19"/>
          <w:color w:val="auto"/>
        </w:rPr>
        <w:t xml:space="preserve"> attached hereto, which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deemed to be a part of this Agreement.</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This Agreement does not constitute a guarantee of employment for any definite period or on any specific terms. Your employment is at will and may be terminated by you or the Company at any time, with or without notice or reason. The Company may withhold from any payment due to you any taxes that are required to be withheld under any law, rule or regulation.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any payment otherwise due to you hereunder would result in the imposition of the excise tax imposed by Section 4999 of the Internal Revenue Code, as amended (the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(i.e., later payments will be reduced first) until the reduction specified is achieved.</w:t>
      </w:r>
    </w:p>
    <w:p>
      <w:pPr>
        <w:sectPr>
          <w:pgSz w:w="11900" w:h="16838" w:orient="portrait"/>
          <w:cols w:equalWidth="0" w:num="1">
            <w:col w:w="11240"/>
          </w:cols>
          <w:pgMar w:left="320" w:top="1414" w:right="339" w:bottom="1440" w:gutter="0" w:footer="0" w:header="0"/>
        </w:sectPr>
      </w:pPr>
    </w:p>
    <w:bookmarkStart w:id="67" w:name="page68"/>
    <w:bookmarkEnd w:id="67"/>
    <w:p>
      <w:pPr>
        <w:jc w:val="both"/>
        <w:ind w:firstLine="648"/>
        <w:spacing w:after="0" w:line="258" w:lineRule="auto"/>
        <w:rPr>
          <w:sz w:val="20"/>
          <w:szCs w:val="20"/>
          <w:color w:val="auto"/>
        </w:rPr>
      </w:pPr>
      <w:r>
        <w:rPr>
          <w:rFonts w:ascii="Arial" w:cs="Arial" w:eastAsia="Arial" w:hAnsi="Arial"/>
          <w:sz w:val="19"/>
          <w:szCs w:val="19"/>
          <w:color w:val="auto"/>
        </w:rPr>
        <w:t>It is intended that this Agreement will comply with Section 409A of the Code (together with the applicable regulations thereunder, “Section 409A”) and to the extent the Agreement is subject thereto, the Agreement shall be interpreted on a basis consistent with such intent. If and to the extent that any payment or benefit under this Agreement, or any plan, award or arrangement of the Company or its affiliates, constitutes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as determined by the Company), such payment or benefit shall not be made or provided before the date that is six months after the date of your separation from service (or your earlier death) as set forth herein. Any amount not paid or benefit not provided in respect of the six-month period specified in the preceding sentence will be paid to you in the manner set forth in this Agreement. Any such payment or benefit shall be treated as a separate payment for purposes of Section 409A to the extent Section 409A applies to such payments.</w:t>
      </w:r>
    </w:p>
    <w:p>
      <w:pPr>
        <w:spacing w:after="0" w:line="18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20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spacing w:after="0" w:line="197"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To the extent permitted by law, you hereby waive any and all rights to the jury trial with respect to any matter relating to this Agreement.</w:t>
      </w:r>
    </w:p>
    <w:p>
      <w:pPr>
        <w:spacing w:after="0" w:line="190"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You hereby irrevocably submit to the jurisdiction of the courts of the State of New York and the federal courts of the United States of America located in the State of New York solely in respect of the interpretation and enforcement of the provisions of this Agreement, and you hereby waive, and agree not to assert, as a defense that you are not subject thereto or that the venue thereof may not be appropriate. You hereby agree that mailing of process or other papers in connection with any such action or proceeding in any manner as may be permitted by law shall be valid and sufficient service thereof.</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This Agreement may not be amended or modified otherwise than by a written agreement executed by the parties hereto or their respective successors and legal representatives. The invalidity or unenforceability of any provision of this Agreement shall not affect the validity or</w:t>
      </w:r>
    </w:p>
    <w:p>
      <w:pPr>
        <w:sectPr>
          <w:pgSz w:w="11900" w:h="16838" w:orient="portrait"/>
          <w:cols w:equalWidth="0" w:num="1">
            <w:col w:w="11240"/>
          </w:cols>
          <w:pgMar w:left="320" w:top="1414" w:right="339" w:bottom="1440" w:gutter="0" w:footer="0" w:header="0"/>
        </w:sectPr>
      </w:pPr>
    </w:p>
    <w:bookmarkStart w:id="68" w:name="page69"/>
    <w:bookmarkEnd w:id="68"/>
    <w:p>
      <w:pPr>
        <w:jc w:val="both"/>
        <w:spacing w:after="0" w:line="226" w:lineRule="auto"/>
        <w:rPr>
          <w:sz w:val="20"/>
          <w:szCs w:val="20"/>
          <w:color w:val="auto"/>
        </w:rPr>
      </w:pPr>
      <w:r>
        <w:rPr>
          <w:rFonts w:ascii="Arial" w:cs="Arial" w:eastAsia="Arial" w:hAnsi="Arial"/>
          <w:sz w:val="22"/>
          <w:szCs w:val="22"/>
          <w:color w:val="auto"/>
        </w:rPr>
        <w:t>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 It is the parties’ intention that this Agreement not be construed more strictly with regard to you or the Company.</w:t>
      </w:r>
    </w:p>
    <w:p>
      <w:pPr>
        <w:spacing w:after="0" w:line="199"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This Agreement sets forth the entire agreement between the parties concerning the subject matter hereof and supersedes all prior agreements and understandings, both oral and written, between the parties with respect to the subject matter hereof.</w:t>
      </w:r>
    </w:p>
    <w:p>
      <w:pPr>
        <w:spacing w:after="0" w:line="13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This Agreement will automatically terminate, and be of no further force or effect, on the earlier of (a) August 30, 2021 if it is not acknowledged by you below prior to such date, or (b) the Expiration Date (except as to any right that accrued prior to such date to receive the Severance Amount subject to the execution and effectiveness of the Severance Agreement); provided, however, that the confidentiality obligations set forth herein and the covenants and agreements set forth in the Annex shall survive any termination or expiration of this Agreement, and any termination of your employment with the Company, in accordance with their respective terms.</w:t>
      </w:r>
    </w:p>
    <w:p>
      <w:pPr>
        <w:spacing w:after="0" w:line="200" w:lineRule="exact"/>
        <w:rPr>
          <w:sz w:val="20"/>
          <w:szCs w:val="20"/>
          <w:color w:val="auto"/>
        </w:rPr>
      </w:pPr>
    </w:p>
    <w:p>
      <w:pPr>
        <w:spacing w:after="0" w:line="246" w:lineRule="exact"/>
        <w:rPr>
          <w:sz w:val="20"/>
          <w:szCs w:val="20"/>
          <w:color w:val="auto"/>
        </w:rPr>
      </w:pPr>
    </w:p>
    <w:p>
      <w:pPr>
        <w:ind w:left="3660" w:right="160" w:hanging="2996"/>
        <w:spacing w:after="0" w:line="239" w:lineRule="auto"/>
        <w:rPr>
          <w:sz w:val="20"/>
          <w:szCs w:val="20"/>
          <w:color w:val="auto"/>
        </w:rPr>
      </w:pPr>
      <w:r>
        <w:rPr>
          <w:rFonts w:ascii="Arial" w:cs="Arial" w:eastAsia="Arial" w:hAnsi="Arial"/>
          <w:sz w:val="22"/>
          <w:szCs w:val="22"/>
          <w:color w:val="auto"/>
        </w:rPr>
        <w:t>We continue to appreciate your ongoing services to the Company and look forward to your execution of this Agreement. Sincerely,</w:t>
      </w:r>
    </w:p>
    <w:p>
      <w:pPr>
        <w:spacing w:after="0" w:line="193" w:lineRule="exact"/>
        <w:rPr>
          <w:sz w:val="20"/>
          <w:szCs w:val="20"/>
          <w:color w:val="auto"/>
        </w:rPr>
      </w:pPr>
    </w:p>
    <w:p>
      <w:pPr>
        <w:ind w:left="3660"/>
        <w:spacing w:after="0"/>
        <w:rPr>
          <w:sz w:val="20"/>
          <w:szCs w:val="20"/>
          <w:color w:val="auto"/>
        </w:rPr>
      </w:pPr>
      <w:r>
        <w:rPr>
          <w:rFonts w:ascii="Arial" w:cs="Arial" w:eastAsia="Arial" w:hAnsi="Arial"/>
          <w:sz w:val="22"/>
          <w:szCs w:val="22"/>
          <w:u w:val="single" w:color="auto"/>
          <w:color w:val="auto"/>
        </w:rPr>
        <w:t>/s/ Christina Spade</w:t>
      </w:r>
    </w:p>
    <w:p>
      <w:pPr>
        <w:ind w:left="1140"/>
        <w:spacing w:after="0" w:line="217" w:lineRule="auto"/>
        <w:rPr>
          <w:sz w:val="20"/>
          <w:szCs w:val="20"/>
          <w:color w:val="auto"/>
        </w:rPr>
      </w:pPr>
      <w:r>
        <w:rPr>
          <w:rFonts w:ascii="Arial" w:cs="Arial" w:eastAsia="Arial" w:hAnsi="Arial"/>
          <w:sz w:val="22"/>
          <w:szCs w:val="22"/>
          <w:color w:val="auto"/>
        </w:rPr>
        <w:t>Christina Spade</w:t>
      </w:r>
    </w:p>
    <w:p>
      <w:pPr>
        <w:ind w:left="3240"/>
        <w:spacing w:after="0" w:line="218" w:lineRule="auto"/>
        <w:rPr>
          <w:sz w:val="20"/>
          <w:szCs w:val="20"/>
          <w:color w:val="auto"/>
        </w:rPr>
      </w:pPr>
      <w:r>
        <w:rPr>
          <w:rFonts w:ascii="Arial" w:cs="Arial" w:eastAsia="Arial" w:hAnsi="Arial"/>
          <w:sz w:val="22"/>
          <w:szCs w:val="22"/>
          <w:color w:val="auto"/>
        </w:rPr>
        <w:t>Executive Vice President and Chief Financial Officer</w:t>
      </w:r>
    </w:p>
    <w:p>
      <w:pPr>
        <w:ind w:left="3660"/>
        <w:spacing w:after="0"/>
        <w:rPr>
          <w:sz w:val="20"/>
          <w:szCs w:val="20"/>
          <w:color w:val="auto"/>
        </w:rPr>
      </w:pPr>
      <w:r>
        <w:rPr>
          <w:rFonts w:ascii="Arial" w:cs="Arial" w:eastAsia="Arial" w:hAnsi="Arial"/>
          <w:sz w:val="22"/>
          <w:szCs w:val="22"/>
          <w:color w:val="auto"/>
        </w:rPr>
        <w:t>AMC Networks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Michael J. Sherin III</w:t>
      </w:r>
      <w:r>
        <w:rPr>
          <w:rFonts w:ascii="Arial" w:cs="Arial" w:eastAsia="Arial" w:hAnsi="Arial"/>
          <w:sz w:val="22"/>
          <w:szCs w:val="22"/>
          <w:color w:val="auto"/>
        </w:rPr>
        <w:t>_________</w:t>
      </w:r>
    </w:p>
    <w:p>
      <w:pPr>
        <w:spacing w:after="0"/>
        <w:rPr>
          <w:sz w:val="20"/>
          <w:szCs w:val="20"/>
          <w:color w:val="auto"/>
        </w:rPr>
      </w:pPr>
      <w:r>
        <w:rPr>
          <w:rFonts w:ascii="Arial" w:cs="Arial" w:eastAsia="Arial" w:hAnsi="Arial"/>
          <w:sz w:val="22"/>
          <w:szCs w:val="22"/>
          <w:color w:val="auto"/>
        </w:rPr>
        <w:t>Michael J. Sherin III</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8/24/2021</w:t>
      </w:r>
      <w:r>
        <w:rPr>
          <w:rFonts w:ascii="Arial" w:cs="Arial" w:eastAsia="Arial" w:hAnsi="Arial"/>
          <w:sz w:val="22"/>
          <w:szCs w:val="22"/>
          <w:color w:val="auto"/>
        </w:rPr>
        <w:t>_______________</w:t>
      </w: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240"/>
          </w:cols>
          <w:pgMar w:left="320" w:top="141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i w:val="1"/>
          <w:iCs w:val="1"/>
          <w:color w:val="auto"/>
        </w:rPr>
        <w:t>ANNEX</w:t>
      </w:r>
    </w:p>
    <w:p>
      <w:pPr>
        <w:spacing w:after="0" w:line="220"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This Annex constitutes part of the Agreement, dated August 24, 2021, by and between Michael J. Sherin III (“</w:t>
      </w:r>
      <w:r>
        <w:rPr>
          <w:rFonts w:ascii="Arial" w:cs="Arial" w:eastAsia="Arial" w:hAnsi="Arial"/>
          <w:sz w:val="22"/>
          <w:szCs w:val="22"/>
          <w:i w:val="1"/>
          <w:iCs w:val="1"/>
          <w:color w:val="auto"/>
        </w:rPr>
        <w:t>You</w:t>
      </w:r>
      <w:r>
        <w:rPr>
          <w:rFonts w:ascii="Arial" w:cs="Arial" w:eastAsia="Arial" w:hAnsi="Arial"/>
          <w:sz w:val="22"/>
          <w:szCs w:val="22"/>
          <w:color w:val="auto"/>
        </w:rPr>
        <w:t>”) and the Company. Terms defined in the Agreement shall have the same meanings in this Annex.</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214"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5" w:lineRule="exact"/>
        <w:rPr>
          <w:rFonts w:ascii="Arial" w:cs="Arial" w:eastAsia="Arial" w:hAnsi="Arial"/>
          <w:sz w:val="22"/>
          <w:szCs w:val="22"/>
          <w:b w:val="1"/>
          <w:bCs w:val="1"/>
          <w:color w:val="auto"/>
        </w:rPr>
      </w:pPr>
    </w:p>
    <w:p>
      <w:pPr>
        <w:jc w:val="both"/>
        <w:ind w:firstLine="656"/>
        <w:spacing w:after="0" w:line="224" w:lineRule="auto"/>
        <w:tabs>
          <w:tab w:leader="none" w:pos="942"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You agree to keep the existence and terms of this Agreement confidential (unless it is made public by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and (2) you are authorized to disclose this Agreement and its terms to your legal, financial and tax advisors or to members of your immediate family so long as such advisors and family members agree to maintain the confidentiality of the Agreement.</w:t>
      </w:r>
    </w:p>
    <w:p>
      <w:pPr>
        <w:spacing w:after="0" w:line="203" w:lineRule="exact"/>
        <w:rPr>
          <w:rFonts w:ascii="Arial" w:cs="Arial" w:eastAsia="Arial" w:hAnsi="Arial"/>
          <w:sz w:val="22"/>
          <w:szCs w:val="22"/>
          <w:color w:val="auto"/>
        </w:rPr>
      </w:pPr>
    </w:p>
    <w:p>
      <w:pPr>
        <w:jc w:val="both"/>
        <w:ind w:firstLine="656"/>
        <w:spacing w:after="0" w:line="256" w:lineRule="auto"/>
        <w:tabs>
          <w:tab w:leader="none" w:pos="994"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xml:space="preserve">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Arial" w:cs="Arial" w:eastAsia="Arial" w:hAnsi="Arial"/>
          <w:sz w:val="19"/>
          <w:szCs w:val="19"/>
          <w:i w:val="1"/>
          <w:iCs w:val="1"/>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officers, directors,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186" w:lineRule="exact"/>
        <w:rPr>
          <w:rFonts w:ascii="Arial" w:cs="Arial" w:eastAsia="Arial" w:hAnsi="Arial"/>
          <w:sz w:val="19"/>
          <w:szCs w:val="19"/>
          <w:color w:val="auto"/>
        </w:rPr>
      </w:pPr>
    </w:p>
    <w:p>
      <w:pPr>
        <w:jc w:val="both"/>
        <w:ind w:firstLine="656"/>
        <w:spacing w:after="0" w:line="239" w:lineRule="auto"/>
        <w:tabs>
          <w:tab w:leader="none" w:pos="942"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Exception for Disclosure Pursuant to Law.</w:t>
      </w:r>
      <w:r>
        <w:rPr>
          <w:rFonts w:ascii="Arial" w:cs="Arial" w:eastAsia="Arial" w:hAnsi="Arial"/>
          <w:sz w:val="21"/>
          <w:szCs w:val="21"/>
          <w:color w:val="auto"/>
        </w:rPr>
        <w:t xml:space="preserve"> Notwithstanding anything contained elsewhere in this Agreement, you are authorized to make any disclosure required of you by any federal, state or local laws or judicial, arbitral or governmental agency proceedings, including, but not limited to, providing truthful testimony concerning the Company or its affiliates as required by court order or other legal process; after providing the Company with prior written</w:t>
      </w:r>
    </w:p>
    <w:p>
      <w:pPr>
        <w:sectPr>
          <w:pgSz w:w="11900" w:h="16838" w:orient="portrait"/>
          <w:cols w:equalWidth="0" w:num="1">
            <w:col w:w="11240"/>
          </w:cols>
          <w:pgMar w:left="320" w:top="1414" w:right="339" w:bottom="1440" w:gutter="0" w:footer="0" w:header="0"/>
        </w:sectPr>
      </w:pPr>
    </w:p>
    <w:bookmarkStart w:id="70" w:name="page71"/>
    <w:bookmarkEnd w:id="70"/>
    <w:p>
      <w:pPr>
        <w:jc w:val="both"/>
        <w:ind w:right="20"/>
        <w:spacing w:after="0" w:line="231" w:lineRule="auto"/>
        <w:rPr>
          <w:sz w:val="20"/>
          <w:szCs w:val="20"/>
          <w:color w:val="auto"/>
        </w:rPr>
      </w:pPr>
      <w:r>
        <w:rPr>
          <w:rFonts w:ascii="Arial" w:cs="Arial" w:eastAsia="Arial" w:hAnsi="Arial"/>
          <w:sz w:val="22"/>
          <w:szCs w:val="22"/>
          <w:color w:val="auto"/>
        </w:rPr>
        <w:t>notice and an opportunity to respond prior to such disclosure. In addition, this Agreement in no way restricts or prevents you from providing truthful testimony concerning the Company to judicial, administrative, regulatory or other governmental authorities.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By signing this Agreement, you acknowledge that you have been advised that pursuant to the federal Defend Trade Secrets Act of 2016, you may not be held criminally or civilly liable under any federal or state trade secret law for disclosing a trade secret: (i) in confidence, to a federal, state, or local government official, or to your attorneys, for the purpose of reporting or investigating a suspected violation of the law; or (ii) in a complaint or other court document filed in connection with a lawsuit or court proceeding, provided that said filing is made under seal. In addition, you acknowledge that you have been advised that if you file an action for retaliation against the Company for reporting a suspected violation of law, you may disclose a trade secret to your attorneys and use the trade secret in connection with the court proceeding provided that you: (i) file any document containing the trade secret under seal; and (ii) do not disclose the trade secret, except pursuant to court order.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Non-Compete</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Arial" w:cs="Arial" w:eastAsia="Arial" w:hAnsi="Arial"/>
          <w:sz w:val="19"/>
          <w:szCs w:val="19"/>
          <w:i w:val="1"/>
          <w:iCs w:val="1"/>
          <w:color w:val="auto"/>
        </w:rPr>
        <w:t>Competitive Entity</w:t>
      </w:r>
      <w:r>
        <w:rPr>
          <w:rFonts w:ascii="Arial" w:cs="Arial" w:eastAsia="Arial" w:hAnsi="Arial"/>
          <w:sz w:val="19"/>
          <w:szCs w:val="19"/>
          <w:color w:val="auto"/>
        </w:rPr>
        <w:t>” shall mean (1) any person, entity or business that (i) competes with any of the Company’s or any of its affiliates’ programming, distribution or other existing businesses, internationally,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Additional Understandings</w:t>
      </w:r>
    </w:p>
    <w:p>
      <w:pPr>
        <w:spacing w:after="0" w:line="22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1"/>
          <w:szCs w:val="21"/>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w:t>
      </w:r>
    </w:p>
    <w:p>
      <w:pPr>
        <w:sectPr>
          <w:pgSz w:w="11900" w:h="16838" w:orient="portrait"/>
          <w:cols w:equalWidth="0" w:num="1">
            <w:col w:w="11240"/>
          </w:cols>
          <w:pgMar w:left="320" w:top="1414" w:right="339" w:bottom="1440" w:gutter="0" w:footer="0" w:header="0"/>
        </w:sectPr>
      </w:pPr>
    </w:p>
    <w:bookmarkStart w:id="71" w:name="page72"/>
    <w:bookmarkEnd w:id="71"/>
    <w:p>
      <w:pPr>
        <w:jc w:val="both"/>
        <w:spacing w:after="0" w:line="239" w:lineRule="auto"/>
        <w:rPr>
          <w:sz w:val="20"/>
          <w:szCs w:val="20"/>
          <w:color w:val="auto"/>
        </w:rPr>
      </w:pPr>
      <w:r>
        <w:rPr>
          <w:rFonts w:ascii="Arial" w:cs="Arial" w:eastAsia="Arial" w:hAnsi="Arial"/>
          <w:sz w:val="22"/>
          <w:szCs w:val="22"/>
          <w:color w:val="auto"/>
        </w:rPr>
        <w:t>the Company (the “</w:t>
      </w:r>
      <w:r>
        <w:rPr>
          <w:rFonts w:ascii="Arial" w:cs="Arial" w:eastAsia="Arial" w:hAnsi="Arial"/>
          <w:sz w:val="22"/>
          <w:szCs w:val="22"/>
          <w:i w:val="1"/>
          <w:iCs w:val="1"/>
          <w:color w:val="auto"/>
        </w:rPr>
        <w:t>Materials</w:t>
      </w:r>
      <w:r>
        <w:rPr>
          <w:rFonts w:ascii="Arial" w:cs="Arial" w:eastAsia="Arial" w:hAnsi="Arial"/>
          <w:sz w:val="22"/>
          <w:szCs w:val="22"/>
          <w:color w:val="auto"/>
        </w:rPr>
        <w:t>”). The Company will have the sole and exclusive authority to use the Materials in any manner that it deems appropriate, in perpetuity, without additional payment to you.</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Further Cooperation</w:t>
      </w:r>
    </w:p>
    <w:p>
      <w:pPr>
        <w:spacing w:after="0" w:line="22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w:t>
      </w:r>
    </w:p>
    <w:p>
      <w:pPr>
        <w:spacing w:after="0" w:line="20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any such expense before it is incurred.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No Hire or Solicit</w:t>
      </w:r>
    </w:p>
    <w:p>
      <w:pPr>
        <w:spacing w:after="0" w:line="22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1"/>
          <w:szCs w:val="21"/>
          <w:color w:val="auto"/>
        </w:rPr>
        <w:t>Throughout your employment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This restriction does not apply to any employee who was discharged by the Company or any of its affiliates. In addition, this restriction will not prevent you from providing references.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Acknowledgments</w:t>
      </w:r>
    </w:p>
    <w:p>
      <w:pPr>
        <w:spacing w:after="0" w:line="22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1"/>
          <w:szCs w:val="21"/>
          <w:color w:val="auto"/>
        </w:rPr>
        <w:t xml:space="preserve">You acknowledge that the restrictions contained in this </w:t>
      </w:r>
      <w:r>
        <w:rPr>
          <w:rFonts w:ascii="Arial" w:cs="Arial" w:eastAsia="Arial" w:hAnsi="Arial"/>
          <w:sz w:val="21"/>
          <w:szCs w:val="21"/>
          <w:i w:val="1"/>
          <w:iCs w:val="1"/>
          <w:color w:val="auto"/>
        </w:rPr>
        <w:t>Annex</w:t>
      </w:r>
      <w:r>
        <w:rPr>
          <w:rFonts w:ascii="Arial" w:cs="Arial" w:eastAsia="Arial" w:hAnsi="Arial"/>
          <w:sz w:val="21"/>
          <w:szCs w:val="21"/>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Arial" w:cs="Arial" w:eastAsia="Arial" w:hAnsi="Arial"/>
          <w:sz w:val="21"/>
          <w:szCs w:val="21"/>
          <w:i w:val="1"/>
          <w:iCs w:val="1"/>
          <w:color w:val="auto"/>
        </w:rPr>
        <w:t>Annex</w:t>
      </w:r>
      <w:r>
        <w:rPr>
          <w:rFonts w:ascii="Arial" w:cs="Arial" w:eastAsia="Arial" w:hAnsi="Arial"/>
          <w:sz w:val="21"/>
          <w:szCs w:val="21"/>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Arial" w:cs="Arial" w:eastAsia="Arial" w:hAnsi="Arial"/>
          <w:sz w:val="21"/>
          <w:szCs w:val="21"/>
          <w:i w:val="1"/>
          <w:iCs w:val="1"/>
          <w:color w:val="auto"/>
        </w:rPr>
        <w:t>Annex</w:t>
      </w:r>
      <w:r>
        <w:rPr>
          <w:rFonts w:ascii="Arial" w:cs="Arial" w:eastAsia="Arial" w:hAnsi="Arial"/>
          <w:sz w:val="21"/>
          <w:szCs w:val="21"/>
          <w:color w:val="auto"/>
        </w:rPr>
        <w:t xml:space="preserve">, raise the defense that the Company has an adequate remedy at law. Nothing in this </w:t>
      </w:r>
      <w:r>
        <w:rPr>
          <w:rFonts w:ascii="Arial" w:cs="Arial" w:eastAsia="Arial" w:hAnsi="Arial"/>
          <w:sz w:val="21"/>
          <w:szCs w:val="21"/>
          <w:i w:val="1"/>
          <w:iCs w:val="1"/>
          <w:color w:val="auto"/>
        </w:rPr>
        <w:t xml:space="preserve">Annex </w:t>
      </w:r>
      <w:r>
        <w:rPr>
          <w:rFonts w:ascii="Arial" w:cs="Arial" w:eastAsia="Arial" w:hAnsi="Arial"/>
          <w:sz w:val="21"/>
          <w:szCs w:val="21"/>
          <w:color w:val="auto"/>
        </w:rPr>
        <w:t>shall be construed as prohibiting the Company from pursuing any other remedies at law or in equity that it may have or</w:t>
      </w:r>
      <w:r>
        <w:rPr>
          <w:rFonts w:ascii="Arial" w:cs="Arial" w:eastAsia="Arial" w:hAnsi="Arial"/>
          <w:sz w:val="21"/>
          <w:szCs w:val="21"/>
          <w:i w:val="1"/>
          <w:iCs w:val="1"/>
          <w:color w:val="auto"/>
        </w:rPr>
        <w:t xml:space="preserve"> </w:t>
      </w:r>
      <w:r>
        <w:rPr>
          <w:rFonts w:ascii="Arial" w:cs="Arial" w:eastAsia="Arial" w:hAnsi="Arial"/>
          <w:sz w:val="21"/>
          <w:szCs w:val="21"/>
          <w:color w:val="auto"/>
        </w:rPr>
        <w:t>any other</w:t>
      </w:r>
    </w:p>
    <w:p>
      <w:pPr>
        <w:sectPr>
          <w:pgSz w:w="11900" w:h="16838" w:orient="portrait"/>
          <w:cols w:equalWidth="0" w:num="1">
            <w:col w:w="11240"/>
          </w:cols>
          <w:pgMar w:left="320" w:top="1414" w:right="339" w:bottom="1440" w:gutter="0" w:footer="0" w:header="0"/>
        </w:sectPr>
      </w:pPr>
    </w:p>
    <w:bookmarkStart w:id="72" w:name="page73"/>
    <w:bookmarkEnd w:id="72"/>
    <w:p>
      <w:pPr>
        <w:jc w:val="both"/>
        <w:spacing w:after="0" w:line="260" w:lineRule="auto"/>
        <w:rPr>
          <w:sz w:val="20"/>
          <w:szCs w:val="20"/>
          <w:color w:val="auto"/>
        </w:rPr>
      </w:pPr>
      <w:r>
        <w:rPr>
          <w:rFonts w:ascii="Arial" w:cs="Arial" w:eastAsia="Arial" w:hAnsi="Arial"/>
          <w:sz w:val="19"/>
          <w:szCs w:val="19"/>
          <w:color w:val="auto"/>
        </w:rPr>
        <w:t xml:space="preserve">rights that it may have under any other agreement. If it is determined that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Survival</w:t>
      </w:r>
    </w:p>
    <w:p>
      <w:pPr>
        <w:spacing w:after="0" w:line="226"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color w:val="auto"/>
        </w:rPr>
        <w:t xml:space="preserve">The covenants and agreements set forth in this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survive any termination or expiration of this Agreement and any termination of your employment with the Company, in accordance with their respective terms.</w:t>
      </w:r>
    </w:p>
    <w:p>
      <w:pPr>
        <w:sectPr>
          <w:pgSz w:w="11900" w:h="16838" w:orient="portrait"/>
          <w:cols w:equalWidth="0" w:num="1">
            <w:col w:w="11240"/>
          </w:cols>
          <w:pgMar w:left="320" w:top="1414"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September 28,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Mr. Edward A. Carroll</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Dear Ed:</w:t>
      </w:r>
    </w:p>
    <w:p>
      <w:pPr>
        <w:jc w:val="both"/>
        <w:ind w:firstLine="648"/>
        <w:spacing w:after="0" w:line="262" w:lineRule="auto"/>
        <w:rPr>
          <w:sz w:val="20"/>
          <w:szCs w:val="20"/>
          <w:color w:val="auto"/>
        </w:rPr>
      </w:pPr>
      <w:r>
        <w:rPr>
          <w:rFonts w:ascii="Arial" w:cs="Arial" w:eastAsia="Arial" w:hAnsi="Arial"/>
          <w:sz w:val="19"/>
          <w:szCs w:val="19"/>
          <w:color w:val="auto"/>
        </w:rPr>
        <w:t>As we have discussed, AMC Networks Inc. (the “Company”) hereby waives the requirement in paragraph 12, clause (iii) (such clause, the “Termination Provision”) of your employment agreement dated October 13, 2016 (your “Employment Agreement”) that you give at least six months advance written notice of your intent to terminate your employment under such Termination Provision. By signing this Agreement (this “Agreement”), you hereby give notice of your intent to terminate your employment under the Termination Provision such that your last day of employment will be December 31, 2021.</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1"/>
          <w:szCs w:val="21"/>
          <w:color w:val="auto"/>
        </w:rPr>
        <w:t>In consideration for your signing this Agreement and the General Release attached hereto as Exhibit A (the “General Release”), and complying with their terms, the Company has agreed to: (i) continue your employment on the terms and conditions set forth herein through the earlier of: (a) December 31, 2021, or (b) the date your employment is terminated for “Cause”, and (ii) provide you with the Separation Benefits (as defined in Section 2(a), below) on the terms forth in this Agreement. The date your employment ends as set forth herein is referred to as the “Separation Date.”</w:t>
      </w:r>
    </w:p>
    <w:p>
      <w:pPr>
        <w:spacing w:after="0" w:line="19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To continue in your employment until the Separation Date and to be eligible to receive the Separation Benefits set forth in Section 2, below, you must: 1) digitally sign this Agreement no later than October 8, 2021; and 2) digitally sign the General Release, attached hereto as Exhibit A, </w:t>
      </w:r>
      <w:r>
        <w:rPr>
          <w:rFonts w:ascii="Arial" w:cs="Arial" w:eastAsia="Arial" w:hAnsi="Arial"/>
          <w:sz w:val="19"/>
          <w:szCs w:val="19"/>
          <w:u w:val="single" w:color="auto"/>
          <w:color w:val="auto"/>
        </w:rPr>
        <w:t>no later than 21 days following the Separation Date</w:t>
      </w:r>
      <w:r>
        <w:rPr>
          <w:rFonts w:ascii="Arial" w:cs="Arial" w:eastAsia="Arial" w:hAnsi="Arial"/>
          <w:sz w:val="19"/>
          <w:szCs w:val="19"/>
          <w:b w:val="1"/>
          <w:bCs w:val="1"/>
          <w:u w:val="single" w:color="auto"/>
          <w:color w:val="auto"/>
        </w:rPr>
        <w:t>, but not before the Separation Date</w:t>
      </w:r>
      <w:r>
        <w:rPr>
          <w:rFonts w:ascii="Arial" w:cs="Arial" w:eastAsia="Arial" w:hAnsi="Arial"/>
          <w:sz w:val="19"/>
          <w:szCs w:val="19"/>
          <w:color w:val="auto"/>
        </w:rPr>
        <w:t>. This Agreement shall become automatically null and void unless it is digitally signed by you and received by Jamie Gallagher on or prior to October 8, 2021, and not thereafter revoked in accordance with Section 12 of this Agreement.</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You acknowledge and agree that the Separation Benefits being provided to you herein (including employment through the Separation Date) are in exchange for your promises, representations, releases, agreements and obligations contained herein and in the General Release, and are valuable and sufficient consideration. Now, therefore, you and the Company agree as follows:</w:t>
      </w:r>
    </w:p>
    <w:p>
      <w:pPr>
        <w:spacing w:after="0" w:line="155"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Employment/Termination of Employment/Effect on Benefits</w:t>
      </w:r>
    </w:p>
    <w:p>
      <w:pPr>
        <w:spacing w:after="0" w:line="225" w:lineRule="exact"/>
        <w:rPr>
          <w:rFonts w:ascii="Arial" w:cs="Arial" w:eastAsia="Arial" w:hAnsi="Arial"/>
          <w:sz w:val="22"/>
          <w:szCs w:val="22"/>
          <w:b w:val="1"/>
          <w:bCs w:val="1"/>
          <w:color w:val="auto"/>
        </w:rPr>
      </w:pPr>
    </w:p>
    <w:p>
      <w:pPr>
        <w:jc w:val="both"/>
        <w:ind w:firstLine="656"/>
        <w:spacing w:after="0" w:line="260" w:lineRule="auto"/>
        <w:tabs>
          <w:tab w:leader="none" w:pos="982"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Continued Employment.</w:t>
      </w:r>
      <w:r>
        <w:rPr>
          <w:rFonts w:ascii="Arial" w:cs="Arial" w:eastAsia="Arial" w:hAnsi="Arial"/>
          <w:sz w:val="19"/>
          <w:szCs w:val="19"/>
          <w:color w:val="auto"/>
        </w:rPr>
        <w:t xml:space="preserve"> Subject to the terms and conditions set forth in this Agreement, your employment will continue through December 31, 2021, unless your employment is terminated earlier for “Cause” as defined in your Employment Agreement. Effective as of October 1, 2021, you resign from the Chief Operating Officer position and, through the end of your employment, agree that you will have such roles and reporting and responsibilities as are assigned to you from time to time and you agree to perform those services reasonably requested of you by the Company, if any. As of the date of this Agreement, you will no longer be eligible for any awards or bonuses offered under any plan or program of the Company, or any predecessor plan or program except as provided herein. In the event you secure employment with a third party while you are employed by the Company following the date hereof and prior to December 31, 2021, you will promptly notify the Company of such</w:t>
      </w:r>
    </w:p>
    <w:p>
      <w:pPr>
        <w:sectPr>
          <w:pgSz w:w="11900" w:h="16838" w:orient="portrait"/>
          <w:cols w:equalWidth="0" w:num="1">
            <w:col w:w="11240"/>
          </w:cols>
          <w:pgMar w:left="320" w:top="1414" w:right="339" w:bottom="1440" w:gutter="0" w:footer="0" w:header="0"/>
        </w:sectPr>
      </w:pPr>
    </w:p>
    <w:bookmarkStart w:id="74" w:name="page75"/>
    <w:bookmarkEnd w:id="74"/>
    <w:p>
      <w:pPr>
        <w:spacing w:after="0" w:line="239" w:lineRule="auto"/>
        <w:rPr>
          <w:sz w:val="20"/>
          <w:szCs w:val="20"/>
          <w:color w:val="auto"/>
        </w:rPr>
      </w:pPr>
      <w:r>
        <w:rPr>
          <w:rFonts w:ascii="Arial" w:cs="Arial" w:eastAsia="Arial" w:hAnsi="Arial"/>
          <w:sz w:val="22"/>
          <w:szCs w:val="22"/>
          <w:color w:val="auto"/>
        </w:rPr>
        <w:t>employment if the commencement date of such employment is prior to December 31, 2021, and you will voluntarily terminate your employment with the Company prior to commencement of any work for such third party.</w:t>
      </w:r>
    </w:p>
    <w:p>
      <w:pPr>
        <w:spacing w:after="0" w:line="198" w:lineRule="exact"/>
        <w:rPr>
          <w:sz w:val="20"/>
          <w:szCs w:val="20"/>
          <w:color w:val="auto"/>
        </w:rPr>
      </w:pPr>
    </w:p>
    <w:p>
      <w:pPr>
        <w:ind w:right="20" w:firstLine="656"/>
        <w:spacing w:after="0" w:line="239" w:lineRule="auto"/>
        <w:tabs>
          <w:tab w:leader="none" w:pos="967"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xml:space="preserve"> If the Company terminates your employment for “Cause”, you will not be eligible to receive the Separation Benefits set forth in Section 2 below.</w:t>
      </w:r>
    </w:p>
    <w:p>
      <w:pPr>
        <w:spacing w:after="0" w:line="198" w:lineRule="exact"/>
        <w:rPr>
          <w:rFonts w:ascii="Arial" w:cs="Arial" w:eastAsia="Arial" w:hAnsi="Arial"/>
          <w:sz w:val="22"/>
          <w:szCs w:val="22"/>
          <w:color w:val="auto"/>
        </w:rPr>
      </w:pPr>
    </w:p>
    <w:p>
      <w:pPr>
        <w:ind w:firstLine="656"/>
        <w:spacing w:after="0" w:line="239" w:lineRule="auto"/>
        <w:tabs>
          <w:tab w:leader="none" w:pos="969" w:val="left"/>
        </w:tabs>
        <w:numPr>
          <w:ilvl w:val="1"/>
          <w:numId w:val="31"/>
        </w:numPr>
        <w:rPr>
          <w:rFonts w:ascii="Arial" w:cs="Arial" w:eastAsia="Arial" w:hAnsi="Arial"/>
          <w:sz w:val="22"/>
          <w:szCs w:val="22"/>
          <w:color w:val="auto"/>
        </w:rPr>
      </w:pPr>
      <w:r>
        <w:rPr>
          <w:rFonts w:ascii="Arial" w:cs="Arial" w:eastAsia="Arial" w:hAnsi="Arial"/>
          <w:sz w:val="22"/>
          <w:szCs w:val="22"/>
          <w:color w:val="auto"/>
        </w:rPr>
        <w:t>Termination of Employment. Your employment will terminate as of the Separation Date. As of that date, you will cease to accrue credit toward vacation, pension vesting or any other benefits.</w:t>
      </w:r>
    </w:p>
    <w:p>
      <w:pPr>
        <w:spacing w:after="0" w:line="198" w:lineRule="exact"/>
        <w:rPr>
          <w:rFonts w:ascii="Arial" w:cs="Arial" w:eastAsia="Arial" w:hAnsi="Arial"/>
          <w:sz w:val="22"/>
          <w:szCs w:val="22"/>
          <w:color w:val="auto"/>
        </w:rPr>
      </w:pPr>
    </w:p>
    <w:p>
      <w:pPr>
        <w:jc w:val="both"/>
        <w:ind w:firstLine="8"/>
        <w:spacing w:after="0" w:line="233" w:lineRule="auto"/>
        <w:tabs>
          <w:tab w:leader="none" w:pos="319" w:val="left"/>
        </w:tabs>
        <w:numPr>
          <w:ilvl w:val="0"/>
          <w:numId w:val="32"/>
        </w:numPr>
        <w:rPr>
          <w:rFonts w:ascii="Arial" w:cs="Arial" w:eastAsia="Arial" w:hAnsi="Arial"/>
          <w:sz w:val="21"/>
          <w:szCs w:val="21"/>
          <w:color w:val="auto"/>
        </w:rPr>
      </w:pPr>
      <w:r>
        <w:rPr>
          <w:rFonts w:ascii="Arial" w:cs="Arial" w:eastAsia="Arial" w:hAnsi="Arial"/>
          <w:sz w:val="21"/>
          <w:szCs w:val="21"/>
          <w:color w:val="auto"/>
        </w:rPr>
        <w:t>Return of Company Property. As of the Separation Date, you shall return to the Company all of the Company’s property, including, without limitation, Confidential and Proprietary Information (as defined in Section 5(b) below), office keys, Company identification cards, access, press and other passes, and all documents, files, equipment, computers, laptops, printers, iPads, credit cards, computer software, access materials and other property prepared by, for or belonging to the Company (all of such property being referred to herein as “Company Property”). You acknowledge and agree that: (i) other than for authorized Company business prior to the Separation Date, you have not and will not utilize the Company Property or make or retain any copies, duplicates, reproductions or excerpts of the Company Property, and (ii) after the Separation Date you will not access or utilize in any manner any of the Company Property, including, without limitation, its electronic communications systems or any information contained therein.</w:t>
      </w:r>
    </w:p>
    <w:p>
      <w:pPr>
        <w:spacing w:after="0" w:line="198" w:lineRule="exact"/>
        <w:rPr>
          <w:rFonts w:ascii="Arial" w:cs="Arial" w:eastAsia="Arial" w:hAnsi="Arial"/>
          <w:sz w:val="21"/>
          <w:szCs w:val="21"/>
          <w:color w:val="auto"/>
        </w:rPr>
      </w:pPr>
    </w:p>
    <w:p>
      <w:pPr>
        <w:jc w:val="both"/>
        <w:ind w:firstLine="8"/>
        <w:spacing w:after="0" w:line="226" w:lineRule="auto"/>
        <w:tabs>
          <w:tab w:leader="none" w:pos="2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Health Coverage. Except as provided in Section 2 below, our Company-sponsored medical, dental and/or vision coverage will cease as of the last day of the month in which the Separation Date occurs. You, and, as applicable, your eligible dependents, may be eligible to obtain continuation coverage for a period of time thereafter pursuant to the federal COBRA statute by returning an election form and paying the required premiums on a timely basis. Further details regarding COBRA coverage and any necessary forms will be sent to you under separate cover.</w:t>
      </w:r>
    </w:p>
    <w:p>
      <w:pPr>
        <w:spacing w:after="0" w:line="199" w:lineRule="exact"/>
        <w:rPr>
          <w:rFonts w:ascii="Arial" w:cs="Arial" w:eastAsia="Arial" w:hAnsi="Arial"/>
          <w:sz w:val="22"/>
          <w:szCs w:val="22"/>
          <w:color w:val="auto"/>
        </w:rPr>
      </w:pPr>
    </w:p>
    <w:p>
      <w:pPr>
        <w:jc w:val="both"/>
        <w:ind w:firstLine="8"/>
        <w:spacing w:after="0" w:line="267" w:lineRule="auto"/>
        <w:tabs>
          <w:tab w:leader="none" w:pos="337" w:val="left"/>
        </w:tabs>
        <w:numPr>
          <w:ilvl w:val="0"/>
          <w:numId w:val="32"/>
        </w:numPr>
        <w:rPr>
          <w:rFonts w:ascii="Arial" w:cs="Arial" w:eastAsia="Arial" w:hAnsi="Arial"/>
          <w:sz w:val="19"/>
          <w:szCs w:val="19"/>
          <w:color w:val="auto"/>
        </w:rPr>
      </w:pPr>
      <w:r>
        <w:rPr>
          <w:rFonts w:ascii="Arial" w:cs="Arial" w:eastAsia="Arial" w:hAnsi="Arial"/>
          <w:sz w:val="19"/>
          <w:szCs w:val="19"/>
          <w:color w:val="auto"/>
        </w:rPr>
        <w:t>Life, Disability and AD&amp;D Insurance. Your company-sponsored life, long-term disability and accidental death and dismemberment (“AD&amp;D”) insurance coverage will cease as of the Separation Date. There is a thirty-one (31) day grace period after the Separation Date during which you may convert your company-sponsored life insurance coverage to a private policy. You may continue to receive such coverage by completing the applicable notice of conversion privilege form (if requested by you) and complying with the applicable requirements. Upon request, this form will be sent to you under separate cover.</w:t>
      </w:r>
    </w:p>
    <w:p>
      <w:pPr>
        <w:spacing w:after="0" w:line="175" w:lineRule="exact"/>
        <w:rPr>
          <w:rFonts w:ascii="Arial" w:cs="Arial" w:eastAsia="Arial" w:hAnsi="Arial"/>
          <w:sz w:val="19"/>
          <w:szCs w:val="19"/>
          <w:color w:val="auto"/>
        </w:rPr>
      </w:pPr>
    </w:p>
    <w:p>
      <w:pPr>
        <w:jc w:val="both"/>
        <w:ind w:firstLine="656"/>
        <w:spacing w:after="0" w:line="264" w:lineRule="auto"/>
        <w:tabs>
          <w:tab w:leader="none" w:pos="954"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Retirement Plans.</w:t>
      </w:r>
      <w:r>
        <w:rPr>
          <w:rFonts w:ascii="Arial" w:cs="Arial" w:eastAsia="Arial" w:hAnsi="Arial"/>
          <w:sz w:val="19"/>
          <w:szCs w:val="19"/>
          <w:color w:val="auto"/>
        </w:rPr>
        <w:t xml:space="preserve"> Any vested benefits that you may have accrued under the AMC Networks 401(k) Savings Plan, any predecessor plan, or any other company-sponsored retirement plan (the “Retirement Plans”) will be treated in accordance with the terms of those Plans, as explained in the summary plan descriptions you have previously received. Any vested benefits that you may have accrued under the AMC Networks Excess Savings Plan, any predecessor plan, or any other deferred compensation plan (the “Deferred Compensation Plans”) shall be payable in accordance with the terms of those Plans, as explained in the summary plan descriptions you have previously received. As a result of the termination of your employment on</w:t>
      </w:r>
    </w:p>
    <w:p>
      <w:pPr>
        <w:sectPr>
          <w:pgSz w:w="11900" w:h="16838" w:orient="portrait"/>
          <w:cols w:equalWidth="0" w:num="1">
            <w:col w:w="11240"/>
          </w:cols>
          <w:pgMar w:left="320" w:top="1414" w:right="339" w:bottom="1440" w:gutter="0" w:footer="0" w:header="0"/>
        </w:sectPr>
      </w:pPr>
    </w:p>
    <w:bookmarkStart w:id="75" w:name="page76"/>
    <w:bookmarkEnd w:id="75"/>
    <w:p>
      <w:pPr>
        <w:jc w:val="both"/>
        <w:spacing w:after="0" w:line="231" w:lineRule="auto"/>
        <w:rPr>
          <w:sz w:val="20"/>
          <w:szCs w:val="20"/>
          <w:color w:val="auto"/>
        </w:rPr>
      </w:pPr>
      <w:r>
        <w:rPr>
          <w:rFonts w:ascii="Arial" w:cs="Arial" w:eastAsia="Arial" w:hAnsi="Arial"/>
          <w:sz w:val="22"/>
          <w:szCs w:val="22"/>
          <w:color w:val="auto"/>
        </w:rPr>
        <w:t>the Separation Date, pursuant to the terms and conditions of the Retirement Plans and/or Deferred Compensation Plans, you will forfeit all benefits that are not vested as of the Separation Date. You may obtain additional copies of the summary plan descriptions from the Corporate Benefits Department.</w:t>
      </w:r>
    </w:p>
    <w:p>
      <w:pPr>
        <w:spacing w:after="0" w:line="201" w:lineRule="exact"/>
        <w:rPr>
          <w:sz w:val="20"/>
          <w:szCs w:val="20"/>
          <w:color w:val="auto"/>
        </w:rPr>
      </w:pPr>
    </w:p>
    <w:p>
      <w:pPr>
        <w:jc w:val="both"/>
        <w:ind w:firstLine="656"/>
        <w:spacing w:after="0" w:line="235" w:lineRule="auto"/>
        <w:tabs>
          <w:tab w:leader="none" w:pos="981"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Outstanding Awards.</w:t>
      </w:r>
      <w:r>
        <w:rPr>
          <w:rFonts w:ascii="Arial" w:cs="Arial" w:eastAsia="Arial" w:hAnsi="Arial"/>
          <w:sz w:val="21"/>
          <w:szCs w:val="21"/>
          <w:color w:val="auto"/>
        </w:rPr>
        <w:t xml:space="preserve"> Except as provided in Section 2 below, as of the Separation Date all currently outstanding awards previously granted to you under the AMC Networks Inc. Amended and Restated 2016 Employee Stock Plan, AMC Networks Inc. 2016 Executive Cash Incentive Plan, an applicable award agreement or any other predecessor or similar plans or agreements (collectively, “Awards”), will be treated in accordance with their terms, the Employment Agreement and this Agreement. The Company hereby acknowledges that the performance metrics applicable to the Special Equity Award (as provided under your Employment Agreement) have been satisfied.</w:t>
      </w:r>
    </w:p>
    <w:p>
      <w:pPr>
        <w:spacing w:after="0" w:line="201" w:lineRule="exact"/>
        <w:rPr>
          <w:rFonts w:ascii="Arial" w:cs="Arial" w:eastAsia="Arial" w:hAnsi="Arial"/>
          <w:sz w:val="21"/>
          <w:szCs w:val="21"/>
          <w:color w:val="auto"/>
        </w:rPr>
      </w:pPr>
    </w:p>
    <w:p>
      <w:pPr>
        <w:ind w:left="920" w:hanging="264"/>
        <w:spacing w:after="0"/>
        <w:tabs>
          <w:tab w:leader="none" w:pos="920"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Unemployment.</w:t>
      </w:r>
      <w:r>
        <w:rPr>
          <w:rFonts w:ascii="Arial" w:cs="Arial" w:eastAsia="Arial" w:hAnsi="Arial"/>
          <w:sz w:val="19"/>
          <w:szCs w:val="19"/>
          <w:color w:val="auto"/>
        </w:rPr>
        <w:t xml:space="preserve"> You may be eligible for unemployment benefits. You should contact your local unemployment agency.</w:t>
      </w:r>
    </w:p>
    <w:p>
      <w:pPr>
        <w:spacing w:after="0" w:line="29" w:lineRule="exact"/>
        <w:rPr>
          <w:rFonts w:ascii="Arial" w:cs="Arial" w:eastAsia="Arial" w:hAnsi="Arial"/>
          <w:sz w:val="19"/>
          <w:szCs w:val="19"/>
          <w:color w:val="auto"/>
        </w:rPr>
      </w:pPr>
    </w:p>
    <w:p>
      <w:pPr>
        <w:ind w:left="220" w:hanging="212"/>
        <w:spacing w:after="0"/>
        <w:tabs>
          <w:tab w:leader="none" w:pos="22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Separation Benefits</w:t>
      </w:r>
      <w:r>
        <w:rPr>
          <w:rFonts w:ascii="Arial" w:cs="Arial" w:eastAsia="Arial" w:hAnsi="Arial"/>
          <w:sz w:val="22"/>
          <w:szCs w:val="22"/>
          <w:b w:val="1"/>
          <w:bCs w:val="1"/>
          <w:color w:val="auto"/>
        </w:rPr>
        <w:t>:</w:t>
      </w:r>
    </w:p>
    <w:p>
      <w:pPr>
        <w:spacing w:after="0" w:line="201" w:lineRule="exact"/>
        <w:rPr>
          <w:rFonts w:ascii="Arial" w:cs="Arial" w:eastAsia="Arial" w:hAnsi="Arial"/>
          <w:sz w:val="22"/>
          <w:szCs w:val="22"/>
          <w:b w:val="1"/>
          <w:bCs w:val="1"/>
          <w:color w:val="auto"/>
        </w:rPr>
      </w:pPr>
    </w:p>
    <w:p>
      <w:pPr>
        <w:jc w:val="both"/>
        <w:ind w:firstLine="737"/>
        <w:spacing w:after="0" w:line="256" w:lineRule="auto"/>
        <w:tabs>
          <w:tab w:leader="none" w:pos="1252"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Description of Separation Benefits.</w:t>
      </w:r>
      <w:r>
        <w:rPr>
          <w:rFonts w:ascii="Arial" w:cs="Arial" w:eastAsia="Arial" w:hAnsi="Arial"/>
          <w:sz w:val="19"/>
          <w:szCs w:val="19"/>
          <w:color w:val="auto"/>
        </w:rPr>
        <w:t xml:space="preserve"> Following the occurrence of the Separation Date, and provided that: (i) your employment has not been terminated for “Cause”; (ii) you have complied with all of the terms, conditions and obligations applicable to you under this Agreement; (iii) you return one digitally signed copy of the General Release to the Company within twenty-one (21) days following the Separation Date, </w:t>
      </w:r>
      <w:r>
        <w:rPr>
          <w:rFonts w:ascii="Arial" w:cs="Arial" w:eastAsia="Arial" w:hAnsi="Arial"/>
          <w:sz w:val="19"/>
          <w:szCs w:val="19"/>
          <w:b w:val="1"/>
          <w:bCs w:val="1"/>
          <w:color w:val="auto"/>
        </w:rPr>
        <w:t>but not before the Separation Date</w:t>
      </w:r>
      <w:r>
        <w:rPr>
          <w:rFonts w:ascii="Arial" w:cs="Arial" w:eastAsia="Arial" w:hAnsi="Arial"/>
          <w:sz w:val="19"/>
          <w:szCs w:val="19"/>
          <w:color w:val="auto"/>
        </w:rPr>
        <w:t>, and (iv) you do not revoke the General Release during the seven (7) day revocation period following your execution of it (the “General Release Revocation Period”), then, subject to the terms and conditions set forth in this Agreement, (A) the Company will provide you with the benefits and rights on the terms as set forth in Sections 9(B) through 9(F) of the Employment Agreement and, for purposes of Section 9(D) of the Employment Agreement, each of the long-term cash incentive awards that you hold as of the Separation Date that are scheduled to vest in calendar years 2023 and 2024 shall be deemed earned on the regularly scheduled vesting dates at the target performance level; and (B) subject to your timely election of benefits, the Company will arrange for continuation of your medical, dental and/or vision coverage for you, and, as applicable, your eligible dependents, at no cost to you for up to twenty-four (24) months or until such earlier date on which you become eligible for health coverage from another employer (of which eligibility you hereby agree to give prompt notice to the Company) (collectively, the “Separation Benefits”). If this agreement to provide continuation coverage raises any compliance issues or impositions of penalties under the Patient Protection and Affordable Care Act or other applicable law, then you and the Company agree to modify this Agreement so that it complies with the terms of such laws.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28" w:lineRule="auto"/>
        <w:tabs>
          <w:tab w:leader="none" w:pos="954"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Continued Compliance.</w:t>
      </w:r>
      <w:r>
        <w:rPr>
          <w:rFonts w:ascii="Arial" w:cs="Arial" w:eastAsia="Arial" w:hAnsi="Arial"/>
          <w:sz w:val="22"/>
          <w:szCs w:val="22"/>
          <w:color w:val="auto"/>
        </w:rPr>
        <w:t xml:space="preserve"> Without waiver of the Company’s remedies for any breach of this Agreement or the General Release, all amounts and other benefits due to you hereunder (including, without limitation, your continued employment described in Section 1(a) herein) are expressly conditioned on your not, at any time, being in breach of this Agreement, the Employment Agreement or the General Release.</w:t>
      </w:r>
    </w:p>
    <w:p>
      <w:pPr>
        <w:sectPr>
          <w:pgSz w:w="11900" w:h="16838" w:orient="portrait"/>
          <w:cols w:equalWidth="0" w:num="1">
            <w:col w:w="11240"/>
          </w:cols>
          <w:pgMar w:left="320" w:top="1414" w:right="339" w:bottom="1440" w:gutter="0" w:footer="0" w:header="0"/>
        </w:sectPr>
      </w:pPr>
    </w:p>
    <w:bookmarkStart w:id="76" w:name="page77"/>
    <w:bookmarkEnd w:id="76"/>
    <w:p>
      <w:pPr>
        <w:jc w:val="both"/>
        <w:ind w:left="-8" w:firstLine="656"/>
        <w:spacing w:after="0" w:line="233" w:lineRule="auto"/>
        <w:tabs>
          <w:tab w:leader="none" w:pos="961"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No Other Separation Benefits.</w:t>
      </w:r>
      <w:r>
        <w:rPr>
          <w:rFonts w:ascii="Arial" w:cs="Arial" w:eastAsia="Arial" w:hAnsi="Arial"/>
          <w:sz w:val="21"/>
          <w:szCs w:val="21"/>
          <w:color w:val="auto"/>
        </w:rPr>
        <w:t xml:space="preserve"> The Separation Benefits represent a complete settlement, release and waiver of any claims for allegedly lost wages, benefits, bonuses, or other compensation, mental, physical or other personal injuries, pain and suffering, and costs in connection with any other relief you may seek or claim you may have against the Company. Except as expressly referenced in this Agreement, you hereby confirm that all monies due to you, including, but not limited to, all wages earned, sick pay, personal leave pay and/or vacation pay, previously have been paid. You agree that no other monies or relief are due to you, other than: i) the payments provided for in this Agreement in consideration of your general release of all claims that you have, may have or may have had against the Releasees (as defined in Section 3(a) below); and ii) any base salary that you earn and benefits that you accrue for work performed from the date of your execution of this Agreement through the Separation Date.</w:t>
      </w:r>
    </w:p>
    <w:p>
      <w:pPr>
        <w:spacing w:after="0" w:line="192" w:lineRule="exact"/>
        <w:rPr>
          <w:rFonts w:ascii="Arial" w:cs="Arial" w:eastAsia="Arial" w:hAnsi="Arial"/>
          <w:sz w:val="21"/>
          <w:szCs w:val="21"/>
          <w:color w:val="auto"/>
        </w:rPr>
      </w:pPr>
    </w:p>
    <w:p>
      <w:pPr>
        <w:ind w:left="212" w:hanging="212"/>
        <w:spacing w:after="0"/>
        <w:tabs>
          <w:tab w:leader="none" w:pos="212"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w:t>
      </w:r>
    </w:p>
    <w:p>
      <w:pPr>
        <w:spacing w:after="0" w:line="225" w:lineRule="exact"/>
        <w:rPr>
          <w:rFonts w:ascii="Arial" w:cs="Arial" w:eastAsia="Arial" w:hAnsi="Arial"/>
          <w:sz w:val="22"/>
          <w:szCs w:val="22"/>
          <w:b w:val="1"/>
          <w:bCs w:val="1"/>
          <w:color w:val="auto"/>
        </w:rPr>
      </w:pPr>
    </w:p>
    <w:p>
      <w:pPr>
        <w:jc w:val="both"/>
        <w:ind w:left="-8" w:firstLine="656"/>
        <w:spacing w:after="0" w:line="255" w:lineRule="auto"/>
        <w:tabs>
          <w:tab w:leader="none" w:pos="1117" w:val="left"/>
        </w:tabs>
        <w:numPr>
          <w:ilvl w:val="1"/>
          <w:numId w:val="36"/>
        </w:numPr>
        <w:rPr>
          <w:rFonts w:ascii="Arial" w:cs="Arial" w:eastAsia="Arial" w:hAnsi="Arial"/>
          <w:sz w:val="19"/>
          <w:szCs w:val="19"/>
          <w:color w:val="auto"/>
        </w:rPr>
      </w:pPr>
      <w:r>
        <w:rPr>
          <w:rFonts w:ascii="Arial" w:cs="Arial" w:eastAsia="Arial" w:hAnsi="Arial"/>
          <w:sz w:val="19"/>
          <w:szCs w:val="19"/>
          <w:color w:val="auto"/>
        </w:rPr>
        <w:t>You, on behalf of yourself, your heirs, executors, administrators and/or assigns, do hereby release and discharge the Company, together with its direct and indirect parent corporation, subsidiaries, affiliates, joint ventures, partners, and related entities, past, present and future, and its or their predecessors, successors and assigns (collectively, the “Company”), and its or their officers, directors, employees, consultants, agents, insurers, reinsurers, shareholders, representatives and assigns, past, present and future (collectively with the Company, the “Releasees”), of and from any and all legally waivable suits, debts, complaints, claims, liabilities, demands or causes of action, or any right to any other monetary recovery or personal relief, known or unknown, of whatever nature, which you, or any of your heirs, executors, administrators, and assigns ever had or now have against each or any of the Releasees, based upon or arising from any fact or set of facts, whether known or unknown to you, from the beginning of time to the date of execution of this Agreement, including, without limitation, any and all claims arising out of or relating to your employment by the Company or the separation of your employment. Without limiting the generality of the foregoing, this Release includes any claim or right based upon or arising under any federal, state or local fair employment practices or equal opportunity laws, including, but not limited to, any and all claims under the Age Discrimination in Employment Act of 1967 (“ADEA”), the Older Workers Benefit Protection Act, Title VII of the Civil Rights Act of 1964, Section 1981 of the Civil Rights Act of 1870, the Americans with Disabilities Act, the Employee Retirement Income Security Act, the Worker Adjustment and Retraining Notification Act, the Family Medical Leave Act, the Genetic Information Nondiscrimination Act, the New York Human Rights Law, the New York Labor Law, the New York Executive Law, the New York Wage and Hour Laws, the New York Civil Rights Law, the New York Equal Pay Law, the New York Whistleblower Statute, the New York WARN Act, the New York Constitution, the New York City Human Rights Law, each as amended, and any and all other federal, state or local statutory or common law claims, now or hereafter recognized, including but not limited to, any claims for economic loss, compensatory damages, punitive damages, liquidated damages, attorneys’ fees, expenses and costs.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8" w:firstLine="656"/>
        <w:spacing w:after="0" w:line="226" w:lineRule="auto"/>
        <w:tabs>
          <w:tab w:leader="none" w:pos="1183" w:val="left"/>
        </w:tabs>
        <w:numPr>
          <w:ilvl w:val="1"/>
          <w:numId w:val="36"/>
        </w:numPr>
        <w:rPr>
          <w:rFonts w:ascii="Arial" w:cs="Arial" w:eastAsia="Arial" w:hAnsi="Arial"/>
          <w:sz w:val="22"/>
          <w:szCs w:val="22"/>
          <w:color w:val="auto"/>
        </w:rPr>
      </w:pPr>
      <w:r>
        <w:rPr>
          <w:rFonts w:ascii="Arial" w:cs="Arial" w:eastAsia="Arial" w:hAnsi="Arial"/>
          <w:sz w:val="22"/>
          <w:szCs w:val="22"/>
          <w:color w:val="auto"/>
        </w:rPr>
        <w:t>Notwithstanding the generality of the foregoing, nothing herein constitutes a release or waiver by you of: (i) any claim or right based on any facts or set of facts that may arise after your execution of this Agreement; (ii) any claim or right you may have under this Agreement; (iii) any unemployment insurance claim; (iv) any workers’ compensation insurance benefits; (v) continued participation in certain benefits under COBRA (and any state law counterpart), if applicable; (vi) any claim for medical, hospital, surgical or physician’s services</w:t>
      </w:r>
    </w:p>
    <w:p>
      <w:pPr>
        <w:sectPr>
          <w:pgSz w:w="11900" w:h="16838" w:orient="portrait"/>
          <w:cols w:equalWidth="0" w:num="1">
            <w:col w:w="11232"/>
          </w:cols>
          <w:pgMar w:left="328" w:top="1414" w:right="339" w:bottom="1440" w:gutter="0" w:footer="0" w:header="0"/>
        </w:sectPr>
      </w:pPr>
    </w:p>
    <w:bookmarkStart w:id="77" w:name="page78"/>
    <w:bookmarkEnd w:id="77"/>
    <w:p>
      <w:pPr>
        <w:jc w:val="both"/>
        <w:spacing w:after="0" w:line="231" w:lineRule="auto"/>
        <w:rPr>
          <w:sz w:val="20"/>
          <w:szCs w:val="20"/>
          <w:color w:val="auto"/>
        </w:rPr>
      </w:pPr>
      <w:r>
        <w:rPr>
          <w:rFonts w:ascii="Arial" w:cs="Arial" w:eastAsia="Arial" w:hAnsi="Arial"/>
          <w:sz w:val="22"/>
          <w:szCs w:val="22"/>
          <w:color w:val="auto"/>
        </w:rPr>
        <w:t>benefits arising under the Company’s applicable health insurance plan(s); (vii) any claims that cannot be waived as a matter of law; or (viii) any claim for indemnification and D&amp;O insurance pursuant to the Employment Agreement, applicable laws and the corporate governance documents of the Company or otherwise.</w:t>
      </w:r>
    </w:p>
    <w:p>
      <w:pPr>
        <w:spacing w:after="0" w:line="201" w:lineRule="exact"/>
        <w:rPr>
          <w:sz w:val="20"/>
          <w:szCs w:val="20"/>
          <w:color w:val="auto"/>
        </w:rPr>
      </w:pPr>
    </w:p>
    <w:p>
      <w:pPr>
        <w:jc w:val="both"/>
        <w:ind w:firstLine="656"/>
        <w:spacing w:after="0" w:line="255" w:lineRule="auto"/>
        <w:tabs>
          <w:tab w:leader="none" w:pos="1102"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This Agreement does not prevent or prohibit you from filing a claim with a federal, state or local government agency responsible for enforcing a law on behalf of the government, such as the Equal Employment Opportunity Commission (“EEOC”), the Department of Labor (“DOL”), the National Labor Relations Board (“NLRB”), the Securities Exchange Commission (“SEC”), or their applicable state and/or local equivalent. This Agreement also does not prevent you from exercising your rights under Section 7 of the National Labor Relations Act to engage in protected, concerted activity with other employees. To the fullest extent permitted by law, you agree that if any claim, charge, complaint or action against the Company covered by the release provision of this Agreement is brought by you, for your benefit, or on your behalf, you expressly waive any claim to any form of monetary or other damages, including attorneys’ fees and costs, or any other form of personal recovery or relief from the Company based upon any such claim, charge, complaint or action, except for any right you may have to receive an award from a government agency (and not the Company) for information provided to a government agency. To the extent you receive any personal or monetary relief from the Company based on any such claim, charge, complaint or action, the Company will be entitled to an offset for the payments made pursuant to this Agreement. You further agree and covenant that should any person, organization, or other entity file, charge, claim, sue, or cause or permit to be filed any civil action, suit or legal proceeding, or if any person, organization, or other entity has filed, charged, claimed, sued, or caused or permitted to be filed any civil action, suit or legal proceeding, against any of the Releasees involving any matter occurring at any time in the past, you are not entitled to and will not seek or accept personal equitable or monetary relief in such civil action, suit or legal proceeding. You further agree and covenant that you waive any right or ability to be a class or collective action representative or to otherwise participate in any putative or certified class, collective or multi-party action or proceeding asserted or brought against any of the Releasees.</w:t>
      </w:r>
    </w:p>
    <w:p>
      <w:pPr>
        <w:spacing w:after="0" w:line="195" w:lineRule="exact"/>
        <w:rPr>
          <w:rFonts w:ascii="Arial" w:cs="Arial" w:eastAsia="Arial" w:hAnsi="Arial"/>
          <w:sz w:val="19"/>
          <w:szCs w:val="19"/>
          <w:color w:val="auto"/>
        </w:rPr>
      </w:pPr>
    </w:p>
    <w:p>
      <w:pPr>
        <w:ind w:firstLine="656"/>
        <w:spacing w:after="0" w:line="226" w:lineRule="auto"/>
        <w:tabs>
          <w:tab w:leader="none" w:pos="1150" w:val="left"/>
        </w:tabs>
        <w:numPr>
          <w:ilvl w:val="1"/>
          <w:numId w:val="37"/>
        </w:numPr>
        <w:rPr>
          <w:rFonts w:ascii="Arial" w:cs="Arial" w:eastAsia="Arial" w:hAnsi="Arial"/>
          <w:sz w:val="22"/>
          <w:szCs w:val="22"/>
          <w:color w:val="auto"/>
        </w:rPr>
      </w:pPr>
      <w:r>
        <w:rPr>
          <w:rFonts w:ascii="Arial" w:cs="Arial" w:eastAsia="Arial" w:hAnsi="Arial"/>
          <w:sz w:val="22"/>
          <w:szCs w:val="22"/>
          <w:color w:val="auto"/>
        </w:rPr>
        <w:t>You affirm that you have reported to the Company in writing any work-related physical or mental injury, illness or impairment which you may have experienced.</w:t>
      </w:r>
    </w:p>
    <w:p>
      <w:pPr>
        <w:ind w:firstLine="656"/>
        <w:spacing w:after="0" w:line="230" w:lineRule="auto"/>
        <w:tabs>
          <w:tab w:leader="none" w:pos="1209" w:val="left"/>
        </w:tabs>
        <w:numPr>
          <w:ilvl w:val="1"/>
          <w:numId w:val="37"/>
        </w:numPr>
        <w:rPr>
          <w:rFonts w:ascii="Arial" w:cs="Arial" w:eastAsia="Arial" w:hAnsi="Arial"/>
          <w:sz w:val="22"/>
          <w:szCs w:val="22"/>
          <w:color w:val="auto"/>
        </w:rPr>
      </w:pPr>
      <w:r>
        <w:rPr>
          <w:rFonts w:ascii="Arial" w:cs="Arial" w:eastAsia="Arial" w:hAnsi="Arial"/>
          <w:sz w:val="22"/>
          <w:szCs w:val="22"/>
          <w:color w:val="auto"/>
        </w:rPr>
        <w:t>You further affirm that you have not been retaliated against for reporting any allegations of wrongdoing by the Company or its officers, including any allegations of corporate fraud.</w:t>
      </w:r>
    </w:p>
    <w:p>
      <w:pPr>
        <w:spacing w:after="0" w:line="199" w:lineRule="exact"/>
        <w:rPr>
          <w:rFonts w:ascii="Arial" w:cs="Arial" w:eastAsia="Arial" w:hAnsi="Arial"/>
          <w:sz w:val="22"/>
          <w:szCs w:val="22"/>
          <w:color w:val="auto"/>
        </w:rPr>
      </w:pPr>
    </w:p>
    <w:p>
      <w:pPr>
        <w:jc w:val="both"/>
        <w:ind w:firstLine="656"/>
        <w:spacing w:after="0" w:line="231" w:lineRule="auto"/>
        <w:tabs>
          <w:tab w:leader="none" w:pos="1170" w:val="left"/>
        </w:tabs>
        <w:numPr>
          <w:ilvl w:val="1"/>
          <w:numId w:val="37"/>
        </w:numPr>
        <w:rPr>
          <w:rFonts w:ascii="Arial" w:cs="Arial" w:eastAsia="Arial" w:hAnsi="Arial"/>
          <w:sz w:val="22"/>
          <w:szCs w:val="22"/>
          <w:color w:val="auto"/>
        </w:rPr>
      </w:pPr>
      <w:r>
        <w:rPr>
          <w:rFonts w:ascii="Arial" w:cs="Arial" w:eastAsia="Arial" w:hAnsi="Arial"/>
          <w:sz w:val="22"/>
          <w:szCs w:val="22"/>
          <w:color w:val="auto"/>
        </w:rPr>
        <w:t>You further affirm that all of the Company’s decisions regarding your pay and benefits through the date of your execution of this Agreement were not discriminatory based on age, disability, race, color, sex, religion, national origin or any other classification protected by law.</w:t>
      </w:r>
    </w:p>
    <w:p>
      <w:pPr>
        <w:spacing w:after="0" w:line="195" w:lineRule="exact"/>
        <w:rPr>
          <w:rFonts w:ascii="Arial" w:cs="Arial" w:eastAsia="Arial" w:hAnsi="Arial"/>
          <w:sz w:val="22"/>
          <w:szCs w:val="22"/>
          <w:color w:val="auto"/>
        </w:rPr>
      </w:pPr>
    </w:p>
    <w:p>
      <w:pPr>
        <w:ind w:left="220" w:hanging="212"/>
        <w:spacing w:after="0"/>
        <w:tabs>
          <w:tab w:leader="none" w:pos="22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19" w:lineRule="exact"/>
        <w:rPr>
          <w:rFonts w:ascii="Arial" w:cs="Arial" w:eastAsia="Arial" w:hAnsi="Arial"/>
          <w:sz w:val="22"/>
          <w:szCs w:val="22"/>
          <w:b w:val="1"/>
          <w:bCs w:val="1"/>
          <w:color w:val="auto"/>
        </w:rPr>
      </w:pPr>
    </w:p>
    <w:p>
      <w:pPr>
        <w:ind w:left="380" w:hanging="372"/>
        <w:spacing w:after="0"/>
        <w:tabs>
          <w:tab w:leader="none" w:pos="3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p>
    <w:p>
      <w:pPr>
        <w:sectPr>
          <w:pgSz w:w="11900" w:h="16838" w:orient="portrait"/>
          <w:cols w:equalWidth="0" w:num="1">
            <w:col w:w="11240"/>
          </w:cols>
          <w:pgMar w:left="320" w:top="1414" w:right="339" w:bottom="1440" w:gutter="0" w:footer="0" w:header="0"/>
        </w:sectPr>
      </w:pPr>
    </w:p>
    <w:bookmarkStart w:id="78" w:name="page79"/>
    <w:bookmarkEnd w:id="78"/>
    <w:p>
      <w:pPr>
        <w:jc w:val="both"/>
        <w:ind w:firstLine="8"/>
        <w:spacing w:after="0" w:line="228" w:lineRule="auto"/>
        <w:tabs>
          <w:tab w:leader="none" w:pos="29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Except as set forth in Section 7, you hereby agree to keep the existence and terms of this Agreement confidential and not to disclose them to any persons other than to your legal, financial and/or tax advisors or to members of your immediate family (all of whom shall also be bound by the foregoing confidentiality covenant) or as required by law, rule, regulation or judicial process.</w:t>
      </w:r>
    </w:p>
    <w:p>
      <w:pPr>
        <w:spacing w:after="0" w:line="199" w:lineRule="exact"/>
        <w:rPr>
          <w:rFonts w:ascii="Arial" w:cs="Arial" w:eastAsia="Arial" w:hAnsi="Arial"/>
          <w:sz w:val="22"/>
          <w:szCs w:val="22"/>
          <w:color w:val="auto"/>
        </w:rPr>
      </w:pPr>
    </w:p>
    <w:p>
      <w:pPr>
        <w:jc w:val="both"/>
        <w:ind w:firstLine="899"/>
        <w:spacing w:after="0" w:line="254" w:lineRule="auto"/>
        <w:tabs>
          <w:tab w:leader="none" w:pos="1521"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During the course of your employment, you have had access to Confidential and Proprietary Information (as defined below). You hereby represent, warrant and agree that (i) you have not taken, nor shall you take at any time, including after the Separation Date, any Confidential and Proprietary Information, and (ii) you shall retain in strict confidence and shall not use for any purpose whatsoever or divulge, disseminate, copy, disclose to any third party, or otherwise use any Confidential and Proprietary Information. As used in this Agreement, “Confidential and Proprietary Information” means any non-public information of a confidential or proprietary nature of any of the Releasees, including, without limitation: (i) information of a commercially sensitive, proprietary or personal nature or that, if disclosed, could have an adverse effect on any of the Releasees’ standing in the community, its or their business reputations, operations or competitive positions,</w:t>
      </w:r>
    </w:p>
    <w:p>
      <w:pPr>
        <w:spacing w:after="0" w:line="4" w:lineRule="exact"/>
        <w:rPr>
          <w:rFonts w:ascii="Arial" w:cs="Arial" w:eastAsia="Arial" w:hAnsi="Arial"/>
          <w:sz w:val="19"/>
          <w:szCs w:val="19"/>
          <w:color w:val="auto"/>
        </w:rPr>
      </w:pPr>
    </w:p>
    <w:p>
      <w:pPr>
        <w:jc w:val="both"/>
        <w:ind w:firstLine="8"/>
        <w:spacing w:after="0" w:line="253" w:lineRule="auto"/>
        <w:tabs>
          <w:tab w:leader="none" w:pos="318"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information and documents that have been designated or treated as confidential, (iii) financial data; customer, guest, vendor or shareholder lists or data; advertising, business, sales or marketing information, plans, tactics and strategies; projects; technical or strategic information about any of the Company's businesses (including, but not limited to, cable television, on-line data, telephone, internet service provider, programming and programming ideas (including sports programming), advertising, theatrical, motion picture exhibition, production and distribution, entertainment or other businesses); plans or strategies to market or distribute the services or products of such businesses; economic or commercially sensitive information, policies, practices, procedures or techniques; trade secrets and other intellectual property; merchandising, advertising, marketing or sales strategies or plans; litigation theories or strategies; terms of agreements with third parties and third party trade secrets; information about any of the Releasees’ (to the extent applicable) employees, guests, agents, compensation (including, but not limited to, bonuses, incentives and commissions), or other human resources policies, plans and procedures, or any other non-public material or information relating to any of the Releasees, and (iv) any information (personal, proprietary or otherwise) you learned about any officer, director or member of management of the Company, whether prior, during or subsequent to your employment by the Company.</w:t>
      </w:r>
    </w:p>
    <w:p>
      <w:pPr>
        <w:spacing w:after="0" w:line="21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 xml:space="preserve">6. </w:t>
      </w:r>
      <w:r>
        <w:rPr>
          <w:rFonts w:ascii="Arial" w:cs="Arial" w:eastAsia="Arial" w:hAnsi="Arial"/>
          <w:sz w:val="22"/>
          <w:szCs w:val="22"/>
          <w:b w:val="1"/>
          <w:bCs w:val="1"/>
          <w:u w:val="single" w:color="auto"/>
          <w:color w:val="auto"/>
        </w:rPr>
        <w:t>Additional Understandings</w:t>
      </w:r>
    </w:p>
    <w:p>
      <w:pPr>
        <w:spacing w:after="0" w:line="202" w:lineRule="exact"/>
        <w:rPr>
          <w:sz w:val="20"/>
          <w:szCs w:val="20"/>
          <w:color w:val="auto"/>
        </w:rPr>
      </w:pPr>
    </w:p>
    <w:p>
      <w:pPr>
        <w:jc w:val="both"/>
        <w:ind w:firstLine="8"/>
        <w:spacing w:after="0" w:line="228" w:lineRule="auto"/>
        <w:tabs>
          <w:tab w:leader="none" w:pos="307"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Non-Disparagement. 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spacing w:after="0" w:line="199" w:lineRule="exact"/>
        <w:rPr>
          <w:rFonts w:ascii="Arial" w:cs="Arial" w:eastAsia="Arial" w:hAnsi="Arial"/>
          <w:sz w:val="22"/>
          <w:szCs w:val="22"/>
          <w:color w:val="auto"/>
        </w:rPr>
      </w:pPr>
    </w:p>
    <w:p>
      <w:pPr>
        <w:jc w:val="both"/>
        <w:ind w:firstLine="8"/>
        <w:spacing w:after="0" w:line="226" w:lineRule="auto"/>
        <w:tabs>
          <w:tab w:leader="none" w:pos="333" w:val="left"/>
        </w:tabs>
        <w:numPr>
          <w:ilvl w:val="0"/>
          <w:numId w:val="41"/>
        </w:numPr>
        <w:rPr>
          <w:rFonts w:ascii="Arial" w:cs="Arial" w:eastAsia="Arial" w:hAnsi="Arial"/>
          <w:sz w:val="22"/>
          <w:szCs w:val="22"/>
          <w:color w:val="auto"/>
        </w:rPr>
      </w:pPr>
      <w:r>
        <w:rPr>
          <w:rFonts w:ascii="Arial" w:cs="Arial" w:eastAsia="Arial" w:hAnsi="Arial"/>
          <w:sz w:val="22"/>
          <w:szCs w:val="22"/>
          <w:color w:val="auto"/>
        </w:rPr>
        <w:t>Physical and Intellectual Property. You agree that the Company is the owner of all rights, title and interest in and to all documents, tapes, videos, designs, plans, formulas, models, processes, computer programs, inventions (whether patentable or not), schematics, music, lyrics, programming ideas and any other technical, business, financial, advertising, sales, marketing, customer or product or programming development plans, forecasts, strategies, information and materials (in any media whatsoever) developed or prepared by you or with your</w:t>
      </w:r>
    </w:p>
    <w:p>
      <w:pPr>
        <w:sectPr>
          <w:pgSz w:w="11900" w:h="16838" w:orient="portrait"/>
          <w:cols w:equalWidth="0" w:num="1">
            <w:col w:w="11240"/>
          </w:cols>
          <w:pgMar w:left="320" w:top="1414" w:right="339" w:bottom="1440" w:gutter="0" w:footer="0" w:header="0"/>
        </w:sectPr>
      </w:pPr>
    </w:p>
    <w:bookmarkStart w:id="79" w:name="page80"/>
    <w:bookmarkEnd w:id="79"/>
    <w:p>
      <w:pPr>
        <w:spacing w:after="0" w:line="313" w:lineRule="auto"/>
        <w:rPr>
          <w:sz w:val="20"/>
          <w:szCs w:val="20"/>
          <w:color w:val="auto"/>
        </w:rPr>
      </w:pPr>
      <w:r>
        <w:rPr>
          <w:rFonts w:ascii="Arial" w:cs="Arial" w:eastAsia="Arial" w:hAnsi="Arial"/>
          <w:sz w:val="19"/>
          <w:szCs w:val="19"/>
          <w:color w:val="auto"/>
        </w:rPr>
        <w:t>cooperation during the course of your employment by the Company (the “Materials”). The Company will have the sole and exclusive authority to use the Materials in any manner that it deems appropriate, in perpetuity, without payment to you.</w:t>
      </w:r>
    </w:p>
    <w:p>
      <w:pPr>
        <w:spacing w:after="0" w:line="126"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Exception for Disclosure Pursuant to Law</w:t>
      </w:r>
    </w:p>
    <w:p>
      <w:pPr>
        <w:spacing w:after="0" w:line="22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Nothing in this Agreement shall prohibit or restrict you from: (i) making any disclosure of information required or expressly protected by law, including providing truthful testimony if required to do so by court order or legal or administrative process; or (ii) cooperating, participating or assisting in any investigation or proceeding brought by any federal, state or local regulatory or law enforcement agency or legislative body, or any self-regulatory organization, or the Company’s legal, compliance or human resources officers. However, to the maximum extent permitted by law, you agree that if any administrative claim is made against the Company, you shall not be entitled to recover any individual monetary relief or other individual remedies.</w:t>
      </w:r>
    </w:p>
    <w:p>
      <w:pPr>
        <w:spacing w:after="0" w:line="20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1"/>
          <w:szCs w:val="21"/>
          <w:color w:val="auto"/>
        </w:rPr>
        <w:t>In addition, you are hereby advised that pursuant to the federal Defend Trade Secrets Act of 2016, you may not be held criminally or civilly liable under any federal or state trade secret law for disclosing a trade secret: (i) in confidence, to a federal, state, or local government official, or to your attorneys, for the purpose of reporting or investigating a suspected violation of the law; or (ii) in a complaint or other court document filed in connection with a lawsuit or court proceeding, provided that said filing is made under seal. In addition, you are further advised that if you file an action for retaliation against the Company for reporting a suspected violation of law, you may disclose a trade secret to your attorneys and use the trade secret in connection with the court proceeding provided that you: (i) file any document containing the trade secret under seal; and (ii) do not disclose the trade secret, except pursuant to court order.</w:t>
      </w:r>
    </w:p>
    <w:p>
      <w:pPr>
        <w:spacing w:after="0" w:line="197"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Further Cooperation</w:t>
      </w:r>
    </w:p>
    <w:p>
      <w:pPr>
        <w:spacing w:after="0" w:line="22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You agree to cooperate fully with the Company in connection with any matter with which you were involved prior to the Separation Date, or in any litigation or administrative proceedings or appeals (including any preparation therefor) where the Company believes that your personal knowledge, attendance and participation could be beneficial to the Company or its affiliates. Such cooperation shall include, but is not limited to, your providing truthful testimony by affidavit, deposition, testimony or otherwise in connection with a trial, arbitration or similar proceeding, upon the Company’s request. The Company will pay you for your services rendered under this provision at a rate of $6,800.00 per day or part thereof, within 30 days after the approval of the invoice thereof.</w:t>
      </w:r>
    </w:p>
    <w:p>
      <w:pPr>
        <w:spacing w:after="0" w:line="20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any such expense before it is incurred.</w:t>
      </w:r>
    </w:p>
    <w:p>
      <w:pPr>
        <w:sectPr>
          <w:pgSz w:w="11900" w:h="16838" w:orient="portrait"/>
          <w:cols w:equalWidth="0" w:num="1">
            <w:col w:w="11240"/>
          </w:cols>
          <w:pgMar w:left="320" w:top="1414" w:right="339" w:bottom="1440" w:gutter="0" w:footer="0" w:header="0"/>
        </w:sectPr>
      </w:pPr>
    </w:p>
    <w:bookmarkStart w:id="80" w:name="page81"/>
    <w:bookmarkEnd w:id="80"/>
    <w:p>
      <w:pPr>
        <w:ind w:left="220" w:hanging="212"/>
        <w:spacing w:after="0"/>
        <w:tabs>
          <w:tab w:leader="none" w:pos="2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p>
    <w:p>
      <w:pPr>
        <w:spacing w:after="0" w:line="226"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For a period of one (1) year after the Separation Date,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This restriction does not apply to any employee who was discharged by the Company or any of its affiliates. In addition, this restriction will not prevent you from providing references. You hereby acknowledge that this Non-Solicitation provision is reasonable and necessary for the Company’s legitimate protection of its business interests.</w:t>
      </w:r>
    </w:p>
    <w:p>
      <w:pPr>
        <w:spacing w:after="0" w:line="19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Arial" w:cs="Arial" w:eastAsia="Arial" w:hAnsi="Arial"/>
          <w:sz w:val="19"/>
          <w:szCs w:val="19"/>
          <w:i w:val="1"/>
          <w:iCs w:val="1"/>
          <w:color w:val="auto"/>
        </w:rPr>
        <w:t>Competitive Entity</w:t>
      </w:r>
      <w:r>
        <w:rPr>
          <w:rFonts w:ascii="Arial" w:cs="Arial" w:eastAsia="Arial" w:hAnsi="Arial"/>
          <w:sz w:val="19"/>
          <w:szCs w:val="19"/>
          <w:color w:val="auto"/>
        </w:rPr>
        <w:t>” shall mean (1) any person, entity or business that (i) competes with any of the Company’s or any of its affiliate’s programming, advertising, entertainment, theatrical, film production, motion picture exhibition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or (2) any trade or professional association representing any of the businesses covered by this paragraph, other than the National Cable Television Association and any state cable television association. Ownership of not more than 1% of the outstanding stock of any publicly traded company shall not, by itself, be a violation of this paragraph. This agreement not to compete will expire on the first anniversary of the date on which your employment with the Company has terminated if your employment with the Company is terminated by the Company for “Cause”, or you resign for any reason, prior to the Expiration Date (as defined in the Employment Agreement). This agreement not to compete will not apply if your employment with the Company terminates on the Expiration Date as provided for in Section 1(c), and your employment has not been terminated for “Cause”.</w:t>
      </w:r>
    </w:p>
    <w:p>
      <w:pPr>
        <w:spacing w:after="0" w:line="200" w:lineRule="exact"/>
        <w:rPr>
          <w:sz w:val="20"/>
          <w:szCs w:val="20"/>
          <w:color w:val="auto"/>
        </w:rPr>
      </w:pPr>
    </w:p>
    <w:p>
      <w:pPr>
        <w:spacing w:after="0" w:line="213"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 to Counsel/Voluntary Waiver</w:t>
      </w:r>
    </w:p>
    <w:p>
      <w:pPr>
        <w:spacing w:after="0" w:line="22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The Company advises you to consult with a lawyer before executing this Agreement and the General Release and you acknowledge that you: (i) have been provided with a period of at least twenty-one (21) days to consult with a lawyer prior to executing this Agreement and the General Release; (ii) have read this Agreement (including, but not limited to, the “Release” in Section 3(a) above) and the General Release; (iii) fully understand the terms of this Agreement and the General Release; (iv) understand that any modifications, material or otherwise made to this Agreement do not restart or affect in any manner the original up to twenty-one (21) day consideration period; and (v) have executed this Agreement knowingly and voluntarily and without coercion, whether express or implied.</w:t>
      </w:r>
    </w:p>
    <w:p>
      <w:pPr>
        <w:sectPr>
          <w:pgSz w:w="11900" w:h="16838" w:orient="portrait"/>
          <w:cols w:equalWidth="0" w:num="1">
            <w:col w:w="11240"/>
          </w:cols>
          <w:pgMar w:left="320" w:top="1408" w:right="339" w:bottom="1440" w:gutter="0" w:footer="0" w:header="0"/>
        </w:sectPr>
      </w:pPr>
    </w:p>
    <w:bookmarkStart w:id="81" w:name="page82"/>
    <w:bookmarkEnd w:id="81"/>
    <w:p>
      <w:pPr>
        <w:ind w:left="332" w:hanging="332"/>
        <w:spacing w:after="0"/>
        <w:tabs>
          <w:tab w:leader="none" w:pos="332"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Revocation</w:t>
      </w:r>
    </w:p>
    <w:p>
      <w:pPr>
        <w:spacing w:after="0" w:line="226" w:lineRule="exact"/>
        <w:rPr>
          <w:sz w:val="20"/>
          <w:szCs w:val="20"/>
          <w:color w:val="auto"/>
        </w:rPr>
      </w:pPr>
    </w:p>
    <w:p>
      <w:pPr>
        <w:jc w:val="both"/>
        <w:ind w:left="-8" w:firstLine="8"/>
        <w:spacing w:after="0" w:line="237" w:lineRule="auto"/>
        <w:tabs>
          <w:tab w:leader="none" w:pos="286" w:val="left"/>
        </w:tabs>
        <w:numPr>
          <w:ilvl w:val="0"/>
          <w:numId w:val="48"/>
        </w:numPr>
        <w:rPr>
          <w:rFonts w:ascii="Arial" w:cs="Arial" w:eastAsia="Arial" w:hAnsi="Arial"/>
          <w:sz w:val="21"/>
          <w:szCs w:val="21"/>
          <w:color w:val="auto"/>
        </w:rPr>
      </w:pPr>
      <w:r>
        <w:rPr>
          <w:rFonts w:ascii="Arial" w:cs="Arial" w:eastAsia="Arial" w:hAnsi="Arial"/>
          <w:sz w:val="21"/>
          <w:szCs w:val="21"/>
          <w:color w:val="auto"/>
        </w:rPr>
        <w:t>Right to Revoke. You may revoke this Agreement within seven (7) days after the date on which you sign it. This Agreement will not be binding or enforceable until that seven (7) day period has expired. If you decide to revoke this Agreement, you must notify us of your revocation in a letter signed by you and received by Jamie Gallagher, no later than 5:00 p.m. on the seventh (7th) day after you signed this Agreement. A letter of revocation that is not received by the seventh (7th) day after you have signed the Agreement will be invalid and will not revoke this Agreement.</w:t>
      </w:r>
    </w:p>
    <w:p>
      <w:pPr>
        <w:spacing w:after="0" w:line="198" w:lineRule="exact"/>
        <w:rPr>
          <w:rFonts w:ascii="Arial" w:cs="Arial" w:eastAsia="Arial" w:hAnsi="Arial"/>
          <w:sz w:val="21"/>
          <w:szCs w:val="21"/>
          <w:color w:val="auto"/>
        </w:rPr>
      </w:pPr>
    </w:p>
    <w:p>
      <w:pPr>
        <w:ind w:left="-8" w:firstLine="8"/>
        <w:spacing w:after="0" w:line="260" w:lineRule="auto"/>
        <w:tabs>
          <w:tab w:leader="none" w:pos="298" w:val="left"/>
        </w:tabs>
        <w:numPr>
          <w:ilvl w:val="0"/>
          <w:numId w:val="48"/>
        </w:numPr>
        <w:rPr>
          <w:rFonts w:ascii="Arial" w:cs="Arial" w:eastAsia="Arial" w:hAnsi="Arial"/>
          <w:sz w:val="21"/>
          <w:szCs w:val="21"/>
          <w:color w:val="auto"/>
        </w:rPr>
      </w:pPr>
      <w:r>
        <w:rPr>
          <w:rFonts w:ascii="Arial" w:cs="Arial" w:eastAsia="Arial" w:hAnsi="Arial"/>
          <w:sz w:val="21"/>
          <w:szCs w:val="21"/>
          <w:color w:val="auto"/>
        </w:rPr>
        <w:t>Effective Date of Agreement. If you have not revoked this Agreement in accordance with Paragraph 12(a), above, the eighth (8th) day after the date on which you sign the Agreement shall be the “Effective Date” of the Agreement.</w:t>
      </w:r>
    </w:p>
    <w:p>
      <w:pPr>
        <w:spacing w:after="0" w:line="173" w:lineRule="exact"/>
        <w:rPr>
          <w:sz w:val="20"/>
          <w:szCs w:val="20"/>
          <w:color w:val="auto"/>
        </w:rPr>
      </w:pPr>
    </w:p>
    <w:p>
      <w:pPr>
        <w:ind w:left="332" w:hanging="332"/>
        <w:spacing w:after="0"/>
        <w:tabs>
          <w:tab w:leader="none" w:pos="33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Law/Forum/Waiver of Jury Trial/Contract Interpretation</w:t>
      </w:r>
    </w:p>
    <w:p>
      <w:pPr>
        <w:spacing w:after="0" w:line="226" w:lineRule="exact"/>
        <w:rPr>
          <w:sz w:val="20"/>
          <w:szCs w:val="20"/>
          <w:color w:val="auto"/>
        </w:rPr>
      </w:pPr>
    </w:p>
    <w:p>
      <w:pPr>
        <w:ind w:left="-8" w:firstLine="8"/>
        <w:spacing w:after="0" w:line="313" w:lineRule="auto"/>
        <w:tabs>
          <w:tab w:leader="none" w:pos="286"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This Agreement and the General Release shall be deemed to be made under, and in all respects shall be interpreted, construed and governed by and in accordance with, the laws of the State of New York without reference to its conflict of law principles.</w:t>
      </w:r>
    </w:p>
    <w:p>
      <w:pPr>
        <w:spacing w:after="0" w:line="132" w:lineRule="exact"/>
        <w:rPr>
          <w:rFonts w:ascii="Arial" w:cs="Arial" w:eastAsia="Arial" w:hAnsi="Arial"/>
          <w:sz w:val="19"/>
          <w:szCs w:val="19"/>
          <w:color w:val="auto"/>
        </w:rPr>
      </w:pPr>
    </w:p>
    <w:p>
      <w:pPr>
        <w:jc w:val="both"/>
        <w:ind w:left="-8" w:firstLine="8"/>
        <w:spacing w:after="0" w:line="267" w:lineRule="auto"/>
        <w:tabs>
          <w:tab w:leader="none" w:pos="298" w:val="left"/>
        </w:tabs>
        <w:numPr>
          <w:ilvl w:val="0"/>
          <w:numId w:val="50"/>
        </w:numPr>
        <w:rPr>
          <w:rFonts w:ascii="Arial" w:cs="Arial" w:eastAsia="Arial" w:hAnsi="Arial"/>
          <w:sz w:val="19"/>
          <w:szCs w:val="19"/>
          <w:color w:val="auto"/>
        </w:rPr>
      </w:pPr>
      <w:r>
        <w:rPr>
          <w:rFonts w:ascii="Arial" w:cs="Arial" w:eastAsia="Arial" w:hAnsi="Arial"/>
          <w:sz w:val="19"/>
          <w:szCs w:val="19"/>
          <w:color w:val="auto"/>
        </w:rPr>
        <w:t>You hereby irrevocably submit to the jurisdiction of the courts of the State of New York and the federal courts of the United States of America located in the State of New York with respect to the interpretation and enforcement of the provisions of this Agreement and the General Release, and you hereby waive, and agree not to assert, as a defense that you are not subject thereto or that the venue thereof may not be appropriate. You hereby agree that mailing of process or other papers in connection with any such action or proceeding in any manner as may be permitted by law shall be valid and sufficient service thereof.</w:t>
      </w:r>
    </w:p>
    <w:p>
      <w:pPr>
        <w:spacing w:after="0" w:line="175" w:lineRule="exact"/>
        <w:rPr>
          <w:rFonts w:ascii="Arial" w:cs="Arial" w:eastAsia="Arial" w:hAnsi="Arial"/>
          <w:sz w:val="19"/>
          <w:szCs w:val="19"/>
          <w:color w:val="auto"/>
        </w:rPr>
      </w:pPr>
    </w:p>
    <w:p>
      <w:pPr>
        <w:jc w:val="both"/>
        <w:ind w:left="-8" w:firstLine="656"/>
        <w:spacing w:after="0" w:line="239" w:lineRule="auto"/>
        <w:tabs>
          <w:tab w:leader="none" w:pos="1111" w:val="left"/>
        </w:tabs>
        <w:numPr>
          <w:ilvl w:val="1"/>
          <w:numId w:val="50"/>
        </w:numPr>
        <w:rPr>
          <w:rFonts w:ascii="Arial" w:cs="Arial" w:eastAsia="Arial" w:hAnsi="Arial"/>
          <w:sz w:val="21"/>
          <w:szCs w:val="21"/>
          <w:color w:val="auto"/>
        </w:rPr>
      </w:pPr>
      <w:r>
        <w:rPr>
          <w:rFonts w:ascii="Arial" w:cs="Arial" w:eastAsia="Arial" w:hAnsi="Arial"/>
          <w:sz w:val="21"/>
          <w:szCs w:val="21"/>
          <w:color w:val="auto"/>
        </w:rPr>
        <w:t>You hereby waive any right to a jury trial on any issue in any controversy relating to, arising out of, pertaining to or affecting this Agreement, your employment by the Company and/or the termination of your employment, including, but not limited, to any federal or state statutory or common law claims, including, but not limited to, any right to a jury trial provided by statute, the Seventh Amendment to the United States Constitution, or any other authority.</w:t>
      </w:r>
    </w:p>
    <w:p>
      <w:pPr>
        <w:spacing w:after="0" w:line="199" w:lineRule="exact"/>
        <w:rPr>
          <w:rFonts w:ascii="Arial" w:cs="Arial" w:eastAsia="Arial" w:hAnsi="Arial"/>
          <w:sz w:val="21"/>
          <w:szCs w:val="21"/>
          <w:color w:val="auto"/>
        </w:rPr>
      </w:pPr>
    </w:p>
    <w:p>
      <w:pPr>
        <w:ind w:left="-8" w:firstLine="656"/>
        <w:spacing w:after="0" w:line="239" w:lineRule="auto"/>
        <w:tabs>
          <w:tab w:leader="none" w:pos="1158" w:val="left"/>
        </w:tabs>
        <w:numPr>
          <w:ilvl w:val="1"/>
          <w:numId w:val="50"/>
        </w:numPr>
        <w:rPr>
          <w:rFonts w:ascii="Arial" w:cs="Arial" w:eastAsia="Arial" w:hAnsi="Arial"/>
          <w:sz w:val="22"/>
          <w:szCs w:val="22"/>
          <w:color w:val="auto"/>
        </w:rPr>
      </w:pPr>
      <w:r>
        <w:rPr>
          <w:rFonts w:ascii="Arial" w:cs="Arial" w:eastAsia="Arial" w:hAnsi="Arial"/>
          <w:sz w:val="22"/>
          <w:szCs w:val="22"/>
          <w:color w:val="auto"/>
        </w:rPr>
        <w:t>You agree that the language of all parts of this Agreement and the General Release shall be construed as a whole, and according to their fair meaning and not strictly for or against you or the Company.</w:t>
      </w:r>
    </w:p>
    <w:p>
      <w:pPr>
        <w:spacing w:after="0" w:line="192" w:lineRule="exact"/>
        <w:rPr>
          <w:sz w:val="20"/>
          <w:szCs w:val="20"/>
          <w:color w:val="auto"/>
        </w:rPr>
      </w:pPr>
    </w:p>
    <w:p>
      <w:pPr>
        <w:ind w:left="332" w:hanging="332"/>
        <w:spacing w:after="0"/>
        <w:tabs>
          <w:tab w:leader="none" w:pos="33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Provisions</w:t>
      </w:r>
    </w:p>
    <w:p>
      <w:pPr>
        <w:spacing w:after="0" w:line="225" w:lineRule="exact"/>
        <w:rPr>
          <w:rFonts w:ascii="Arial" w:cs="Arial" w:eastAsia="Arial" w:hAnsi="Arial"/>
          <w:sz w:val="22"/>
          <w:szCs w:val="22"/>
          <w:b w:val="1"/>
          <w:bCs w:val="1"/>
          <w:color w:val="auto"/>
        </w:rPr>
      </w:pPr>
    </w:p>
    <w:p>
      <w:pPr>
        <w:jc w:val="both"/>
        <w:ind w:left="-8" w:firstLine="656"/>
        <w:spacing w:after="0" w:line="224" w:lineRule="auto"/>
        <w:tabs>
          <w:tab w:leader="none" w:pos="934" w:val="left"/>
        </w:tabs>
        <w:numPr>
          <w:ilvl w:val="1"/>
          <w:numId w:val="51"/>
        </w:numPr>
        <w:rPr>
          <w:rFonts w:ascii="Arial" w:cs="Arial" w:eastAsia="Arial" w:hAnsi="Arial"/>
          <w:sz w:val="22"/>
          <w:szCs w:val="22"/>
          <w:color w:val="auto"/>
        </w:rPr>
      </w:pPr>
      <w:r>
        <w:rPr>
          <w:rFonts w:ascii="Arial" w:cs="Arial" w:eastAsia="Arial" w:hAnsi="Arial"/>
          <w:sz w:val="22"/>
          <w:szCs w:val="22"/>
          <w:color w:val="auto"/>
        </w:rPr>
        <w:t>Breach of Agreement. You hereby acknowledge and agree that your breach or threatened breach of Sections 5, 6, 8, 9, or 10 of this Agreement will cause irreparable harm to the Company for which monetary damages alone will not provide an adequate remedy. Accordingly, the Company, in addition to any other rights or remedies available to it under this Agreement or otherwise, will be entitled to an injunction to be issued by any court of competent jurisdiction restraining you from committing or continuing any violation of these provisions, without the necessity of showing actual damage and without any bond or other security being required.</w:t>
      </w:r>
    </w:p>
    <w:p>
      <w:pPr>
        <w:sectPr>
          <w:pgSz w:w="11900" w:h="16838" w:orient="portrait"/>
          <w:cols w:equalWidth="0" w:num="1">
            <w:col w:w="11232"/>
          </w:cols>
          <w:pgMar w:left="328" w:top="1408" w:right="339" w:bottom="1440" w:gutter="0" w:footer="0" w:header="0"/>
        </w:sectPr>
      </w:pPr>
    </w:p>
    <w:bookmarkStart w:id="82" w:name="page83"/>
    <w:bookmarkEnd w:id="82"/>
    <w:p>
      <w:pPr>
        <w:jc w:val="both"/>
        <w:ind w:left="-8" w:firstLine="656"/>
        <w:spacing w:after="0" w:line="258" w:lineRule="auto"/>
        <w:tabs>
          <w:tab w:leader="none" w:pos="946" w:val="left"/>
        </w:tabs>
        <w:numPr>
          <w:ilvl w:val="1"/>
          <w:numId w:val="52"/>
        </w:numPr>
        <w:rPr>
          <w:rFonts w:ascii="Arial" w:cs="Arial" w:eastAsia="Arial" w:hAnsi="Arial"/>
          <w:sz w:val="19"/>
          <w:szCs w:val="19"/>
          <w:color w:val="auto"/>
        </w:rPr>
      </w:pPr>
      <w:r>
        <w:rPr>
          <w:rFonts w:ascii="Arial" w:cs="Arial" w:eastAsia="Arial" w:hAnsi="Arial"/>
          <w:sz w:val="19"/>
          <w:szCs w:val="19"/>
          <w:color w:val="auto"/>
        </w:rPr>
        <w:t>Withholdings; 409A. The Company may withhold from any payment due hereunder any taxes that are required to be withheld under any law, rule or regulation. This Agreement is intended to comply with the requirements of Section 409A of the Internal Revenue Code of 1986, as amended (the “Code”) (together with the applicable regulations thereunder, “Section 409A”). To the extent that any provision in this Agreement is ambiguous as to its compliance with Section 409A or to the extent any provision in this Agreement must be modified to comply with Section 409A, such provision will be read, or will be modified (with the mutual consent of the parties, which consent will not be unreasonably withheld), as the case may be, in such a manner so that all payments due under this Agreement will comply with Section 409A. In no event may Executive, directly or indirectly, designate the calendar year of payment. If the Separation Date is before calendar year 2022 and, as a result of the General Release, any payment could be payable in 2021 or 2022, then such payment will be made in 2022. For purposes of Section 409A, each payment made under this Agreement will be treated as a separate payment.</w:t>
      </w:r>
    </w:p>
    <w:p>
      <w:pPr>
        <w:spacing w:after="0" w:line="189" w:lineRule="exact"/>
        <w:rPr>
          <w:rFonts w:ascii="Arial" w:cs="Arial" w:eastAsia="Arial" w:hAnsi="Arial"/>
          <w:sz w:val="19"/>
          <w:szCs w:val="19"/>
          <w:color w:val="auto"/>
        </w:rPr>
      </w:pPr>
    </w:p>
    <w:p>
      <w:pPr>
        <w:jc w:val="both"/>
        <w:ind w:left="-8" w:firstLine="656"/>
        <w:spacing w:after="0" w:line="228" w:lineRule="auto"/>
        <w:tabs>
          <w:tab w:leader="none" w:pos="934"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Non-Admission of Liability.</w:t>
      </w:r>
      <w:r>
        <w:rPr>
          <w:rFonts w:ascii="Arial" w:cs="Arial" w:eastAsia="Arial" w:hAnsi="Arial"/>
          <w:sz w:val="22"/>
          <w:szCs w:val="22"/>
          <w:color w:val="auto"/>
        </w:rPr>
        <w:t xml:space="preserve"> The parties agree and acknowledge that the agreement by the Company described herein, and the settlement and termination of any asserted or unasserted claims against any of the Releasees, are not and shall not be construed to be an admission of any violation of any federal, state or local statute or regulation, or of any duty owed, contractual or otherwise, by any of the Releasees to you.</w:t>
      </w:r>
    </w:p>
    <w:p>
      <w:pPr>
        <w:spacing w:after="0" w:line="199" w:lineRule="exact"/>
        <w:rPr>
          <w:rFonts w:ascii="Arial" w:cs="Arial" w:eastAsia="Arial" w:hAnsi="Arial"/>
          <w:sz w:val="22"/>
          <w:szCs w:val="22"/>
          <w:color w:val="auto"/>
        </w:rPr>
      </w:pPr>
    </w:p>
    <w:p>
      <w:pPr>
        <w:jc w:val="both"/>
        <w:ind w:left="-8" w:firstLine="656"/>
        <w:spacing w:after="0" w:line="237" w:lineRule="auto"/>
        <w:tabs>
          <w:tab w:leader="none" w:pos="1000" w:val="left"/>
        </w:tabs>
        <w:numPr>
          <w:ilvl w:val="1"/>
          <w:numId w:val="52"/>
        </w:numPr>
        <w:rPr>
          <w:rFonts w:ascii="Arial" w:cs="Arial" w:eastAsia="Arial" w:hAnsi="Arial"/>
          <w:sz w:val="21"/>
          <w:szCs w:val="21"/>
          <w:color w:val="auto"/>
        </w:rPr>
      </w:pPr>
      <w:r>
        <w:rPr>
          <w:rFonts w:ascii="Arial" w:cs="Arial" w:eastAsia="Arial" w:hAnsi="Arial"/>
          <w:sz w:val="21"/>
          <w:szCs w:val="21"/>
          <w:color w:val="auto"/>
        </w:rPr>
        <w:t>Entire Agreement. This Agreement, the Employment Agreement and the General Release set forth the entire agreement of the parties concerning its subject matter, and supersedes any and all prior agreements, discussions, understandings, promises and expectations. This Agreement may be modified only by a written instrument signed by you and by the Company. In the event of any inconsistency between the provisions of this Agreement and any other plan, program, practice or agreement in which you are a participant or a party, this Agreement shall control.</w:t>
      </w:r>
    </w:p>
    <w:p>
      <w:pPr>
        <w:spacing w:after="0" w:line="198" w:lineRule="exact"/>
        <w:rPr>
          <w:rFonts w:ascii="Arial" w:cs="Arial" w:eastAsia="Arial" w:hAnsi="Arial"/>
          <w:sz w:val="21"/>
          <w:szCs w:val="21"/>
          <w:color w:val="auto"/>
        </w:rPr>
      </w:pPr>
    </w:p>
    <w:p>
      <w:pPr>
        <w:jc w:val="both"/>
        <w:ind w:left="-8" w:firstLine="8"/>
        <w:spacing w:after="0" w:line="231" w:lineRule="auto"/>
        <w:tabs>
          <w:tab w:leader="none" w:pos="299"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Successors and Assigns. The provisions of this Agreement and the General Release shall be binding upon and inure to the benefit of the parties hereto and their respective successors and assigns, provided that you may not assign this Agreement and the General Release without the express written consent of the Company.</w:t>
      </w:r>
    </w:p>
    <w:p>
      <w:pPr>
        <w:spacing w:after="0" w:line="201" w:lineRule="exact"/>
        <w:rPr>
          <w:rFonts w:ascii="Arial" w:cs="Arial" w:eastAsia="Arial" w:hAnsi="Arial"/>
          <w:sz w:val="22"/>
          <w:szCs w:val="22"/>
          <w:color w:val="auto"/>
        </w:rPr>
      </w:pPr>
    </w:p>
    <w:p>
      <w:pPr>
        <w:jc w:val="both"/>
        <w:ind w:left="-8" w:firstLine="656"/>
        <w:spacing w:after="0" w:line="224" w:lineRule="auto"/>
        <w:tabs>
          <w:tab w:leader="none" w:pos="937" w:val="left"/>
        </w:tabs>
        <w:numPr>
          <w:ilvl w:val="1"/>
          <w:numId w:val="53"/>
        </w:numPr>
        <w:rPr>
          <w:rFonts w:ascii="Arial" w:cs="Arial" w:eastAsia="Arial" w:hAnsi="Arial"/>
          <w:sz w:val="22"/>
          <w:szCs w:val="22"/>
          <w:color w:val="auto"/>
        </w:rPr>
      </w:pPr>
      <w:r>
        <w:rPr>
          <w:rFonts w:ascii="Arial" w:cs="Arial" w:eastAsia="Arial" w:hAnsi="Arial"/>
          <w:sz w:val="22"/>
          <w:szCs w:val="22"/>
          <w:color w:val="auto"/>
        </w:rPr>
        <w:t>Severability. In the event any paragraph, section, sentence, provision, or clause of this Agreement or the General Release, or portion thereof, shall be determined to be illegal, invalid, or unenforceable, the remainder of this Agreement and the General Release, and the remainder of any such paragraph, section, sentence, provision, or clause shall not be affected and shall be given full effect without regard to the illegal, invalid or unenforceable portion, provided, however, if Section 3(a) above or Section 3 of the General Release is held illegal, invalid or unenforceable, the Company shall be released from any obligations under Sections 1 and 2 above.</w:t>
      </w:r>
    </w:p>
    <w:p>
      <w:pPr>
        <w:spacing w:after="0" w:line="203" w:lineRule="exact"/>
        <w:rPr>
          <w:rFonts w:ascii="Arial" w:cs="Arial" w:eastAsia="Arial" w:hAnsi="Arial"/>
          <w:sz w:val="22"/>
          <w:szCs w:val="22"/>
          <w:color w:val="auto"/>
        </w:rPr>
      </w:pPr>
    </w:p>
    <w:p>
      <w:pPr>
        <w:jc w:val="both"/>
        <w:ind w:left="-8" w:firstLine="656"/>
        <w:spacing w:after="0" w:line="228" w:lineRule="auto"/>
        <w:tabs>
          <w:tab w:leader="none" w:pos="959" w:val="left"/>
        </w:tabs>
        <w:numPr>
          <w:ilvl w:val="1"/>
          <w:numId w:val="53"/>
        </w:numPr>
        <w:rPr>
          <w:rFonts w:ascii="Arial" w:cs="Arial" w:eastAsia="Arial" w:hAnsi="Arial"/>
          <w:sz w:val="22"/>
          <w:szCs w:val="22"/>
          <w:color w:val="auto"/>
        </w:rPr>
      </w:pPr>
      <w:r>
        <w:rPr>
          <w:rFonts w:ascii="Arial" w:cs="Arial" w:eastAsia="Arial" w:hAnsi="Arial"/>
          <w:sz w:val="22"/>
          <w:szCs w:val="22"/>
          <w:color w:val="auto"/>
        </w:rPr>
        <w:t>Going Private Transaction/Change of Control. For the avoidance of doubt and notwithstanding any provision of this Agreement to the contrary, in the event of a “Going Private Transaction” or a “Change of Control”, as such terms are defined in the respective agreements governing the Awards, or in the event of your death, you will be entitled to receive the more favorable vesting and payment provisions (if any) provided in such Awards.</w:t>
      </w:r>
    </w:p>
    <w:p>
      <w:pPr>
        <w:sectPr>
          <w:pgSz w:w="11900" w:h="16838" w:orient="portrait"/>
          <w:cols w:equalWidth="0" w:num="1">
            <w:col w:w="11232"/>
          </w:cols>
          <w:pgMar w:left="328" w:top="1414" w:right="339" w:bottom="1440" w:gutter="0" w:footer="0" w:header="0"/>
        </w:sectPr>
      </w:pPr>
    </w:p>
    <w:bookmarkStart w:id="83" w:name="page84"/>
    <w:bookmarkEnd w:id="83"/>
    <w:p>
      <w:pPr>
        <w:ind w:left="652" w:right="3900" w:hanging="652"/>
        <w:spacing w:after="0" w:line="472" w:lineRule="auto"/>
        <w:tabs>
          <w:tab w:leader="none" w:pos="32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 xml:space="preserve">Acknowledgments and Waivers Including Express Waiver Under the ADEA </w:t>
      </w:r>
      <w:r>
        <w:rPr>
          <w:rFonts w:ascii="Arial" w:cs="Arial" w:eastAsia="Arial" w:hAnsi="Arial"/>
          <w:sz w:val="21"/>
          <w:szCs w:val="21"/>
          <w:color w:val="auto"/>
        </w:rPr>
        <w:t>By signing below, you certify and acknowledge as follows:</w:t>
      </w:r>
    </w:p>
    <w:p>
      <w:pPr>
        <w:spacing w:after="0" w:line="1" w:lineRule="exact"/>
        <w:rPr>
          <w:rFonts w:ascii="Arial" w:cs="Arial" w:eastAsia="Arial" w:hAnsi="Arial"/>
          <w:sz w:val="21"/>
          <w:szCs w:val="21"/>
          <w:b w:val="1"/>
          <w:bCs w:val="1"/>
          <w:color w:val="auto"/>
        </w:rPr>
      </w:pPr>
    </w:p>
    <w:p>
      <w:pPr>
        <w:jc w:val="both"/>
        <w:ind w:left="652" w:hanging="4"/>
        <w:spacing w:after="0" w:line="239" w:lineRule="auto"/>
        <w:tabs>
          <w:tab w:leader="none" w:pos="1111" w:val="left"/>
        </w:tabs>
        <w:numPr>
          <w:ilvl w:val="1"/>
          <w:numId w:val="54"/>
        </w:numPr>
        <w:rPr>
          <w:rFonts w:ascii="Arial" w:cs="Arial" w:eastAsia="Arial" w:hAnsi="Arial"/>
          <w:sz w:val="21"/>
          <w:szCs w:val="21"/>
          <w:color w:val="auto"/>
        </w:rPr>
      </w:pPr>
      <w:r>
        <w:rPr>
          <w:rFonts w:ascii="Arial" w:cs="Arial" w:eastAsia="Arial" w:hAnsi="Arial"/>
          <w:sz w:val="21"/>
          <w:szCs w:val="21"/>
          <w:color w:val="auto"/>
        </w:rPr>
        <w:t xml:space="preserve">That you have read the terms of this Agreement, and that you understand its terms and effects, including the fact that under this Agreement you have agreed to </w:t>
      </w:r>
      <w:r>
        <w:rPr>
          <w:rFonts w:ascii="Arial" w:cs="Arial" w:eastAsia="Arial" w:hAnsi="Arial"/>
          <w:sz w:val="21"/>
          <w:szCs w:val="21"/>
          <w:b w:val="1"/>
          <w:bCs w:val="1"/>
          <w:color w:val="auto"/>
        </w:rPr>
        <w:t>RELEASE AND FOREVER DISCHARGE</w:t>
      </w:r>
      <w:r>
        <w:rPr>
          <w:rFonts w:ascii="Arial" w:cs="Arial" w:eastAsia="Arial" w:hAnsi="Arial"/>
          <w:sz w:val="21"/>
          <w:szCs w:val="21"/>
          <w:color w:val="auto"/>
        </w:rPr>
        <w:t xml:space="preserve"> the Releasees from any legal action arising out of or relating to your employment by the Company, up and through the date of your execution of this Agreement, including any and all claims relating to age discrimination under the ADEA;</w:t>
      </w:r>
    </w:p>
    <w:p>
      <w:pPr>
        <w:spacing w:after="0" w:line="199" w:lineRule="exact"/>
        <w:rPr>
          <w:rFonts w:ascii="Arial" w:cs="Arial" w:eastAsia="Arial" w:hAnsi="Arial"/>
          <w:sz w:val="21"/>
          <w:szCs w:val="21"/>
          <w:color w:val="auto"/>
        </w:rPr>
      </w:pPr>
    </w:p>
    <w:p>
      <w:pPr>
        <w:jc w:val="both"/>
        <w:ind w:left="652" w:hanging="4"/>
        <w:spacing w:after="0" w:line="231" w:lineRule="auto"/>
        <w:tabs>
          <w:tab w:leader="none" w:pos="113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That you have signed this Agreement voluntarily and knowingly in exchange for the consideration described herein, which you acknowledge is adequate and satisfactory to you and which you acknowledge is in addition to any other benefits to which you are otherwise entitled;</w:t>
      </w:r>
    </w:p>
    <w:p>
      <w:pPr>
        <w:spacing w:after="0" w:line="201" w:lineRule="exact"/>
        <w:rPr>
          <w:rFonts w:ascii="Arial" w:cs="Arial" w:eastAsia="Arial" w:hAnsi="Arial"/>
          <w:sz w:val="22"/>
          <w:szCs w:val="22"/>
          <w:color w:val="auto"/>
        </w:rPr>
      </w:pPr>
    </w:p>
    <w:p>
      <w:pPr>
        <w:ind w:left="652" w:hanging="4"/>
        <w:spacing w:after="0" w:line="239" w:lineRule="auto"/>
        <w:tabs>
          <w:tab w:leader="none" w:pos="115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That you have been and are hereby advised in writing to consult with an attorney prior to signing this Agreement, and that you have been given an adequate opportunity to do so;</w:t>
      </w:r>
    </w:p>
    <w:p>
      <w:pPr>
        <w:spacing w:after="0" w:line="198" w:lineRule="exact"/>
        <w:rPr>
          <w:rFonts w:ascii="Arial" w:cs="Arial" w:eastAsia="Arial" w:hAnsi="Arial"/>
          <w:sz w:val="22"/>
          <w:szCs w:val="22"/>
          <w:color w:val="auto"/>
        </w:rPr>
      </w:pPr>
    </w:p>
    <w:p>
      <w:pPr>
        <w:ind w:left="652" w:hanging="4"/>
        <w:spacing w:after="0" w:line="239" w:lineRule="auto"/>
        <w:tabs>
          <w:tab w:leader="none" w:pos="1259"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That under this Agreement you do not waive rights or claims that may arise after the date this Agreement is executed;</w:t>
      </w:r>
    </w:p>
    <w:p>
      <w:pPr>
        <w:spacing w:after="0" w:line="198" w:lineRule="exact"/>
        <w:rPr>
          <w:rFonts w:ascii="Arial" w:cs="Arial" w:eastAsia="Arial" w:hAnsi="Arial"/>
          <w:sz w:val="22"/>
          <w:szCs w:val="22"/>
          <w:color w:val="auto"/>
        </w:rPr>
      </w:pPr>
    </w:p>
    <w:p>
      <w:pPr>
        <w:jc w:val="both"/>
        <w:ind w:left="652" w:hanging="4"/>
        <w:spacing w:after="0" w:line="231" w:lineRule="auto"/>
        <w:tabs>
          <w:tab w:leader="none" w:pos="1179"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That the Company has provided you with a period of at least twenty-one (21) days within which to consider this Agreement, and that you have signed on the date indicated below after concluding that this Agreement is satisfactory to you;</w:t>
      </w:r>
    </w:p>
    <w:p>
      <w:pPr>
        <w:spacing w:after="0" w:line="201" w:lineRule="exact"/>
        <w:rPr>
          <w:rFonts w:ascii="Arial" w:cs="Arial" w:eastAsia="Arial" w:hAnsi="Arial"/>
          <w:sz w:val="22"/>
          <w:szCs w:val="22"/>
          <w:color w:val="auto"/>
        </w:rPr>
      </w:pPr>
    </w:p>
    <w:p>
      <w:pPr>
        <w:ind w:left="652" w:hanging="4"/>
        <w:spacing w:after="0" w:line="239" w:lineRule="auto"/>
        <w:tabs>
          <w:tab w:leader="none" w:pos="1171"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That any modifications, material or otherwise made to this Agreement do not restart or affect in any manner the original up to twenty-one (21) day consideration period; and</w:t>
      </w:r>
    </w:p>
    <w:p>
      <w:pPr>
        <w:spacing w:after="0" w:line="198" w:lineRule="exact"/>
        <w:rPr>
          <w:rFonts w:ascii="Arial" w:cs="Arial" w:eastAsia="Arial" w:hAnsi="Arial"/>
          <w:sz w:val="22"/>
          <w:szCs w:val="22"/>
          <w:color w:val="auto"/>
        </w:rPr>
      </w:pPr>
    </w:p>
    <w:p>
      <w:pPr>
        <w:jc w:val="both"/>
        <w:ind w:left="652" w:hanging="4"/>
        <w:spacing w:after="0" w:line="231" w:lineRule="auto"/>
        <w:tabs>
          <w:tab w:leader="none" w:pos="1182"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That this Agreement may be revoked by you within seven (7) calendar days after you execute this Agreement, in accordance with Section 12(a) above, and it shall not become effective until the expiration of such seven (7) day revocation period.</w:t>
      </w:r>
    </w:p>
    <w:p>
      <w:pPr>
        <w:sectPr>
          <w:pgSz w:w="11900" w:h="16838" w:orient="portrait"/>
          <w:cols w:equalWidth="0" w:num="1">
            <w:col w:w="11232"/>
          </w:cols>
          <w:pgMar w:left="328" w:top="1408"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9"/>
          <w:szCs w:val="19"/>
          <w:color w:val="auto"/>
        </w:rPr>
        <w:t>We would like to thank you for your dedicated service to the Company and we wish you luck in your future endeavors.</w:t>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Jamie Gallagher</w:t>
      </w:r>
    </w:p>
    <w:p>
      <w:pPr>
        <w:ind w:left="3900"/>
        <w:spacing w:after="0" w:line="225" w:lineRule="auto"/>
        <w:rPr>
          <w:sz w:val="20"/>
          <w:szCs w:val="20"/>
          <w:color w:val="auto"/>
        </w:rPr>
      </w:pPr>
      <w:r>
        <w:rPr>
          <w:rFonts w:ascii="Arial" w:cs="Arial" w:eastAsia="Arial" w:hAnsi="Arial"/>
          <w:sz w:val="22"/>
          <w:szCs w:val="22"/>
          <w:color w:val="auto"/>
        </w:rPr>
        <w:t>Jamie Gallagher</w:t>
      </w:r>
    </w:p>
    <w:p>
      <w:pPr>
        <w:ind w:left="3900"/>
        <w:spacing w:after="0" w:line="218" w:lineRule="auto"/>
        <w:rPr>
          <w:sz w:val="20"/>
          <w:szCs w:val="20"/>
          <w:color w:val="auto"/>
        </w:rPr>
      </w:pPr>
      <w:r>
        <w:rPr>
          <w:rFonts w:ascii="Arial" w:cs="Arial" w:eastAsia="Arial" w:hAnsi="Arial"/>
          <w:sz w:val="22"/>
          <w:szCs w:val="22"/>
          <w:color w:val="auto"/>
        </w:rPr>
        <w:t>Executive Vice President and General Counsel</w:t>
      </w:r>
    </w:p>
    <w:p>
      <w:pPr>
        <w:spacing w:after="0"/>
        <w:rPr>
          <w:sz w:val="20"/>
          <w:szCs w:val="20"/>
          <w:color w:val="auto"/>
        </w:rPr>
      </w:pPr>
      <w:r>
        <w:rPr>
          <w:rFonts w:ascii="Arial" w:cs="Arial" w:eastAsia="Arial" w:hAnsi="Arial"/>
          <w:sz w:val="22"/>
          <w:szCs w:val="22"/>
          <w:color w:val="auto"/>
        </w:rPr>
        <w:t>Accepted and Agreed to:</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Edward A. Carroll</w:t>
      </w:r>
      <w:r>
        <w:rPr>
          <w:rFonts w:ascii="Arial" w:cs="Arial" w:eastAsia="Arial" w:hAnsi="Arial"/>
          <w:sz w:val="22"/>
          <w:szCs w:val="22"/>
          <w:color w:val="auto"/>
        </w:rPr>
        <w:t>______</w:t>
      </w:r>
    </w:p>
    <w:p>
      <w:pPr>
        <w:spacing w:after="0"/>
        <w:rPr>
          <w:sz w:val="20"/>
          <w:szCs w:val="20"/>
          <w:color w:val="auto"/>
        </w:rPr>
      </w:pPr>
      <w:r>
        <w:rPr>
          <w:rFonts w:ascii="Arial" w:cs="Arial" w:eastAsia="Arial" w:hAnsi="Arial"/>
          <w:sz w:val="22"/>
          <w:szCs w:val="22"/>
          <w:color w:val="auto"/>
        </w:rPr>
        <w:t>Edward A. Carroll</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September 28, 2021</w:t>
      </w:r>
      <w:r>
        <w:rPr>
          <w:rFonts w:ascii="Arial" w:cs="Arial" w:eastAsia="Arial" w:hAnsi="Arial"/>
          <w:sz w:val="22"/>
          <w:szCs w:val="22"/>
          <w:color w:val="auto"/>
        </w:rPr>
        <w:t>_______</w:t>
      </w: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940"/>
          </w:cols>
          <w:pgMar w:left="320" w:top="1414" w:right="639" w:bottom="1440" w:gutter="0" w:footer="0" w:header="0"/>
        </w:sectPr>
      </w:pPr>
    </w:p>
    <w:bookmarkStart w:id="85" w:name="page86"/>
    <w:bookmarkEnd w:id="85"/>
    <w:p>
      <w:pPr>
        <w:ind w:left="506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GENERAL RELEASE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 be signed &amp; provided to Company on or after the Separation 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Edward A. Carroll hereby agrees as follows:</w:t>
      </w:r>
    </w:p>
    <w:p>
      <w:pPr>
        <w:spacing w:after="0" w:line="220" w:lineRule="exact"/>
        <w:rPr>
          <w:sz w:val="20"/>
          <w:szCs w:val="20"/>
          <w:color w:val="auto"/>
        </w:rPr>
      </w:pPr>
    </w:p>
    <w:p>
      <w:pPr>
        <w:jc w:val="both"/>
        <w:ind w:firstLine="8"/>
        <w:spacing w:after="0" w:line="231" w:lineRule="auto"/>
        <w:tabs>
          <w:tab w:leader="none" w:pos="229" w:val="left"/>
        </w:tabs>
        <w:numPr>
          <w:ilvl w:val="0"/>
          <w:numId w:val="55"/>
        </w:numPr>
        <w:rPr>
          <w:rFonts w:ascii="Arial" w:cs="Arial" w:eastAsia="Arial" w:hAnsi="Arial"/>
          <w:sz w:val="22"/>
          <w:szCs w:val="22"/>
          <w:color w:val="auto"/>
        </w:rPr>
      </w:pPr>
      <w:r>
        <w:rPr>
          <w:rFonts w:ascii="Arial" w:cs="Arial" w:eastAsia="Arial" w:hAnsi="Arial"/>
          <w:sz w:val="22"/>
          <w:szCs w:val="22"/>
          <w:color w:val="auto"/>
        </w:rPr>
        <w:t>I signed a Separation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with AMC Networks Inc. (the “Company”) dated September 28, 2021 attached hereto and made a part hereof. All defined terms used herein and not otherwise defined shall have the meaning ascribed thereto in the Agreement.</w:t>
      </w:r>
    </w:p>
    <w:p>
      <w:pPr>
        <w:spacing w:after="0" w:line="201" w:lineRule="exact"/>
        <w:rPr>
          <w:rFonts w:ascii="Arial" w:cs="Arial" w:eastAsia="Arial" w:hAnsi="Arial"/>
          <w:sz w:val="22"/>
          <w:szCs w:val="22"/>
          <w:color w:val="auto"/>
        </w:rPr>
      </w:pPr>
    </w:p>
    <w:p>
      <w:pPr>
        <w:jc w:val="both"/>
        <w:ind w:firstLine="8"/>
        <w:spacing w:after="0" w:line="224" w:lineRule="auto"/>
        <w:tabs>
          <w:tab w:leader="none" w:pos="2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As stated in the Agreement, I am required to execute this General Release in exchange for the Company’s continuation of my employment through my Separation Date as defined in the Agreement and in order to be eligible to receive the Separation Benefits set forth in Section 2 of the Agreement. I understand that this General Release shall not be construed to supersede the Agreement, that the Agreement remains in full force and effect, and that I am obligated to continue to comply with the terms, conditions and obligations of the Agreement. I further understand that I may not execute this General Release prior to the Separation Date.</w:t>
      </w:r>
    </w:p>
    <w:p>
      <w:pPr>
        <w:spacing w:after="0" w:line="203" w:lineRule="exact"/>
        <w:rPr>
          <w:rFonts w:ascii="Arial" w:cs="Arial" w:eastAsia="Arial" w:hAnsi="Arial"/>
          <w:sz w:val="22"/>
          <w:szCs w:val="22"/>
          <w:color w:val="auto"/>
        </w:rPr>
      </w:pPr>
    </w:p>
    <w:p>
      <w:pPr>
        <w:jc w:val="both"/>
        <w:ind w:firstLine="8"/>
        <w:spacing w:after="0" w:line="255" w:lineRule="auto"/>
        <w:tabs>
          <w:tab w:leader="none" w:pos="216"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consideration for the Company’s continuation of my employment through the Separation Date and in order to be eligible to receive the Separation Benefits set forth in Section 2 of the Agreement, I, on behalf of myself, my heirs, executors, administrators and/or assigns, do hereby release and discharge the Company, together with its direct and indirect parent corporation, subsidiaries, affiliates, joint ventures, partners, and related entities, past, present and future, and its or their predecessors, successors and assigns (collectively, the “Company”), and its or their officers, directors, employees, consultants, agents, insurers, reinsurers, shareholders, representatives and assigns, past, present and future (collectively with the Company, the “Releasees”), of and from any and all legally waivable suits, debts, complaints, claims, liabilities, demands or causes of action, or any right to any other monetary recovery or personal relief, known or unknown, of whatever nature, which I, or any of my heirs, executors, administrators, and assigns ever had or now have against each or any of the Releasees, based upon or arising from any fact or set of facts, whether known or unknown to me, from the beginning of time to the date of my execution of this General Release, including, without limitation, any and all claims arising out of or relating to my employment by the Company or the separation of your employment. Without limiting the generality of the foregoing, this Release includes any claim or right based upon or arising under any federal, state or local fair employment practices or equal opportunity laws, including, but not limited to, any and all claims under the Age Discrimination in Employment Act of 1967 (“ADEA”), the Older Workers Benefit Protection Act, Title VII of the Civil Rights Act of 1964, Section 1981 of the Civil Rights Act of 1870, the Americans with Disabilities Act, the Employee Retirement Income Security Act, the Worker Adjustment and Retraining Notification Act, the Family Medical Leave Act, the Genetic Information Nondiscrimination Act, the New York Human Rights Law, the New York Labor Law, the New York Executive Law, the New York Wage and Hour Laws, the New York Civil Rights Law, the New York Equal Pay Law, the New York Whistleblower Statute, the New York WARN Act, the New York Constitution, the New York City Human Rights Law, each as amended, and any and all other federal, state or local statutory or common law claims, now or hereafter recognized,</w:t>
      </w:r>
    </w:p>
    <w:p>
      <w:pPr>
        <w:sectPr>
          <w:pgSz w:w="11900" w:h="16838" w:orient="portrait"/>
          <w:cols w:equalWidth="0" w:num="1">
            <w:col w:w="11240"/>
          </w:cols>
          <w:pgMar w:left="320" w:top="1408" w:right="339" w:bottom="1440" w:gutter="0" w:footer="0" w:header="0"/>
        </w:sectPr>
      </w:pPr>
    </w:p>
    <w:bookmarkStart w:id="86" w:name="page87"/>
    <w:bookmarkEnd w:id="86"/>
    <w:p>
      <w:pPr>
        <w:spacing w:after="0" w:line="239" w:lineRule="auto"/>
        <w:rPr>
          <w:sz w:val="20"/>
          <w:szCs w:val="20"/>
          <w:color w:val="auto"/>
        </w:rPr>
      </w:pPr>
      <w:r>
        <w:rPr>
          <w:rFonts w:ascii="Arial" w:cs="Arial" w:eastAsia="Arial" w:hAnsi="Arial"/>
          <w:sz w:val="22"/>
          <w:szCs w:val="22"/>
          <w:color w:val="auto"/>
        </w:rPr>
        <w:t>including but not limited to, any claims for economic loss, compensatory damages, punitive damages, liquidated damages, attorneys’ fees, expenses and costs.</w:t>
      </w:r>
    </w:p>
    <w:p>
      <w:pPr>
        <w:spacing w:after="0" w:line="198" w:lineRule="exact"/>
        <w:rPr>
          <w:sz w:val="20"/>
          <w:szCs w:val="20"/>
          <w:color w:val="auto"/>
        </w:rPr>
      </w:pPr>
    </w:p>
    <w:p>
      <w:pPr>
        <w:jc w:val="both"/>
        <w:ind w:firstLine="656"/>
        <w:spacing w:after="0" w:line="262" w:lineRule="auto"/>
        <w:tabs>
          <w:tab w:leader="none" w:pos="8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Notwithstanding the generality of the foregoing, nothing herein constitutes a release or waiver by me of: (i) any claim or right based on any facts or set of facts that may arise after my execution of this General Release; (ii) any claim or right I may have under this Release or the Agreement; (iii) any unemployment insurance claim; (iv) any workers’ compensation insurance benefits; (v) continued participation in certain benefits under COBRA (and any state law counterpart), if applicable; (vi) any claim for medical, hospital, surgical or physician’s services benefits arising under the Company’s applicable health insurance plan(s); (vii) any claims that cannot be waived as a matter of law; or (viii) any claim for indemnification and D&amp;O insurance pursuant to the Employment Agreement, applicable laws and the corporate governance documents of the Company or otherwise.</w:t>
      </w:r>
    </w:p>
    <w:p>
      <w:pPr>
        <w:spacing w:after="0" w:line="179" w:lineRule="exact"/>
        <w:rPr>
          <w:rFonts w:ascii="Arial" w:cs="Arial" w:eastAsia="Arial" w:hAnsi="Arial"/>
          <w:sz w:val="19"/>
          <w:szCs w:val="19"/>
          <w:color w:val="auto"/>
        </w:rPr>
      </w:pPr>
    </w:p>
    <w:p>
      <w:pPr>
        <w:jc w:val="both"/>
        <w:ind w:firstLine="656"/>
        <w:spacing w:after="0" w:line="255" w:lineRule="auto"/>
        <w:tabs>
          <w:tab w:leader="none" w:pos="864" w:val="left"/>
        </w:tabs>
        <w:numPr>
          <w:ilvl w:val="0"/>
          <w:numId w:val="56"/>
        </w:numPr>
        <w:rPr>
          <w:rFonts w:ascii="Arial" w:cs="Arial" w:eastAsia="Arial" w:hAnsi="Arial"/>
          <w:sz w:val="19"/>
          <w:szCs w:val="19"/>
          <w:color w:val="auto"/>
        </w:rPr>
      </w:pPr>
      <w:r>
        <w:rPr>
          <w:rFonts w:ascii="Arial" w:cs="Arial" w:eastAsia="Arial" w:hAnsi="Arial"/>
          <w:sz w:val="19"/>
          <w:szCs w:val="19"/>
          <w:color w:val="auto"/>
        </w:rPr>
        <w:t>I hereby affirm that I have been advised that this General Release does not prevent or prohibit me from filing a claim with a federal, state or local government agency responsible for enforcing a law on behalf of the government, such as the Equal Employment Opportunity Commission (“EEOC”), the Department of Labor (“DOL”), the National Labor Relations Board (“NLRB”), the Securities Exchange Commission (“SEC”), or their applicable state and/or local equivalent. This General Release also does not prevent me from exercising my rights under Section 7 of the National Labor Relations Act to engage in protected, concerted activity with other employees. To the fullest extent permitted by law, I agree that if any claim, charge, complaint or action against the Company covered by the release provision of this General Release is brought by me, for my benefit, or on my behalf, I expressly waive any claim to any form of monetary or other damages, including attorneys’ fees and costs, or any other form of personal recovery or relief from the Company based upon any such claim, charge, complaint or action, except for any right I may have to receive an award from a government agency (and not the Company) for information provided to a government agency. To the extent I receive any personal or monetary relief from the Company based on any such claim, charge, complaint or action, the Company will be entitled to an offset for the payments made pursuant to this General Release. I further agree and covenant that should any person, organization, or other entity file, charge, claim, sue, or cause or permit to be filed any civil action, suit or legal proceeding, or if any person, organization, or other entity has filed, charged, claimed, sued, or caused or permitted to be filed any civil action, suit or legal proceeding, against any of the Releasees involving any matter occurring at any time in the past, I am not entitled to and will not seek or accept personal equitable or monetary relief in such civil action, suit or legal proceeding. I further agree and covenant that I waive any right or ability to be a class or collective action representative or to otherwise participate in any putative or certified class, collective or multi-party action or proceeding asserted or brought against any of the Releasees.</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jc w:val="both"/>
        <w:ind w:firstLine="656"/>
        <w:spacing w:after="0" w:line="228" w:lineRule="auto"/>
        <w:tabs>
          <w:tab w:leader="none" w:pos="864"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Except as expressly referenced in the Agreement, I hereby confirm that all monies due to me, including, but not limited to, all wages earned, sick pay, personal leave pay and/or vacation pay, previously have been paid. I agree that no other monies or relief are due to me, other than the payments provided for in the Agreement in consideration of my execution of the Agreement and this General Release.</w:t>
      </w:r>
    </w:p>
    <w:p>
      <w:pPr>
        <w:spacing w:after="0" w:line="199" w:lineRule="exact"/>
        <w:rPr>
          <w:rFonts w:ascii="Arial" w:cs="Arial" w:eastAsia="Arial" w:hAnsi="Arial"/>
          <w:sz w:val="22"/>
          <w:szCs w:val="22"/>
          <w:color w:val="auto"/>
        </w:rPr>
      </w:pPr>
    </w:p>
    <w:p>
      <w:pPr>
        <w:ind w:right="20" w:firstLine="656"/>
        <w:spacing w:after="0" w:line="239" w:lineRule="auto"/>
        <w:tabs>
          <w:tab w:leader="none" w:pos="904" w:val="left"/>
        </w:tabs>
        <w:numPr>
          <w:ilvl w:val="0"/>
          <w:numId w:val="56"/>
        </w:numPr>
        <w:rPr>
          <w:rFonts w:ascii="Arial" w:cs="Arial" w:eastAsia="Arial" w:hAnsi="Arial"/>
          <w:sz w:val="22"/>
          <w:szCs w:val="22"/>
          <w:color w:val="auto"/>
        </w:rPr>
      </w:pPr>
      <w:r>
        <w:rPr>
          <w:rFonts w:ascii="Arial" w:cs="Arial" w:eastAsia="Arial" w:hAnsi="Arial"/>
          <w:sz w:val="22"/>
          <w:szCs w:val="22"/>
          <w:color w:val="auto"/>
        </w:rPr>
        <w:t>I affirm that I have reported to the Company in writing any work-related physical or mental injury, illness or impairment which I may have experienced.</w:t>
      </w:r>
    </w:p>
    <w:p>
      <w:pPr>
        <w:sectPr>
          <w:pgSz w:w="11900" w:h="16838" w:orient="portrait"/>
          <w:cols w:equalWidth="0" w:num="1">
            <w:col w:w="11240"/>
          </w:cols>
          <w:pgMar w:left="320" w:top="1414" w:right="339" w:bottom="1440" w:gutter="0" w:footer="0" w:header="0"/>
        </w:sectPr>
      </w:pPr>
    </w:p>
    <w:bookmarkStart w:id="87" w:name="page88"/>
    <w:bookmarkEnd w:id="87"/>
    <w:p>
      <w:pPr>
        <w:ind w:right="20" w:firstLine="656"/>
        <w:spacing w:after="0" w:line="239" w:lineRule="auto"/>
        <w:tabs>
          <w:tab w:leader="none" w:pos="864" w:val="left"/>
        </w:tabs>
        <w:numPr>
          <w:ilvl w:val="1"/>
          <w:numId w:val="57"/>
        </w:numPr>
        <w:rPr>
          <w:rFonts w:ascii="Arial" w:cs="Arial" w:eastAsia="Arial" w:hAnsi="Arial"/>
          <w:sz w:val="22"/>
          <w:szCs w:val="22"/>
          <w:color w:val="auto"/>
        </w:rPr>
      </w:pPr>
      <w:r>
        <w:rPr>
          <w:rFonts w:ascii="Arial" w:cs="Arial" w:eastAsia="Arial" w:hAnsi="Arial"/>
          <w:sz w:val="22"/>
          <w:szCs w:val="22"/>
          <w:color w:val="auto"/>
        </w:rPr>
        <w:t>I further affirm that I have not been retaliated against for reporting any allegations of wrongdoing by the Company or its officers, including any allegations of corporate fraud.</w:t>
      </w:r>
    </w:p>
    <w:p>
      <w:pPr>
        <w:spacing w:after="0" w:line="198" w:lineRule="exact"/>
        <w:rPr>
          <w:rFonts w:ascii="Arial" w:cs="Arial" w:eastAsia="Arial" w:hAnsi="Arial"/>
          <w:sz w:val="22"/>
          <w:szCs w:val="22"/>
          <w:color w:val="auto"/>
        </w:rPr>
      </w:pPr>
    </w:p>
    <w:p>
      <w:pPr>
        <w:jc w:val="both"/>
        <w:ind w:firstLine="656"/>
        <w:spacing w:after="0" w:line="223" w:lineRule="auto"/>
        <w:tabs>
          <w:tab w:leader="none" w:pos="864" w:val="left"/>
        </w:tabs>
        <w:numPr>
          <w:ilvl w:val="1"/>
          <w:numId w:val="57"/>
        </w:numPr>
        <w:rPr>
          <w:rFonts w:ascii="Arial" w:cs="Arial" w:eastAsia="Arial" w:hAnsi="Arial"/>
          <w:sz w:val="22"/>
          <w:szCs w:val="22"/>
          <w:color w:val="auto"/>
        </w:rPr>
      </w:pPr>
      <w:r>
        <w:rPr>
          <w:rFonts w:ascii="Arial" w:cs="Arial" w:eastAsia="Arial" w:hAnsi="Arial"/>
          <w:sz w:val="22"/>
          <w:szCs w:val="22"/>
          <w:color w:val="auto"/>
        </w:rPr>
        <w:t>I further affirm that all of the Company’s decisions regarding my pay and benefits through the date of my execution of this General Release were not discriminatory based on age, disability, race, color, sex, religion, national origin or any other classification protected by law.</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By signing below, I certify and acknowledge as follows:</w:t>
      </w:r>
    </w:p>
    <w:p>
      <w:pPr>
        <w:spacing w:after="0" w:line="201" w:lineRule="exact"/>
        <w:rPr>
          <w:rFonts w:ascii="Arial" w:cs="Arial" w:eastAsia="Arial" w:hAnsi="Arial"/>
          <w:sz w:val="22"/>
          <w:szCs w:val="22"/>
          <w:color w:val="auto"/>
        </w:rPr>
      </w:pPr>
    </w:p>
    <w:p>
      <w:pPr>
        <w:jc w:val="both"/>
        <w:ind w:firstLine="1304"/>
        <w:spacing w:after="0" w:line="239" w:lineRule="auto"/>
        <w:tabs>
          <w:tab w:leader="none" w:pos="1603" w:val="left"/>
        </w:tabs>
        <w:numPr>
          <w:ilvl w:val="2"/>
          <w:numId w:val="58"/>
        </w:numPr>
        <w:rPr>
          <w:rFonts w:ascii="Arial" w:cs="Arial" w:eastAsia="Arial" w:hAnsi="Arial"/>
          <w:sz w:val="21"/>
          <w:szCs w:val="21"/>
          <w:color w:val="auto"/>
        </w:rPr>
      </w:pPr>
      <w:r>
        <w:rPr>
          <w:rFonts w:ascii="Arial" w:cs="Arial" w:eastAsia="Arial" w:hAnsi="Arial"/>
          <w:sz w:val="21"/>
          <w:szCs w:val="21"/>
          <w:color w:val="auto"/>
        </w:rPr>
        <w:t xml:space="preserve">I have read the terms of this General Release, and I understand its terms and effects, including the fact that I have agreed to </w:t>
      </w:r>
      <w:r>
        <w:rPr>
          <w:rFonts w:ascii="Arial" w:cs="Arial" w:eastAsia="Arial" w:hAnsi="Arial"/>
          <w:sz w:val="21"/>
          <w:szCs w:val="21"/>
          <w:b w:val="1"/>
          <w:bCs w:val="1"/>
          <w:color w:val="auto"/>
        </w:rPr>
        <w:t>RELEASE AND FOREVER DISCHARGE</w:t>
      </w:r>
      <w:r>
        <w:rPr>
          <w:rFonts w:ascii="Arial" w:cs="Arial" w:eastAsia="Arial" w:hAnsi="Arial"/>
          <w:sz w:val="21"/>
          <w:szCs w:val="21"/>
          <w:color w:val="auto"/>
        </w:rPr>
        <w:t xml:space="preserve"> the Releasees from any legal action arising out of or relating to my employment by the Company or the termination of my employment by the Company, up and through the date of my execution of this General Release, including any and all claims relating to age discrimination under the ADEA;</w:t>
      </w:r>
    </w:p>
    <w:p>
      <w:pPr>
        <w:spacing w:after="0" w:line="199" w:lineRule="exact"/>
        <w:rPr>
          <w:rFonts w:ascii="Arial" w:cs="Arial" w:eastAsia="Arial" w:hAnsi="Arial"/>
          <w:sz w:val="21"/>
          <w:szCs w:val="21"/>
          <w:color w:val="auto"/>
        </w:rPr>
      </w:pPr>
    </w:p>
    <w:p>
      <w:pPr>
        <w:jc w:val="both"/>
        <w:ind w:firstLine="1304"/>
        <w:spacing w:after="0" w:line="231" w:lineRule="auto"/>
        <w:tabs>
          <w:tab w:leader="none" w:pos="1656" w:val="left"/>
        </w:tabs>
        <w:numPr>
          <w:ilvl w:val="2"/>
          <w:numId w:val="58"/>
        </w:numPr>
        <w:rPr>
          <w:rFonts w:ascii="Arial" w:cs="Arial" w:eastAsia="Arial" w:hAnsi="Arial"/>
          <w:sz w:val="22"/>
          <w:szCs w:val="22"/>
          <w:color w:val="auto"/>
        </w:rPr>
      </w:pPr>
      <w:r>
        <w:rPr>
          <w:rFonts w:ascii="Arial" w:cs="Arial" w:eastAsia="Arial" w:hAnsi="Arial"/>
          <w:sz w:val="22"/>
          <w:szCs w:val="22"/>
          <w:color w:val="auto"/>
        </w:rPr>
        <w:t>I have signed this General Release voluntarily and knowingly in exchange for consideration which I acknowledge is adequate and satisfactory to me and which I acknowledge is in addition to any other benefits to which I am otherwise entitled;</w:t>
      </w:r>
    </w:p>
    <w:p>
      <w:pPr>
        <w:spacing w:after="0" w:line="201" w:lineRule="exact"/>
        <w:rPr>
          <w:rFonts w:ascii="Arial" w:cs="Arial" w:eastAsia="Arial" w:hAnsi="Arial"/>
          <w:sz w:val="22"/>
          <w:szCs w:val="22"/>
          <w:color w:val="auto"/>
        </w:rPr>
      </w:pPr>
    </w:p>
    <w:p>
      <w:pPr>
        <w:ind w:firstLine="1304"/>
        <w:spacing w:after="0" w:line="226" w:lineRule="auto"/>
        <w:tabs>
          <w:tab w:leader="none" w:pos="1590" w:val="left"/>
        </w:tabs>
        <w:numPr>
          <w:ilvl w:val="2"/>
          <w:numId w:val="58"/>
        </w:numPr>
        <w:rPr>
          <w:rFonts w:ascii="Arial" w:cs="Arial" w:eastAsia="Arial" w:hAnsi="Arial"/>
          <w:sz w:val="22"/>
          <w:szCs w:val="22"/>
          <w:color w:val="auto"/>
        </w:rPr>
      </w:pPr>
      <w:r>
        <w:rPr>
          <w:rFonts w:ascii="Arial" w:cs="Arial" w:eastAsia="Arial" w:hAnsi="Arial"/>
          <w:sz w:val="22"/>
          <w:szCs w:val="22"/>
          <w:color w:val="auto"/>
        </w:rPr>
        <w:t>I have been and am hereby advised in writing to consult with an attorney prior to signing this General Release, and that I have been given an adequate opportunity to do so;</w:t>
      </w:r>
    </w:p>
    <w:p>
      <w:pPr>
        <w:ind w:left="1600" w:hanging="296"/>
        <w:spacing w:after="0"/>
        <w:tabs>
          <w:tab w:leader="none" w:pos="1600" w:val="left"/>
        </w:tabs>
        <w:numPr>
          <w:ilvl w:val="2"/>
          <w:numId w:val="58"/>
        </w:numPr>
        <w:rPr>
          <w:rFonts w:ascii="Arial" w:cs="Arial" w:eastAsia="Arial" w:hAnsi="Arial"/>
          <w:sz w:val="22"/>
          <w:szCs w:val="22"/>
          <w:color w:val="auto"/>
        </w:rPr>
      </w:pPr>
      <w:r>
        <w:rPr>
          <w:rFonts w:ascii="Arial" w:cs="Arial" w:eastAsia="Arial" w:hAnsi="Arial"/>
          <w:sz w:val="22"/>
          <w:szCs w:val="22"/>
          <w:color w:val="auto"/>
        </w:rPr>
        <w:t>I do not waive rights or claims that may arise after the date this General Release is executed;</w:t>
      </w:r>
    </w:p>
    <w:p>
      <w:pPr>
        <w:spacing w:after="0" w:line="201" w:lineRule="exact"/>
        <w:rPr>
          <w:rFonts w:ascii="Arial" w:cs="Arial" w:eastAsia="Arial" w:hAnsi="Arial"/>
          <w:sz w:val="22"/>
          <w:szCs w:val="22"/>
          <w:color w:val="auto"/>
        </w:rPr>
      </w:pPr>
    </w:p>
    <w:p>
      <w:pPr>
        <w:jc w:val="both"/>
        <w:ind w:firstLine="1304"/>
        <w:spacing w:after="0" w:line="231" w:lineRule="auto"/>
        <w:tabs>
          <w:tab w:leader="none" w:pos="1590" w:val="left"/>
        </w:tabs>
        <w:numPr>
          <w:ilvl w:val="2"/>
          <w:numId w:val="58"/>
        </w:numPr>
        <w:rPr>
          <w:rFonts w:ascii="Arial" w:cs="Arial" w:eastAsia="Arial" w:hAnsi="Arial"/>
          <w:sz w:val="22"/>
          <w:szCs w:val="22"/>
          <w:color w:val="auto"/>
        </w:rPr>
      </w:pPr>
      <w:r>
        <w:rPr>
          <w:rFonts w:ascii="Arial" w:cs="Arial" w:eastAsia="Arial" w:hAnsi="Arial"/>
          <w:sz w:val="22"/>
          <w:szCs w:val="22"/>
          <w:color w:val="auto"/>
        </w:rPr>
        <w:t>That the Company has provided me with a period of at least twenty-one (21) days within which to consider this General Release, and that I have signed on the date indicated below after concluding that this General Release is satisfactory to me;</w:t>
      </w:r>
    </w:p>
    <w:p>
      <w:pPr>
        <w:spacing w:after="0" w:line="201" w:lineRule="exact"/>
        <w:rPr>
          <w:rFonts w:ascii="Arial" w:cs="Arial" w:eastAsia="Arial" w:hAnsi="Arial"/>
          <w:sz w:val="22"/>
          <w:szCs w:val="22"/>
          <w:color w:val="auto"/>
        </w:rPr>
      </w:pPr>
    </w:p>
    <w:p>
      <w:pPr>
        <w:ind w:firstLine="1304"/>
        <w:spacing w:after="0" w:line="239" w:lineRule="auto"/>
        <w:tabs>
          <w:tab w:leader="none" w:pos="1593" w:val="left"/>
        </w:tabs>
        <w:numPr>
          <w:ilvl w:val="2"/>
          <w:numId w:val="58"/>
        </w:numPr>
        <w:rPr>
          <w:rFonts w:ascii="Arial" w:cs="Arial" w:eastAsia="Arial" w:hAnsi="Arial"/>
          <w:sz w:val="22"/>
          <w:szCs w:val="22"/>
          <w:color w:val="auto"/>
        </w:rPr>
      </w:pPr>
      <w:r>
        <w:rPr>
          <w:rFonts w:ascii="Arial" w:cs="Arial" w:eastAsia="Arial" w:hAnsi="Arial"/>
          <w:sz w:val="22"/>
          <w:szCs w:val="22"/>
          <w:color w:val="auto"/>
        </w:rPr>
        <w:t>That any modifications, material or otherwise made to this General Release do not restart or affect in any manner the original up to twenty-one (21) day consideration period; and</w:t>
      </w:r>
    </w:p>
    <w:p>
      <w:pPr>
        <w:spacing w:after="0" w:line="198" w:lineRule="exact"/>
        <w:rPr>
          <w:rFonts w:ascii="Arial" w:cs="Arial" w:eastAsia="Arial" w:hAnsi="Arial"/>
          <w:sz w:val="22"/>
          <w:szCs w:val="22"/>
          <w:color w:val="auto"/>
        </w:rPr>
      </w:pPr>
    </w:p>
    <w:p>
      <w:pPr>
        <w:jc w:val="both"/>
        <w:ind w:firstLine="1304"/>
        <w:spacing w:after="0" w:line="256" w:lineRule="auto"/>
        <w:tabs>
          <w:tab w:leader="none" w:pos="1602" w:val="left"/>
        </w:tabs>
        <w:numPr>
          <w:ilvl w:val="2"/>
          <w:numId w:val="58"/>
        </w:numPr>
        <w:rPr>
          <w:rFonts w:ascii="Arial" w:cs="Arial" w:eastAsia="Arial" w:hAnsi="Arial"/>
          <w:sz w:val="19"/>
          <w:szCs w:val="19"/>
          <w:color w:val="auto"/>
        </w:rPr>
      </w:pPr>
      <w:r>
        <w:rPr>
          <w:rFonts w:ascii="Arial" w:cs="Arial" w:eastAsia="Arial" w:hAnsi="Arial"/>
          <w:sz w:val="19"/>
          <w:szCs w:val="19"/>
          <w:color w:val="auto"/>
        </w:rPr>
        <w:t>That this General Release may be revoked by me within seven (7) calendar days after I execute it and it shall not become effective until the expiration of such seven (7) day revocation period. I further acknowledge that I must notify the Company of my revocation of this General Release in a letter signed by me and received by Jamie Gallagher, no later than 5:00 p.m. on the seventh (7th) day after I sign this General Release and that a letter of revocation that is not received by the seventh (7th) day after I have signed this General Release will be invalid and will not revoke this General Release.</w:t>
      </w:r>
    </w:p>
    <w:p>
      <w:pPr>
        <w:spacing w:after="0"/>
        <w:rPr>
          <w:rFonts w:ascii="Arial" w:cs="Arial" w:eastAsia="Arial" w:hAnsi="Arial"/>
          <w:sz w:val="19"/>
          <w:szCs w:val="19"/>
          <w:color w:val="auto"/>
        </w:rPr>
      </w:pPr>
      <w:r>
        <w:rPr>
          <w:rFonts w:ascii="Arial" w:cs="Arial" w:eastAsia="Arial" w:hAnsi="Arial"/>
          <w:sz w:val="22"/>
          <w:szCs w:val="22"/>
          <w:color w:val="auto"/>
        </w:rPr>
        <w:t>Accepted and Agreed to:</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rPr>
          <w:sz w:val="20"/>
          <w:szCs w:val="20"/>
          <w:color w:val="auto"/>
        </w:rPr>
      </w:pPr>
      <w:r>
        <w:rPr>
          <w:rFonts w:ascii="Arial" w:cs="Arial" w:eastAsia="Arial" w:hAnsi="Arial"/>
          <w:sz w:val="22"/>
          <w:szCs w:val="22"/>
          <w:color w:val="auto"/>
        </w:rPr>
        <w:t>Edward A. Carroll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w:t>
      </w:r>
    </w:p>
    <w:p>
      <w:pPr>
        <w:sectPr>
          <w:pgSz w:w="11900" w:h="16838" w:orient="portrait"/>
          <w:cols w:equalWidth="0" w:num="1">
            <w:col w:w="11240"/>
          </w:cols>
          <w:pgMar w:left="320" w:top="141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ind w:left="1240"/>
              <w:spacing w:after="0"/>
              <w:rPr>
                <w:sz w:val="20"/>
                <w:szCs w:val="20"/>
                <w:color w:val="auto"/>
              </w:rPr>
            </w:pPr>
            <w:r>
              <w:rPr>
                <w:rFonts w:ascii="Arial" w:cs="Arial" w:eastAsia="Arial" w:hAnsi="Arial"/>
                <w:sz w:val="18"/>
                <w:szCs w:val="18"/>
                <w:color w:val="auto"/>
                <w:w w:val="93"/>
              </w:rPr>
              <w:t>Exhibit 22</w:t>
            </w:r>
          </w:p>
        </w:tc>
      </w:tr>
      <w:tr>
        <w:trPr>
          <w:trHeight w:val="810"/>
        </w:trPr>
        <w:tc>
          <w:tcPr>
            <w:tcW w:w="9240" w:type="dxa"/>
            <w:vAlign w:val="bottom"/>
            <w:gridSpan w:val="3"/>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00" w:type="dxa"/>
            <w:vAlign w:val="bottom"/>
          </w:tcPr>
          <w:p>
            <w:pPr>
              <w:spacing w:after="0"/>
              <w:rPr>
                <w:sz w:val="24"/>
                <w:szCs w:val="24"/>
                <w:color w:val="auto"/>
              </w:rPr>
            </w:pPr>
          </w:p>
        </w:tc>
      </w:tr>
      <w:tr>
        <w:trPr>
          <w:trHeight w:val="270"/>
        </w:trPr>
        <w:tc>
          <w:tcPr>
            <w:tcW w:w="9240" w:type="dxa"/>
            <w:vAlign w:val="bottom"/>
            <w:gridSpan w:val="3"/>
          </w:tcPr>
          <w:p>
            <w:pPr>
              <w:spacing w:after="0"/>
              <w:rPr>
                <w:sz w:val="20"/>
                <w:szCs w:val="20"/>
                <w:color w:val="auto"/>
              </w:rPr>
            </w:pPr>
            <w:r>
              <w:rPr>
                <w:rFonts w:ascii="Arial" w:cs="Arial" w:eastAsia="Arial" w:hAnsi="Arial"/>
                <w:sz w:val="18"/>
                <w:szCs w:val="18"/>
                <w:color w:val="auto"/>
                <w:w w:val="91"/>
              </w:rPr>
              <w:t>As of September 30, 2021, the following subsidiaries of AMC Networks Inc. guarantee the notes issued by AMC Networks Inc.</w:t>
            </w:r>
          </w:p>
        </w:tc>
        <w:tc>
          <w:tcPr>
            <w:tcW w:w="2000" w:type="dxa"/>
            <w:vAlign w:val="bottom"/>
          </w:tcPr>
          <w:p>
            <w:pPr>
              <w:spacing w:after="0"/>
              <w:rPr>
                <w:sz w:val="23"/>
                <w:szCs w:val="23"/>
                <w:color w:val="auto"/>
              </w:rPr>
            </w:pPr>
          </w:p>
        </w:tc>
      </w:tr>
      <w:tr>
        <w:trPr>
          <w:trHeight w:val="240"/>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61st Street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 Games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Network Entertainment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New York</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00" w:type="dxa"/>
            <w:vAlign w:val="bottom"/>
          </w:tcPr>
          <w:p>
            <w:pPr>
              <w:spacing w:after="0"/>
              <w:rPr>
                <w:sz w:val="20"/>
                <w:szCs w:val="20"/>
                <w:color w:val="auto"/>
              </w:rPr>
            </w:pPr>
            <w:r>
              <w:rPr>
                <w:rFonts w:ascii="Arial" w:cs="Arial" w:eastAsia="Arial" w:hAnsi="Arial"/>
                <w:sz w:val="16"/>
                <w:szCs w:val="16"/>
                <w:color w:val="auto"/>
              </w:rPr>
              <w:t>New York</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Networks International Asia-Pacific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 Networks International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Networks Productions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 Premiere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 TV Studios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AMCN Properties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Animal Control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Anthem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Badlands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Louisiana</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Badlands Productions II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Brockmire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Cobalt Productions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Comic Scribe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Crossed Pens Development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Dark Winds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Digital Store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Dispatches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Expedition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Five Families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Five Moons Productions 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Geese Productions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Ground Work Productions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Hap and Leonard Productions II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Hap and Leonard Productions III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IFC Entertainment Holdings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IFC Entertainment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13"/>
        </w:trPr>
        <w:tc>
          <w:tcPr>
            <w:tcW w:w="9240" w:type="dxa"/>
            <w:vAlign w:val="bottom"/>
            <w:gridSpan w:val="3"/>
          </w:tcPr>
          <w:p>
            <w:pPr>
              <w:ind w:left="20"/>
              <w:spacing w:after="0"/>
              <w:rPr>
                <w:sz w:val="20"/>
                <w:szCs w:val="20"/>
                <w:color w:val="auto"/>
              </w:rPr>
            </w:pPr>
            <w:r>
              <w:rPr>
                <w:rFonts w:ascii="Arial" w:cs="Arial" w:eastAsia="Arial" w:hAnsi="Arial"/>
                <w:sz w:val="16"/>
                <w:szCs w:val="16"/>
                <w:color w:val="auto"/>
              </w:rPr>
              <w:t>IFC Films LLC</w:t>
            </w:r>
          </w:p>
        </w:tc>
        <w:tc>
          <w:tcPr>
            <w:tcW w:w="2000" w:type="dxa"/>
            <w:vAlign w:val="bottom"/>
          </w:tcPr>
          <w:p>
            <w:pPr>
              <w:spacing w:after="0"/>
              <w:rPr>
                <w:sz w:val="20"/>
                <w:szCs w:val="20"/>
                <w:color w:val="auto"/>
              </w:rPr>
            </w:pPr>
            <w:r>
              <w:rPr>
                <w:rFonts w:ascii="Arial" w:cs="Arial" w:eastAsia="Arial" w:hAnsi="Arial"/>
                <w:sz w:val="16"/>
                <w:szCs w:val="16"/>
                <w:color w:val="auto"/>
              </w:rPr>
              <w:t>Delaware</w:t>
            </w:r>
          </w:p>
        </w:tc>
      </w:tr>
      <w:tr>
        <w:trPr>
          <w:trHeight w:val="219"/>
        </w:trPr>
        <w:tc>
          <w:tcPr>
            <w:tcW w:w="9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IFC In Theaters LLC</w:t>
            </w: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Television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Theatres,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TV Studios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Kindred Spirit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Kopus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Kopus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Lodge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Mechanical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Moonhaven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Monument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Newfound Lake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NOS4A2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Rhode Island</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Peach Pit Properties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Pens Down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Premier Quills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Film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Media Enterprises, Inc.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Media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Programming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Red Monday Programming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RNC Holding Corporation</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RNC II Holding Corporation</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Roughhouse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Selects VOD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Shudder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Sleuth Secrets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Stalwart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Stan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 Channel Originals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 Film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SundanceTV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IV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X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Universe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Vampire Chronicles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Voom HD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Asia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Studios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Woodbury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Matthew Blank, certify that:</w:t>
      </w:r>
    </w:p>
    <w:p>
      <w:pPr>
        <w:spacing w:after="0" w:line="171" w:lineRule="exact"/>
        <w:rPr>
          <w:sz w:val="20"/>
          <w:szCs w:val="20"/>
          <w:color w:val="auto"/>
        </w:rPr>
      </w:pPr>
    </w:p>
    <w:p>
      <w:pPr>
        <w:ind w:left="280" w:hanging="1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left="100" w:firstLine="8"/>
        <w:spacing w:after="0" w:line="342" w:lineRule="auto"/>
        <w:tabs>
          <w:tab w:leader="none" w:pos="301"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00" w:firstLine="8"/>
        <w:spacing w:after="0" w:line="277" w:lineRule="auto"/>
        <w:tabs>
          <w:tab w:leader="none" w:pos="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00" w:firstLine="8"/>
        <w:spacing w:after="0" w:line="263" w:lineRule="auto"/>
        <w:tabs>
          <w:tab w:leader="none" w:pos="3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5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8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hanging="164"/>
        <w:spacing w:after="0" w:line="308" w:lineRule="auto"/>
        <w:tabs>
          <w:tab w:leader="none" w:pos="978"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hanging="164"/>
        <w:spacing w:after="0" w:line="263" w:lineRule="auto"/>
        <w:tabs>
          <w:tab w:leader="none" w:pos="95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 w:firstLine="8"/>
        <w:spacing w:after="0" w:line="308" w:lineRule="auto"/>
        <w:tabs>
          <w:tab w:leader="none" w:pos="2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hanging="164"/>
        <w:spacing w:after="0" w:line="277" w:lineRule="auto"/>
        <w:tabs>
          <w:tab w:leader="none" w:pos="9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hanging="164"/>
        <w:spacing w:after="0" w:line="277" w:lineRule="auto"/>
        <w:tabs>
          <w:tab w:leader="none" w:pos="954"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ovember 5, 2021</w:t>
            </w:r>
          </w:p>
        </w:tc>
        <w:tc>
          <w:tcPr>
            <w:tcW w:w="6980" w:type="dxa"/>
            <w:vAlign w:val="bottom"/>
            <w:gridSpan w:val="2"/>
          </w:tcPr>
          <w:p>
            <w:pPr>
              <w:ind w:left="2300"/>
              <w:spacing w:after="0"/>
              <w:rPr>
                <w:sz w:val="20"/>
                <w:szCs w:val="20"/>
                <w:color w:val="auto"/>
              </w:rPr>
            </w:pPr>
            <w:r>
              <w:rPr>
                <w:rFonts w:ascii="Arial" w:cs="Arial" w:eastAsia="Arial" w:hAnsi="Arial"/>
                <w:sz w:val="18"/>
                <w:szCs w:val="18"/>
                <w:color w:val="auto"/>
              </w:rPr>
              <w:t>By:  /s/ Matthew Blank</w:t>
            </w:r>
          </w:p>
        </w:tc>
      </w:tr>
      <w:tr>
        <w:trPr>
          <w:trHeight w:val="222"/>
        </w:trPr>
        <w:tc>
          <w:tcPr>
            <w:tcW w:w="3520" w:type="dxa"/>
            <w:vAlign w:val="bottom"/>
          </w:tcPr>
          <w:p>
            <w:pPr>
              <w:spacing w:after="0"/>
              <w:rPr>
                <w:sz w:val="19"/>
                <w:szCs w:val="19"/>
                <w:color w:val="auto"/>
              </w:rPr>
            </w:pPr>
          </w:p>
        </w:tc>
        <w:tc>
          <w:tcPr>
            <w:tcW w:w="3520" w:type="dxa"/>
            <w:vAlign w:val="bottom"/>
          </w:tcPr>
          <w:p>
            <w:pPr>
              <w:ind w:left="2740"/>
              <w:spacing w:after="0"/>
              <w:rPr>
                <w:sz w:val="20"/>
                <w:szCs w:val="20"/>
                <w:color w:val="auto"/>
              </w:rPr>
            </w:pPr>
            <w:r>
              <w:rPr>
                <w:rFonts w:ascii="Arial" w:cs="Arial" w:eastAsia="Arial" w:hAnsi="Arial"/>
                <w:sz w:val="18"/>
                <w:szCs w:val="18"/>
                <w:color w:val="auto"/>
              </w:rPr>
              <w:t>Matthew</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Blank</w:t>
            </w:r>
          </w:p>
        </w:tc>
      </w:tr>
      <w:tr>
        <w:trPr>
          <w:trHeight w:val="230"/>
        </w:trPr>
        <w:tc>
          <w:tcPr>
            <w:tcW w:w="3520" w:type="dxa"/>
            <w:vAlign w:val="bottom"/>
          </w:tcPr>
          <w:p>
            <w:pPr>
              <w:spacing w:after="0"/>
              <w:rPr>
                <w:sz w:val="20"/>
                <w:szCs w:val="20"/>
                <w:color w:val="auto"/>
              </w:rPr>
            </w:pPr>
          </w:p>
        </w:tc>
        <w:tc>
          <w:tcPr>
            <w:tcW w:w="6980" w:type="dxa"/>
            <w:vAlign w:val="bottom"/>
            <w:gridSpan w:val="2"/>
          </w:tcPr>
          <w:p>
            <w:pPr>
              <w:ind w:left="2740"/>
              <w:spacing w:after="0"/>
              <w:rPr>
                <w:sz w:val="20"/>
                <w:szCs w:val="20"/>
                <w:color w:val="auto"/>
              </w:rPr>
            </w:pPr>
            <w:r>
              <w:rPr>
                <w:rFonts w:ascii="Arial" w:cs="Arial" w:eastAsia="Arial" w:hAnsi="Arial"/>
                <w:sz w:val="18"/>
                <w:szCs w:val="18"/>
                <w:color w:val="auto"/>
              </w:rPr>
              <w:t>Interim Chief Executive Officer</w:t>
            </w:r>
          </w:p>
        </w:tc>
      </w:tr>
    </w:tbl>
    <w:p>
      <w:pPr>
        <w:sectPr>
          <w:pgSz w:w="11900" w:h="16838" w:orient="portrait"/>
          <w:cols w:equalWidth="0" w:num="1">
            <w:col w:w="11340"/>
          </w:cols>
          <w:pgMar w:left="2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Christina Spade, certify that:</w:t>
      </w:r>
    </w:p>
    <w:p>
      <w:pPr>
        <w:spacing w:after="0" w:line="171" w:lineRule="exact"/>
        <w:rPr>
          <w:sz w:val="20"/>
          <w:szCs w:val="20"/>
          <w:color w:val="auto"/>
        </w:rPr>
      </w:pPr>
    </w:p>
    <w:p>
      <w:pPr>
        <w:ind w:left="280" w:hanging="1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left="100" w:firstLine="8"/>
        <w:spacing w:after="0" w:line="342" w:lineRule="auto"/>
        <w:tabs>
          <w:tab w:leader="none" w:pos="301"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00" w:firstLine="8"/>
        <w:spacing w:after="0" w:line="277" w:lineRule="auto"/>
        <w:tabs>
          <w:tab w:leader="none" w:pos="3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00" w:firstLine="8"/>
        <w:spacing w:after="0" w:line="263" w:lineRule="auto"/>
        <w:tabs>
          <w:tab w:leader="none" w:pos="3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5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83"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hanging="164"/>
        <w:spacing w:after="0" w:line="308" w:lineRule="auto"/>
        <w:tabs>
          <w:tab w:leader="none" w:pos="978"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hanging="164"/>
        <w:spacing w:after="0" w:line="263" w:lineRule="auto"/>
        <w:tabs>
          <w:tab w:leader="none" w:pos="95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100" w:firstLine="8"/>
        <w:spacing w:after="0" w:line="308" w:lineRule="auto"/>
        <w:tabs>
          <w:tab w:leader="none" w:pos="2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hanging="164"/>
        <w:spacing w:after="0" w:line="277" w:lineRule="auto"/>
        <w:tabs>
          <w:tab w:leader="none" w:pos="9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hanging="164"/>
        <w:spacing w:after="0" w:line="277" w:lineRule="auto"/>
        <w:tabs>
          <w:tab w:leader="none" w:pos="95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ovember 5, 2021</w:t>
            </w:r>
          </w:p>
        </w:tc>
        <w:tc>
          <w:tcPr>
            <w:tcW w:w="6980" w:type="dxa"/>
            <w:vAlign w:val="bottom"/>
            <w:gridSpan w:val="2"/>
          </w:tcPr>
          <w:p>
            <w:pPr>
              <w:ind w:left="2300"/>
              <w:spacing w:after="0"/>
              <w:rPr>
                <w:sz w:val="20"/>
                <w:szCs w:val="20"/>
                <w:color w:val="auto"/>
              </w:rPr>
            </w:pPr>
            <w:r>
              <w:rPr>
                <w:rFonts w:ascii="Arial" w:cs="Arial" w:eastAsia="Arial" w:hAnsi="Arial"/>
                <w:sz w:val="18"/>
                <w:szCs w:val="18"/>
                <w:color w:val="auto"/>
              </w:rPr>
              <w:t>By:  /s/ Christina Spade</w:t>
            </w:r>
          </w:p>
        </w:tc>
      </w:tr>
      <w:tr>
        <w:trPr>
          <w:trHeight w:val="222"/>
        </w:trPr>
        <w:tc>
          <w:tcPr>
            <w:tcW w:w="3520" w:type="dxa"/>
            <w:vAlign w:val="bottom"/>
          </w:tcPr>
          <w:p>
            <w:pPr>
              <w:spacing w:after="0"/>
              <w:rPr>
                <w:sz w:val="19"/>
                <w:szCs w:val="19"/>
                <w:color w:val="auto"/>
              </w:rPr>
            </w:pPr>
          </w:p>
        </w:tc>
        <w:tc>
          <w:tcPr>
            <w:tcW w:w="3520" w:type="dxa"/>
            <w:vAlign w:val="bottom"/>
          </w:tcPr>
          <w:p>
            <w:pPr>
              <w:ind w:left="2740"/>
              <w:spacing w:after="0"/>
              <w:rPr>
                <w:sz w:val="20"/>
                <w:szCs w:val="20"/>
                <w:color w:val="auto"/>
              </w:rPr>
            </w:pPr>
            <w:r>
              <w:rPr>
                <w:rFonts w:ascii="Arial" w:cs="Arial" w:eastAsia="Arial" w:hAnsi="Arial"/>
                <w:sz w:val="18"/>
                <w:szCs w:val="18"/>
                <w:color w:val="auto"/>
              </w:rPr>
              <w:t>Christina</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Spade</w:t>
            </w:r>
          </w:p>
        </w:tc>
      </w:tr>
      <w:tr>
        <w:trPr>
          <w:trHeight w:val="230"/>
        </w:trPr>
        <w:tc>
          <w:tcPr>
            <w:tcW w:w="3520" w:type="dxa"/>
            <w:vAlign w:val="bottom"/>
          </w:tcPr>
          <w:p>
            <w:pPr>
              <w:spacing w:after="0"/>
              <w:rPr>
                <w:sz w:val="20"/>
                <w:szCs w:val="20"/>
                <w:color w:val="auto"/>
              </w:rPr>
            </w:pPr>
          </w:p>
        </w:tc>
        <w:tc>
          <w:tcPr>
            <w:tcW w:w="6980" w:type="dxa"/>
            <w:vAlign w:val="bottom"/>
            <w:gridSpan w:val="2"/>
          </w:tcPr>
          <w:p>
            <w:pPr>
              <w:ind w:left="274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340"/>
          </w:cols>
          <w:pgMar w:left="2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September 30, 2021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November 5, 2021</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Blank</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Matthew Blank</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20"/>
              <w:spacing w:after="0"/>
              <w:rPr>
                <w:sz w:val="20"/>
                <w:szCs w:val="20"/>
                <w:color w:val="auto"/>
              </w:rPr>
            </w:pPr>
            <w:r>
              <w:rPr>
                <w:rFonts w:ascii="Arial" w:cs="Arial" w:eastAsia="Arial" w:hAnsi="Arial"/>
                <w:sz w:val="18"/>
                <w:szCs w:val="18"/>
                <w:color w:val="auto"/>
              </w:rPr>
              <w:t>November 5, 2021</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Spade</w:t>
            </w:r>
          </w:p>
        </w:tc>
        <w:tc>
          <w:tcPr>
            <w:tcW w:w="20" w:type="dxa"/>
            <w:vAlign w:val="bottom"/>
            <w:tcBorders>
              <w:bottom w:val="single" w:sz="8" w:color="auto"/>
            </w:tcBorders>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Christina Spade</w:t>
            </w:r>
          </w:p>
        </w:tc>
        <w:tc>
          <w:tcPr>
            <w:tcW w:w="20" w:type="dxa"/>
            <w:vAlign w:val="bottom"/>
          </w:tcPr>
          <w:p>
            <w:pPr>
              <w:spacing w:after="0"/>
              <w:rPr>
                <w:sz w:val="19"/>
                <w:szCs w:val="19"/>
                <w:color w:val="auto"/>
              </w:rPr>
            </w:pPr>
          </w:p>
        </w:tc>
      </w:tr>
      <w:tr>
        <w:trPr>
          <w:trHeight w:val="176"/>
        </w:trPr>
        <w:tc>
          <w:tcPr>
            <w:tcW w:w="5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c>
          <w:tcPr>
            <w:tcW w:w="2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lowerLetter"/>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decimal"/>
      <w:start w:val="22"/>
    </w:lvl>
  </w:abstractNum>
  <w:abstractNum w:abstractNumId="13">
    <w:nsid w:val="77465F01"/>
    <w:multiLevelType w:val="hybridMultilevel"/>
    <w:lvl w:ilvl="0">
      <w:lvlJc w:val="left"/>
      <w:lvlText w:val="%1"/>
      <w:numFmt w:val="decimal"/>
      <w:start w:val="32"/>
    </w:lvl>
  </w:abstractNum>
  <w:abstractNum w:abstractNumId="14">
    <w:nsid w:val="7724C67E"/>
    <w:multiLevelType w:val="hybridMultilevel"/>
    <w:lvl w:ilvl="0">
      <w:lvlJc w:val="left"/>
      <w:lvlText w:val="%1"/>
      <w:numFmt w:val="decimal"/>
      <w:start w:val="104"/>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upperLetter"/>
      <w:start w:val="4"/>
    </w:lvl>
    <w:lvl w:ilvl="1">
      <w:lvlJc w:val="left"/>
      <w:lvlText w:val="%2."/>
      <w:numFmt w:val="decimal"/>
      <w:start w:val="4"/>
    </w:lvl>
  </w:abstractNum>
  <w:abstractNum w:abstractNumId="17">
    <w:nsid w:val="5E884ADC"/>
    <w:multiLevelType w:val="hybridMultilevel"/>
    <w:lvl w:ilvl="0">
      <w:lvlJc w:val="left"/>
      <w:lvlText w:val="%1."/>
      <w:numFmt w:val="decimal"/>
      <w:start w:val="5"/>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4"/>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lowerLetter"/>
      <w:start w:val="1"/>
    </w:lvl>
    <w:lvl w:ilvl="1">
      <w:lvlJc w:val="left"/>
      <w:lvlText w:val="1"/>
      <w:numFmt w:val="bullet"/>
      <w:start w:val="1"/>
    </w:lvl>
    <w:lvl w:ilvl="2">
      <w:lvlJc w:val="left"/>
      <w:lvlText w:val="(%3)"/>
      <w:numFmt w:val="lowerLetter"/>
      <w:start w:val="1"/>
    </w:lvl>
  </w:abstractNum>
  <w:abstractNum w:abstractNumId="23">
    <w:nsid w:val="70A64E2A"/>
    <w:multiLevelType w:val="hybridMultilevel"/>
    <w:lvl w:ilvl="0">
      <w:lvlJc w:val="left"/>
      <w:lvlText w:val="(%1)"/>
      <w:numFmt w:val="lowerLetter"/>
      <w:start w:val="61"/>
    </w:lvl>
    <w:lvl w:ilvl="1">
      <w:lvlJc w:val="left"/>
      <w:lvlText w:val="1"/>
      <w:numFmt w:val="bullet"/>
      <w:start w:val="1"/>
    </w:lvl>
    <w:lvl w:ilvl="2">
      <w:lvlJc w:val="left"/>
      <w:lvlText w:val="%3"/>
      <w:numFmt w:val="lowerLetter"/>
      <w:start w:val="1"/>
    </w:lvl>
  </w:abstractNum>
  <w:abstractNum w:abstractNumId="24">
    <w:nsid w:val="6A2342EC"/>
    <w:multiLevelType w:val="hybridMultilevel"/>
    <w:lvl w:ilvl="0">
      <w:lvlJc w:val="left"/>
      <w:lvlText w:val="%1"/>
      <w:numFmt w:val="decimal"/>
      <w:start w:val="1"/>
    </w:lvl>
    <w:lvl w:ilvl="1">
      <w:lvlJc w:val="left"/>
      <w:lvlText w:val="(%2)"/>
      <w:numFmt w:val="lowerLetter"/>
      <w:start w:val="3"/>
    </w:lvl>
  </w:abstractNum>
  <w:abstractNum w:abstractNumId="25">
    <w:nsid w:val="2A487CB0"/>
    <w:multiLevelType w:val="hybridMultilevel"/>
    <w:lvl w:ilvl="0">
      <w:lvlJc w:val="left"/>
      <w:lvlText w:val="%1)"/>
      <w:numFmt w:val="decimal"/>
      <w:start w:val="1"/>
    </w:lvl>
    <w:lvl w:ilvl="1">
      <w:lvlJc w:val="left"/>
      <w:lvlText w:val="%2"/>
      <w:numFmt w:val="lowerLetter"/>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3"/>
    </w:lvl>
  </w:abstractNum>
  <w:abstractNum w:abstractNumId="28">
    <w:nsid w:val="2CD89A32"/>
    <w:multiLevelType w:val="hybridMultilevel"/>
    <w:lvl w:ilvl="0">
      <w:lvlJc w:val="left"/>
      <w:lvlText w:val="%1."/>
      <w:numFmt w:val="decimal"/>
      <w:start w:val="1"/>
    </w:lvl>
    <w:lvl w:ilvl="1">
      <w:lvlJc w:val="left"/>
      <w:lvlText w:val="(%2)"/>
      <w:numFmt w:val="lowerLetter"/>
      <w:start w:val="1"/>
    </w:lvl>
  </w:abstractNum>
  <w:abstractNum w:abstractNumId="29">
    <w:nsid w:val="57E4CCAF"/>
    <w:multiLevelType w:val="hybridMultilevel"/>
    <w:lvl w:ilvl="0">
      <w:lvlJc w:val="left"/>
      <w:lvlText w:val="%1."/>
      <w:numFmt w:val="decimal"/>
      <w:start w:val="1"/>
    </w:lvl>
    <w:lvl w:ilvl="1">
      <w:lvlJc w:val="left"/>
      <w:lvlText w:val="(%2)"/>
      <w:numFmt w:val="lowerLetter"/>
      <w:start w:val="1"/>
    </w:lvl>
  </w:abstractNum>
  <w:abstractNum w:abstractNumId="30">
    <w:nsid w:val="7A6D8D3C"/>
    <w:multiLevelType w:val="hybridMultilevel"/>
    <w:lvl w:ilvl="0">
      <w:lvlJc w:val="left"/>
      <w:lvlText w:val="%1"/>
      <w:numFmt w:val="lowerLetter"/>
      <w:start w:val="1"/>
    </w:lvl>
    <w:lvl w:ilvl="1">
      <w:lvlJc w:val="left"/>
      <w:lvlText w:val="(%2)"/>
      <w:numFmt w:val="lowerLetter"/>
      <w:start w:val="2"/>
    </w:lvl>
  </w:abstractNum>
  <w:abstractNum w:abstractNumId="31">
    <w:nsid w:val="4B588F54"/>
    <w:multiLevelType w:val="hybridMultilevel"/>
    <w:lvl w:ilvl="0">
      <w:lvlJc w:val="left"/>
      <w:lvlText w:val="(%1)"/>
      <w:numFmt w:val="lowerLetter"/>
      <w:start w:val="4"/>
    </w:lvl>
    <w:lvl w:ilvl="1">
      <w:lvlJc w:val="left"/>
      <w:lvlText w:val="(%2)"/>
      <w:numFmt w:val="lowerLetter"/>
      <w:start w:val="7"/>
    </w:lvl>
  </w:abstractNum>
  <w:abstractNum w:abstractNumId="32">
    <w:nsid w:val="542289EC"/>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33">
    <w:nsid w:val="6DE91B1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4">
    <w:nsid w:val="38437FDB"/>
    <w:multiLevelType w:val="hybridMultilevel"/>
    <w:lvl w:ilvl="0">
      <w:lvlJc w:val="left"/>
      <w:lvlText w:val="%1"/>
      <w:numFmt w:val="decimal"/>
      <w:start w:val="1"/>
    </w:lvl>
    <w:lvl w:ilvl="1">
      <w:lvlJc w:val="left"/>
      <w:lvlText w:val="(%2)"/>
      <w:numFmt w:val="lowerLetter"/>
      <w:start w:val="3"/>
    </w:lvl>
  </w:abstractNum>
  <w:abstractNum w:abstractNumId="35">
    <w:nsid w:val="7644A45C"/>
    <w:multiLevelType w:val="hybridMultilevel"/>
    <w:lvl w:ilvl="0">
      <w:lvlJc w:val="left"/>
      <w:lvlText w:val="%1."/>
      <w:numFmt w:val="decimal"/>
      <w:start w:val="3"/>
    </w:lvl>
    <w:lvl w:ilvl="1">
      <w:lvlJc w:val="left"/>
      <w:lvlText w:val="(%2)"/>
      <w:numFmt w:val="lowerLetter"/>
      <w:start w:val="1"/>
    </w:lvl>
  </w:abstractNum>
  <w:abstractNum w:abstractNumId="36">
    <w:nsid w:val="32FFF902"/>
    <w:multiLevelType w:val="hybridMultilevel"/>
    <w:lvl w:ilvl="0">
      <w:lvlJc w:val="left"/>
      <w:lvlText w:val="%1"/>
      <w:numFmt w:val="decimal"/>
      <w:start w:val="1"/>
    </w:lvl>
    <w:lvl w:ilvl="1">
      <w:lvlJc w:val="left"/>
      <w:lvlText w:val="(%2)"/>
      <w:numFmt w:val="lowerLetter"/>
      <w:start w:val="3"/>
    </w:lvl>
  </w:abstractNum>
  <w:abstractNum w:abstractNumId="37">
    <w:nsid w:val="684A481A"/>
    <w:multiLevelType w:val="hybridMultilevel"/>
    <w:lvl w:ilvl="0">
      <w:lvlJc w:val="left"/>
      <w:lvlText w:val="%1."/>
      <w:numFmt w:val="decimal"/>
      <w:start w:val="4"/>
    </w:lvl>
    <w:lvl w:ilvl="1">
      <w:lvlJc w:val="left"/>
      <w:lvlText w:val="%2"/>
      <w:numFmt w:val="lowerLetter"/>
      <w:start w:val="1"/>
    </w:lvl>
  </w:abstractNum>
  <w:abstractNum w:abstractNumId="38">
    <w:nsid w:val="579478FE"/>
    <w:multiLevelType w:val="hybridMultilevel"/>
    <w:lvl w:ilvl="0">
      <w:lvlJc w:val="left"/>
      <w:lvlText w:val="(%1)"/>
      <w:numFmt w:val="lowerLetter"/>
      <w:start w:val="1"/>
    </w:lvl>
    <w:lvl w:ilvl="1">
      <w:lvlJc w:val="left"/>
      <w:lvlText w:val="(%2)"/>
      <w:numFmt w:val="lowerLetter"/>
      <w:start w:val="2"/>
    </w:lvl>
  </w:abstractNum>
  <w:abstractNum w:abstractNumId="39">
    <w:nsid w:val="749ABB43"/>
    <w:multiLevelType w:val="hybridMultilevel"/>
    <w:lvl w:ilvl="0">
      <w:lvlJc w:val="left"/>
      <w:lvlText w:val="(%1)"/>
      <w:numFmt w:val="lowerLetter"/>
      <w:start w:val="35"/>
    </w:lvl>
    <w:lvl w:ilvl="1">
      <w:lvlJc w:val="left"/>
      <w:lvlText w:val="%2"/>
      <w:numFmt w:val="lowerLetter"/>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decimal"/>
      <w:start w:val="7"/>
    </w:lvl>
  </w:abstractNum>
  <w:abstractNum w:abstractNumId="42">
    <w:nsid w:val="79A1DEAA"/>
    <w:multiLevelType w:val="hybridMultilevel"/>
    <w:lvl w:ilvl="0">
      <w:lvlJc w:val="left"/>
      <w:lvlText w:val="%1."/>
      <w:numFmt w:val="decimal"/>
      <w:start w:val="8"/>
    </w:lvl>
  </w:abstractNum>
  <w:abstractNum w:abstractNumId="43">
    <w:nsid w:val="75C6C33A"/>
    <w:multiLevelType w:val="hybridMultilevel"/>
    <w:lvl w:ilvl="0">
      <w:lvlJc w:val="left"/>
      <w:lvlText w:val="%1."/>
      <w:numFmt w:val="decimal"/>
      <w:start w:val="9"/>
    </w:lvl>
  </w:abstractNum>
  <w:abstractNum w:abstractNumId="44">
    <w:nsid w:val="12E685FB"/>
    <w:multiLevelType w:val="hybridMultilevel"/>
    <w:lvl w:ilvl="0">
      <w:lvlJc w:val="left"/>
      <w:lvlText w:val="%1."/>
      <w:numFmt w:val="decimal"/>
      <w:start w:val="10"/>
    </w:lvl>
  </w:abstractNum>
  <w:abstractNum w:abstractNumId="45">
    <w:nsid w:val="70C6A529"/>
    <w:multiLevelType w:val="hybridMultilevel"/>
    <w:lvl w:ilvl="0">
      <w:lvlJc w:val="left"/>
      <w:lvlText w:val="%1."/>
      <w:numFmt w:val="decimal"/>
      <w:start w:val="11"/>
    </w:lvl>
  </w:abstractNum>
  <w:abstractNum w:abstractNumId="46">
    <w:nsid w:val="520EEDD1"/>
    <w:multiLevelType w:val="hybridMultilevel"/>
    <w:lvl w:ilvl="0">
      <w:lvlJc w:val="left"/>
      <w:lvlText w:val="%1."/>
      <w:numFmt w:val="decimal"/>
      <w:start w:val="12"/>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decimal"/>
      <w:start w:val="13"/>
    </w:lvl>
  </w:abstractNum>
  <w:abstractNum w:abstractNumId="49">
    <w:nsid w:val="23F9C13C"/>
    <w:multiLevelType w:val="hybridMultilevel"/>
    <w:lvl w:ilvl="0">
      <w:lvlJc w:val="left"/>
      <w:lvlText w:val="(%1)"/>
      <w:numFmt w:val="lowerLetter"/>
      <w:start w:val="1"/>
    </w:lvl>
    <w:lvl w:ilvl="1">
      <w:lvlJc w:val="left"/>
      <w:lvlText w:val="(%2)"/>
      <w:numFmt w:val="lowerLetter"/>
      <w:start w:val="3"/>
    </w:lvl>
  </w:abstractNum>
  <w:abstractNum w:abstractNumId="50">
    <w:nsid w:val="649BB77C"/>
    <w:multiLevelType w:val="hybridMultilevel"/>
    <w:lvl w:ilvl="0">
      <w:lvlJc w:val="left"/>
      <w:lvlText w:val="%1."/>
      <w:numFmt w:val="decimal"/>
      <w:start w:val="14"/>
    </w:lvl>
    <w:lvl w:ilvl="1">
      <w:lvlJc w:val="left"/>
      <w:lvlText w:val="(%2)"/>
      <w:numFmt w:val="lowerLetter"/>
      <w:start w:val="1"/>
    </w:lvl>
  </w:abstractNum>
  <w:abstractNum w:abstractNumId="51">
    <w:nsid w:val="275AC794"/>
    <w:multiLevelType w:val="hybridMultilevel"/>
    <w:lvl w:ilvl="0">
      <w:lvlJc w:val="left"/>
      <w:lvlText w:val="%1"/>
      <w:numFmt w:val="lowerLetter"/>
      <w:start w:val="1"/>
    </w:lvl>
    <w:lvl w:ilvl="1">
      <w:lvlJc w:val="left"/>
      <w:lvlText w:val="(%2)"/>
      <w:numFmt w:val="lowerLetter"/>
      <w:start w:val="2"/>
    </w:lvl>
  </w:abstractNum>
  <w:abstractNum w:abstractNumId="52">
    <w:nsid w:val="39386575"/>
    <w:multiLevelType w:val="hybridMultilevel"/>
    <w:lvl w:ilvl="0">
      <w:lvlJc w:val="left"/>
      <w:lvlText w:val="(%1)"/>
      <w:numFmt w:val="lowerLetter"/>
      <w:start w:val="5"/>
    </w:lvl>
    <w:lvl w:ilvl="1">
      <w:lvlJc w:val="left"/>
      <w:lvlText w:val="(%2)"/>
      <w:numFmt w:val="lowerLetter"/>
      <w:start w:val="6"/>
    </w:lvl>
  </w:abstractNum>
  <w:abstractNum w:abstractNumId="53">
    <w:nsid w:val="1CF10FD8"/>
    <w:multiLevelType w:val="hybridMultilevel"/>
    <w:lvl w:ilvl="0">
      <w:lvlJc w:val="left"/>
      <w:lvlText w:val="%1."/>
      <w:numFmt w:val="decimal"/>
      <w:start w:val="15"/>
    </w:lvl>
    <w:lvl w:ilvl="1">
      <w:lvlJc w:val="left"/>
      <w:lvlText w:val="(%2)"/>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4"/>
    </w:lvl>
  </w:abstractNum>
  <w:abstractNum w:abstractNumId="56">
    <w:nsid w:val="47398C89"/>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57">
    <w:nsid w:val="354FE9F9"/>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2021-11-05T15:23:55Z</dcterms:created>
  <dcterms:modified xsi:type="dcterms:W3CDTF">2021-11-05T15:23:55Z</dcterms:modified>
</cp:coreProperties>
</file>