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1847850</wp:posOffset>
            </wp:positionH>
            <wp:positionV relativeFrom="paragraph">
              <wp:posOffset>91440</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56515</wp:posOffset>
            </wp:positionV>
            <wp:extent cx="3471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22" w:lineRule="exact"/>
        <w:rPr>
          <w:sz w:val="24"/>
          <w:szCs w:val="24"/>
          <w:color w:val="auto"/>
        </w:rPr>
      </w:pPr>
    </w:p>
    <w:p>
      <w:pPr>
        <w:ind w:left="2640" w:hanging="1410"/>
        <w:spacing w:after="0"/>
        <w:tabs>
          <w:tab w:leader="none" w:pos="2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50"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7" w:lineRule="exact"/>
        <w:rPr>
          <w:sz w:val="24"/>
          <w:szCs w:val="24"/>
          <w:color w:val="auto"/>
        </w:rPr>
      </w:pPr>
    </w:p>
    <w:p>
      <w:pPr>
        <w:ind w:left="2520" w:hanging="1290"/>
        <w:spacing w:after="0"/>
        <w:tabs>
          <w:tab w:leader="none" w:pos="2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5" w:lineRule="exact"/>
        <w:rPr>
          <w:sz w:val="24"/>
          <w:szCs w:val="24"/>
          <w:color w:val="auto"/>
        </w:rPr>
      </w:pPr>
    </w:p>
    <w:p>
      <w:pPr>
        <w:ind w:left="418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97155</wp:posOffset>
            </wp:positionV>
            <wp:extent cx="34715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182880</wp:posOffset>
            </wp:positionV>
            <wp:extent cx="214312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AMC Networks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1839595</wp:posOffset>
            </wp:positionH>
            <wp:positionV relativeFrom="paragraph">
              <wp:posOffset>52070</wp:posOffset>
            </wp:positionV>
            <wp:extent cx="34715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19"/>
                <w:szCs w:val="19"/>
                <w:color w:val="auto"/>
              </w:rPr>
            </w:pPr>
          </w:p>
        </w:tc>
        <w:tc>
          <w:tcPr>
            <w:tcW w:w="2260" w:type="dxa"/>
            <w:vAlign w:val="bottom"/>
            <w:gridSpan w:val="2"/>
          </w:tcPr>
          <w:p>
            <w:pPr>
              <w:jc w:val="center"/>
              <w:ind w:right="84"/>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0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27-5403694</w:t>
            </w:r>
          </w:p>
        </w:tc>
      </w:tr>
      <w:tr>
        <w:trPr>
          <w:trHeight w:val="148"/>
        </w:trPr>
        <w:tc>
          <w:tcPr>
            <w:tcW w:w="1700" w:type="dxa"/>
            <w:vAlign w:val="bottom"/>
          </w:tcPr>
          <w:p>
            <w:pPr>
              <w:spacing w:after="0"/>
              <w:rPr>
                <w:sz w:val="12"/>
                <w:szCs w:val="12"/>
                <w:color w:val="auto"/>
              </w:rPr>
            </w:pPr>
          </w:p>
        </w:tc>
        <w:tc>
          <w:tcPr>
            <w:tcW w:w="2260" w:type="dxa"/>
            <w:vAlign w:val="bottom"/>
            <w:gridSpan w:val="2"/>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00" w:type="dxa"/>
            <w:vAlign w:val="bottom"/>
            <w:gridSpan w:val="3"/>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00" w:type="dxa"/>
            <w:vAlign w:val="bottom"/>
          </w:tcPr>
          <w:p>
            <w:pPr>
              <w:spacing w:after="0"/>
              <w:rPr>
                <w:sz w:val="16"/>
                <w:szCs w:val="16"/>
                <w:color w:val="auto"/>
              </w:rPr>
            </w:pPr>
          </w:p>
        </w:tc>
        <w:tc>
          <w:tcPr>
            <w:tcW w:w="2260" w:type="dxa"/>
            <w:vAlign w:val="bottom"/>
            <w:gridSpan w:val="2"/>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98"/>
        </w:trPr>
        <w:tc>
          <w:tcPr>
            <w:tcW w:w="3960" w:type="dxa"/>
            <w:vAlign w:val="bottom"/>
            <w:gridSpan w:val="3"/>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w w:val="98"/>
              </w:rPr>
              <w:t>11 Penn Plaza, New York, NY</w:t>
            </w: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2"/>
          </w:tcPr>
          <w:p>
            <w:pPr>
              <w:jc w:val="right"/>
              <w:ind w:right="170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190"/>
        </w:trPr>
        <w:tc>
          <w:tcPr>
            <w:tcW w:w="3960" w:type="dxa"/>
            <w:vAlign w:val="bottom"/>
            <w:gridSpan w:val="3"/>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20"/>
        </w:trPr>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40" w:type="dxa"/>
            <w:vAlign w:val="bottom"/>
            <w:gridSpan w:val="2"/>
          </w:tcPr>
          <w:p>
            <w:pPr>
              <w:jc w:val="center"/>
              <w:ind w:left="899"/>
              <w:spacing w:after="0"/>
              <w:rPr>
                <w:sz w:val="20"/>
                <w:szCs w:val="20"/>
                <w:color w:val="auto"/>
              </w:rPr>
            </w:pPr>
            <w:r>
              <w:rPr>
                <w:rFonts w:ascii="Times New Roman" w:cs="Times New Roman" w:eastAsia="Times New Roman" w:hAnsi="Times New Roman"/>
                <w:sz w:val="18"/>
                <w:szCs w:val="18"/>
                <w:b w:val="1"/>
                <w:bCs w:val="1"/>
                <w:color w:val="auto"/>
                <w:w w:val="99"/>
              </w:rPr>
              <w:t>(212) 324-8500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190"/>
        </w:trPr>
        <w:tc>
          <w:tcPr>
            <w:tcW w:w="1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486"/>
        </w:trPr>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40" w:type="dxa"/>
            <w:vAlign w:val="bottom"/>
            <w:gridSpan w:val="4"/>
          </w:tcPr>
          <w:p>
            <w:pPr>
              <w:jc w:val="center"/>
              <w:ind w:left="84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3"/>
        </w:trPr>
        <w:tc>
          <w:tcPr>
            <w:tcW w:w="17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6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Pr>
          <w:p>
            <w:pPr>
              <w:spacing w:after="0"/>
              <w:rPr>
                <w:sz w:val="22"/>
                <w:szCs w:val="22"/>
                <w:color w:val="auto"/>
              </w:rPr>
            </w:pPr>
          </w:p>
        </w:tc>
        <w:tc>
          <w:tcPr>
            <w:tcW w:w="300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30"/>
        </w:trPr>
        <w:tc>
          <w:tcPr>
            <w:tcW w:w="3960" w:type="dxa"/>
            <w:vAlign w:val="bottom"/>
            <w:gridSpan w:val="3"/>
          </w:tcPr>
          <w:p>
            <w:pPr>
              <w:jc w:val="center"/>
              <w:ind w:left="559"/>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1060" w:type="dxa"/>
            <w:vAlign w:val="bottom"/>
          </w:tcPr>
          <w:p>
            <w:pPr>
              <w:spacing w:after="0"/>
              <w:rPr>
                <w:sz w:val="20"/>
                <w:szCs w:val="20"/>
                <w:color w:val="auto"/>
              </w:rPr>
            </w:pPr>
          </w:p>
        </w:tc>
        <w:tc>
          <w:tcPr>
            <w:tcW w:w="2360" w:type="dxa"/>
            <w:vAlign w:val="bottom"/>
            <w:gridSpan w:val="2"/>
          </w:tcPr>
          <w:p>
            <w:pPr>
              <w:jc w:val="center"/>
              <w:ind w:right="1080"/>
              <w:spacing w:after="0"/>
              <w:rPr>
                <w:sz w:val="20"/>
                <w:szCs w:val="20"/>
                <w:color w:val="auto"/>
              </w:rPr>
            </w:pPr>
            <w:r>
              <w:rPr>
                <w:rFonts w:ascii="Times New Roman" w:cs="Times New Roman" w:eastAsia="Times New Roman" w:hAnsi="Times New Roman"/>
                <w:sz w:val="16"/>
                <w:szCs w:val="16"/>
                <w:color w:val="auto"/>
                <w:w w:val="99"/>
              </w:rPr>
              <w:t>AMCX</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571"/>
        </w:trPr>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720" w:type="dxa"/>
            <w:vAlign w:val="bottom"/>
            <w:gridSpan w:val="6"/>
          </w:tcPr>
          <w:p>
            <w:pPr>
              <w:jc w:val="center"/>
              <w:ind w:left="56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5"/>
        </w:trPr>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2"/>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None</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Pr>
          <w:p>
            <w:pPr>
              <w:spacing w:after="0"/>
              <w:rPr>
                <w:sz w:val="19"/>
                <w:szCs w:val="19"/>
                <w:color w:val="auto"/>
              </w:rPr>
            </w:pPr>
          </w:p>
        </w:tc>
      </w:tr>
      <w:tr>
        <w:trPr>
          <w:trHeight w:val="398"/>
        </w:trPr>
        <w:tc>
          <w:tcPr>
            <w:tcW w:w="76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6"/>
              </w:rPr>
              <w:t>Yes</w:t>
            </w:r>
          </w:p>
        </w:tc>
        <w:tc>
          <w:tcPr>
            <w:tcW w:w="2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2260" w:type="dxa"/>
            <w:vAlign w:val="bottom"/>
            <w:gridSpan w:val="2"/>
          </w:tcPr>
          <w:p>
            <w:pPr>
              <w:jc w:val="center"/>
              <w:ind w:right="15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3"/>
        </w:trPr>
        <w:tc>
          <w:tcPr>
            <w:tcW w:w="738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Yes</w:t>
            </w:r>
          </w:p>
        </w:tc>
        <w:tc>
          <w:tcPr>
            <w:tcW w:w="32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2260" w:type="dxa"/>
            <w:vAlign w:val="bottom"/>
            <w:gridSpan w:val="2"/>
          </w:tcPr>
          <w:p>
            <w:pPr>
              <w:ind w:left="8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47"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9"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5" w:lineRule="exact"/>
        <w:rPr>
          <w:sz w:val="20"/>
          <w:szCs w:val="20"/>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1" w:lineRule="exact"/>
        <w:rPr>
          <w:sz w:val="20"/>
          <w:szCs w:val="20"/>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25"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computed by reference to the closing price of a share of common stock on June 30, 2025 (the last business day of the registrant's most recently completed second fiscal quarter) was approximately $194 million.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6"/>
                <w:szCs w:val="16"/>
                <w:color w:val="auto"/>
              </w:rPr>
              <w:t>The number of shares of common stock outstanding as of February 4, 2026:</w:t>
            </w:r>
          </w:p>
        </w:tc>
        <w:tc>
          <w:tcPr>
            <w:tcW w:w="3460" w:type="dxa"/>
            <w:vAlign w:val="bottom"/>
          </w:tcPr>
          <w:p>
            <w:pPr>
              <w:spacing w:after="0"/>
              <w:rPr>
                <w:sz w:val="18"/>
                <w:szCs w:val="18"/>
                <w:color w:val="auto"/>
              </w:rPr>
            </w:pPr>
          </w:p>
        </w:tc>
      </w:tr>
      <w:tr>
        <w:trPr>
          <w:trHeight w:val="338"/>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31,229,673</w:t>
            </w:r>
          </w:p>
        </w:tc>
      </w:tr>
      <w:tr>
        <w:trPr>
          <w:trHeight w:val="21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B Common Stock par value $0.01 per share</w:t>
            </w:r>
          </w:p>
        </w:tc>
        <w:tc>
          <w:tcPr>
            <w:tcW w:w="3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149860</wp:posOffset>
            </wp:positionV>
            <wp:extent cx="3471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Certain information required in Item 10 through Item 14 of Part III of this Annual Report on Form 10-K is incorporated herein by reference to the Registrant's definitive Proxy Statement for its 2026 Annual Meeting of Stockholders, which shall be filed with the Securities and Exchange Commission pursuant to Regulation 14A of the Securities Exchange Act of 1934, as amended, within 120 days of the Registrant's fiscal year end</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2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1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b w:val="1"/>
                <w:bCs w:val="1"/>
                <w:color w:val="0000FF"/>
                <w:w w:val="97"/>
              </w:rPr>
              <w:t>FORWARD-LOOKING STATEMENTS</w:t>
            </w:r>
          </w:p>
        </w:tc>
        <w:tc>
          <w:tcPr>
            <w:tcW w:w="7460" w:type="dxa"/>
            <w:vAlign w:val="bottom"/>
            <w:gridSpan w:val="16"/>
          </w:tcPr>
          <w:p>
            <w:pPr>
              <w:spacing w:after="0"/>
              <w:rPr>
                <w:sz w:val="15"/>
                <w:szCs w:val="15"/>
                <w:color w:val="auto"/>
              </w:rPr>
            </w:pPr>
          </w:p>
        </w:tc>
        <w:tc>
          <w:tcPr>
            <w:tcW w:w="600" w:type="dxa"/>
            <w:vAlign w:val="bottom"/>
            <w:gridSpan w:val="4"/>
          </w:tcPr>
          <w:p>
            <w:pPr>
              <w:jc w:val="right"/>
              <w:ind w:right="20"/>
              <w:spacing w:after="0" w:line="182" w:lineRule="exact"/>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rPr>
              <w:t>5</w:t>
            </w: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960" w:type="dxa"/>
            <w:vAlign w:val="bottom"/>
            <w:gridSpan w:val="19"/>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820" w:type="dxa"/>
            <w:vAlign w:val="bottom"/>
            <w:gridSpan w:val="1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860" w:type="dxa"/>
            <w:vAlign w:val="bottom"/>
            <w:gridSpan w:val="18"/>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8140" w:type="dxa"/>
            <w:vAlign w:val="bottom"/>
            <w:gridSpan w:val="21"/>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100" w:type="dxa"/>
            <w:vAlign w:val="bottom"/>
            <w:gridSpan w:val="14"/>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5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80" w:type="dxa"/>
            <w:vAlign w:val="bottom"/>
            <w:tcBorders>
              <w:top w:val="single" w:sz="8" w:color="0000FF"/>
            </w:tcBorders>
            <w:gridSpan w:val="19"/>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7A.</w:t>
            </w:r>
          </w:p>
        </w:tc>
        <w:tc>
          <w:tcPr>
            <w:tcW w:w="430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 About Market Risk</w:t>
            </w:r>
          </w:p>
        </w:tc>
        <w:tc>
          <w:tcPr>
            <w:tcW w:w="2160" w:type="dxa"/>
            <w:vAlign w:val="bottom"/>
            <w:tcBorders>
              <w:top w:val="single" w:sz="8" w:color="0000FF"/>
            </w:tcBorders>
            <w:gridSpan w:val="3"/>
          </w:tcPr>
          <w:p>
            <w:pPr>
              <w:spacing w:after="0"/>
              <w:rPr>
                <w:sz w:val="19"/>
                <w:szCs w:val="19"/>
                <w:color w:val="auto"/>
              </w:rPr>
            </w:pPr>
          </w:p>
        </w:tc>
        <w:tc>
          <w:tcPr>
            <w:tcW w:w="2420" w:type="dxa"/>
            <w:vAlign w:val="bottom"/>
            <w:gridSpan w:val="4"/>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540" w:type="dxa"/>
            <w:vAlign w:val="bottom"/>
            <w:gridSpan w:val="9"/>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w w:val="88"/>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88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1"/>
          </w:tcPr>
          <w:p>
            <w:pPr>
              <w:spacing w:after="0"/>
              <w:rPr>
                <w:sz w:val="18"/>
                <w:szCs w:val="18"/>
                <w:color w:val="auto"/>
              </w:rPr>
            </w:pPr>
          </w:p>
        </w:tc>
        <w:tc>
          <w:tcPr>
            <w:tcW w:w="240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9B.</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9C.</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8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vMerge w:val="restart"/>
          </w:tcPr>
          <w:p>
            <w:pPr>
              <w:spacing w:after="0"/>
              <w:rPr>
                <w:sz w:val="19"/>
                <w:szCs w:val="19"/>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0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700" w:type="dxa"/>
            <w:vAlign w:val="bottom"/>
            <w:gridSpan w:val="2"/>
          </w:tcPr>
          <w:p>
            <w:pPr>
              <w:ind w:left="20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0"/>
          </w:tcPr>
          <w:p>
            <w:pPr>
              <w:spacing w:after="0" w:line="189"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5"/>
          </w:tcPr>
          <w:p>
            <w:pPr>
              <w:spacing w:after="0"/>
              <w:rPr>
                <w:sz w:val="16"/>
                <w:szCs w:val="16"/>
                <w:color w:val="auto"/>
              </w:rPr>
            </w:pPr>
          </w:p>
        </w:tc>
        <w:tc>
          <w:tcPr>
            <w:tcW w:w="4780" w:type="dxa"/>
            <w:vAlign w:val="bottom"/>
            <w:gridSpan w:val="8"/>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w w:val="88"/>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5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420" w:type="dxa"/>
            <w:vAlign w:val="bottom"/>
            <w:gridSpan w:val="5"/>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14.</w:t>
            </w:r>
          </w:p>
        </w:tc>
        <w:tc>
          <w:tcPr>
            <w:tcW w:w="88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vMerge w:val="restart"/>
          </w:tcPr>
          <w:p>
            <w:pPr>
              <w:spacing w:after="0"/>
              <w:rPr>
                <w:sz w:val="21"/>
                <w:szCs w:val="21"/>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17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8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40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600" w:type="dxa"/>
            <w:vAlign w:val="bottom"/>
            <w:tcBorders>
              <w:top w:val="single" w:sz="8" w:color="0000FF"/>
            </w:tcBorders>
            <w:gridSpan w:val="5"/>
          </w:tcPr>
          <w:p>
            <w:pPr>
              <w:spacing w:after="0"/>
              <w:rPr>
                <w:sz w:val="18"/>
                <w:szCs w:val="18"/>
                <w:color w:val="auto"/>
              </w:rPr>
            </w:pPr>
          </w:p>
        </w:tc>
        <w:tc>
          <w:tcPr>
            <w:tcW w:w="5720" w:type="dxa"/>
            <w:vAlign w:val="bottom"/>
            <w:gridSpan w:val="10"/>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0000FF"/>
                <w:w w:val="88"/>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15"/>
          </w:tcPr>
          <w:p>
            <w:pPr>
              <w:ind w:left="38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revenues;</w:t>
      </w:r>
    </w:p>
    <w:p>
      <w:pPr>
        <w:spacing w:after="0" w:line="9" w:lineRule="exact"/>
        <w:rPr>
          <w:rFonts w:ascii="Times New Roman" w:cs="Times New Roman" w:eastAsia="Times New Roman" w:hAnsi="Times New Roman"/>
          <w:sz w:val="18"/>
          <w:szCs w:val="18"/>
          <w:color w:val="auto"/>
        </w:rPr>
      </w:pPr>
    </w:p>
    <w:p>
      <w:pPr>
        <w:ind w:left="660" w:right="500" w:hanging="328"/>
        <w:spacing w:after="0" w:line="26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including changes in viewer consumption patterns, for our programming networks, our subscription streaming services, our programming (including our owned original programming and our film content) and our production services;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advertising inventory and our ability to deliver guaranteed viewer ratings;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cable, telecommunications, streaming and programming industries;</w:t>
      </w:r>
    </w:p>
    <w:p>
      <w:pPr>
        <w:spacing w:after="0" w:line="22" w:lineRule="exact"/>
        <w:rPr>
          <w:rFonts w:ascii="Times New Roman" w:cs="Times New Roman" w:eastAsia="Times New Roman" w:hAnsi="Times New Roman"/>
          <w:sz w:val="18"/>
          <w:szCs w:val="18"/>
          <w:color w:val="auto"/>
        </w:rPr>
      </w:pPr>
    </w:p>
    <w:p>
      <w:pPr>
        <w:ind w:left="660" w:hanging="328"/>
        <w:spacing w:after="0" w:line="26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or produce, desirable content for our programming services, other forms of distribution, including digital and licensing in international markets, as well as our film distribution businesses;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personnel or artistic talent;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lingering effects of strikes, including those related to the Writers, Directors, and Screen Actors guilds;</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program rights and other electronic data;</w:t>
      </w:r>
    </w:p>
    <w:p>
      <w:pPr>
        <w:spacing w:after="0" w:line="3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or failures of our or our vendors’ information technology systems or products, including by cyber-attack, malware, data leakage, unauthorized access or theft, or other cybersecurity incidents;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renew distribution or affiliation agreements with distributors;</w:t>
      </w:r>
    </w:p>
    <w:p>
      <w:pPr>
        <w:spacing w:after="0" w:line="22" w:lineRule="exact"/>
        <w:rPr>
          <w:rFonts w:ascii="Times New Roman" w:cs="Times New Roman" w:eastAsia="Times New Roman" w:hAnsi="Times New Roman"/>
          <w:sz w:val="18"/>
          <w:szCs w:val="18"/>
          <w:color w:val="auto"/>
        </w:rPr>
      </w:pPr>
    </w:p>
    <w:p>
      <w:pPr>
        <w:ind w:left="660" w:hanging="328"/>
        <w:spacing w:after="0" w:line="26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operate, including fluctuations in inflation rates, recession risk, the impacts of tariffs, U.S. federal government shutdowns, and uncertainty regarding the foregoing;</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laws or regulations under which we operate;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treaties relating to taxation, or the interpretation thereof, in the United States or in the countries in which we operate;</w:t>
      </w:r>
    </w:p>
    <w:p>
      <w:pPr>
        <w:spacing w:after="0" w:line="31" w:lineRule="exact"/>
        <w:rPr>
          <w:rFonts w:ascii="Times New Roman" w:cs="Times New Roman" w:eastAsia="Times New Roman" w:hAnsi="Times New Roman"/>
          <w:sz w:val="18"/>
          <w:szCs w:val="18"/>
          <w:color w:val="auto"/>
        </w:rPr>
      </w:pPr>
    </w:p>
    <w:p>
      <w:pPr>
        <w:ind w:left="660" w:right="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proposed federal, state and international laws and regulations relating to data protection, privacy and security, including the European Union's General Data Protection Regulation ("GDPR"), the California Consumer Privacy Act ("CCPA") and other similar comprehensive privacy and security laws that have been or may be enacted in other states;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and high leverage;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 to, or inability to access, capital or credit markets, or significant increases in costs to borrow;</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expenses;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and dispositions of assets;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and, if acquired, to integrate, and implement our plan with respect to businesses we acquire;</w:t>
      </w:r>
    </w:p>
    <w:p>
      <w:pPr>
        <w:spacing w:after="0" w:line="27" w:lineRule="exact"/>
        <w:rPr>
          <w:rFonts w:ascii="Times New Roman" w:cs="Times New Roman" w:eastAsia="Times New Roman" w:hAnsi="Times New Roman"/>
          <w:sz w:val="18"/>
          <w:szCs w:val="18"/>
          <w:color w:val="auto"/>
        </w:rPr>
      </w:pPr>
    </w:p>
    <w:p>
      <w:pPr>
        <w:ind w:left="660" w:right="48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we may discover post-closing with the operations, including the internal controls and financial reporting process, of businesses we acquire;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arbitration and other proceedings or investigations;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pending uncompleted transactions, if any, are completed on the terms and at the times set forth (if at all);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community and rating agency perceptions of our business, operations, financial condition and the industry in which we operate;</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related to our goodwill and other intangible assets;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or other health emergencies on the economy and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our control, such as political unrest in international markets, terrorist attacks, natural disasters and other similar events;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described under Item 1A, "Risk Factors" in this Annual Report.</w:t>
      </w:r>
    </w:p>
    <w:p>
      <w:pPr>
        <w:spacing w:after="0" w:line="11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We disclaim any obligation to update or revise the forward-looking statements contained herein, except as otherwise required by applicable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AMC Networks Inc. is a Nevada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Our telephone number is (212) 324-8500.</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AMC Networks Inc. was incorporated on March 9, 2011 as an indirect, wholly-owned subsidiary of Cablevision Systems Corporation. On June 30, 2011, Cablevision Systems Corporation spun off AMC Networks Inc., which became an independent public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AMC Networks is a global entertainment company known for its popular and award-winning content. We distribute our content to audiences globally on an array of distribution platforms, including linear networks, subscription streaming services and other ad-supported streaming and connective TV platforms, as well as through licensing arrangements. We have an extensive library of television and film properties, including several storied franchises such as The Walking Dead Universe and the Anne Rice Immortal Universe, that are well-known to global audiences.</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operated in the entertainment industry for more than 40 years, and over that time we have created targeted and focused video entertainment products that we own and operate and that are powered by distinguished brands, including streaming services AMC+, Acorn TV, ALLBLK, All Reality, HIDIVE, Shudder, and Sundance Now; and cable networks AMC, BBC AMERICA ("BBCA"), IFC, SundanceTV and We TV. We also operate a film distribution business that distributes independent narrative and documentary films under the IFC Entertainment Group umbrella, which includes three distinct film brands: Independent Film Company, RLJ Entertainment Films ("RLJE Films") and Shudder. The film distribution business also operates the IFC Center, a New York City-based art-house entertainment space.</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our AMC Studios in-house studio, production and distribution operation, we own and control a significant portion of the original scripted series that we deliver to viewers on our linear and streaming platforms. Our ability to produce and own high quality content has provided us with the opportunity to license our owned content to leading third-party platforms. Our owned content as well as the content that we license is distributed domestically and internationally across linear networks, digital streaming services, home video and syndication.</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Internationally, we deliver programming that reaches subscribers in more than 100 countries and territories around the world. The international division of the Company, AMC Networks International ("AMCNI"), consists of our premier AMC global brand as well as a portfolio of popular, locally recognized brands delivering programming in a wide range of genres.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strategy is to create, showcase and curate high-quality, brand-defining content that appeals to distinct audiences as we aim to maximize the subscription, advertising and content licensing revenue of each of our branded services.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strategic areas of focus are:</w:t>
      </w:r>
    </w:p>
    <w:p>
      <w:pPr>
        <w:spacing w:after="0" w:line="11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Continued Development of High-Quality Original Content including Owned and Controlled Content and Valuable IP. </w:t>
      </w:r>
      <w:r>
        <w:rPr>
          <w:rFonts w:ascii="Times New Roman" w:cs="Times New Roman" w:eastAsia="Times New Roman" w:hAnsi="Times New Roman"/>
          <w:sz w:val="18"/>
          <w:szCs w:val="18"/>
          <w:color w:val="auto"/>
        </w:rPr>
        <w:t>We intend to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strong high-quality original content across our linear networks and streaming services to optimize our subscription, advertising and content licensing revenue, further enhance our brands, strengthen our engagement with our viewers, subscribers, distributors and advertisers, and to build viewership and attract and retain subscribers for our streaming services.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Multi-Platform Distribution Approach to Content Monetization and Distribution while Growing Streaming Offerings and Targeted Brands</w:t>
      </w:r>
      <w:r>
        <w:rPr>
          <w:rFonts w:ascii="Times New Roman" w:cs="Times New Roman" w:eastAsia="Times New Roman" w:hAnsi="Times New Roman"/>
          <w:sz w:val="18"/>
          <w:szCs w:val="18"/>
          <w:color w:val="auto"/>
        </w:rPr>
        <w: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our content across an array of distribution platforms, including our own linear networks at cost-effective rates, subscription streaming services and ad-supported streaming platforms, as well as through licensing arrangements with other distributors and platforms so that our viewers can access our content where, when and how they want to watch it. As part of our strategy, we are aiming to expand distribution of our services and content in order to increase our total addressable market.</w:t>
      </w:r>
    </w:p>
    <w:p>
      <w:pPr>
        <w:spacing w:after="0" w:line="7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targeted streaming strategy is to serve distinct audiences and build loyal and engaged fan communities around each service. With our targeted approach, we are serving audiences with streaming offerings that are companions to (rather than competitive with) the larger general entertainment streaming services. As we assess the optimal level and mix of programming across our platforms, we will prioritize curation to provide compelling offerings that aim at maximizing subscriber engagement and retention.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launched several of our services, most notably AMC+, Acorn TV, Shudder and HIDIVE, in select international markets, including Canada, parts of Europe, Australia and New Zealand. We will continue to be opportunistic in determining the most optimal monetization strategy for new international markets.</w:t>
      </w:r>
    </w:p>
    <w:p>
      <w:pPr>
        <w:spacing w:after="0" w:line="6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Growth and Innovation in Advertising and Advertising Technologies</w:t>
      </w:r>
      <w:r>
        <w:rPr>
          <w:rFonts w:ascii="Times New Roman" w:cs="Times New Roman" w:eastAsia="Times New Roman" w:hAnsi="Times New Roman"/>
          <w:sz w:val="18"/>
          <w:szCs w:val="18"/>
          <w:color w:val="auto"/>
        </w:rPr>
        <w:t>. We continue to leverage our high-quality popular content on our networks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 our advertising revenue. In addition, we are embracing an array of new advertising opportunities, including an expanding and robust presence on free ad-supported streaming ("FAST") and advertising video on demand ("AVOD") platforms. As of December 31, 2025, we had a total of 33 active distinct channels featuring our content, in different configurations, across 23 FAST platforms, such as Pluto TV, Plex, Sling TV and Samsung TV Plus.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Maintain Financial Discipline With Focus on Free Cash Flow</w:t>
      </w:r>
      <w:r>
        <w:rPr>
          <w:rFonts w:ascii="Times New Roman" w:cs="Times New Roman" w:eastAsia="Times New Roman" w:hAnsi="Times New Roman"/>
          <w:sz w:val="18"/>
          <w:szCs w:val="18"/>
          <w:color w:val="auto"/>
        </w:rPr>
        <w:t>. We are aiming to become more efficient to drive free cash flow and maximize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value, including by streamlining our organization; remaining prudent with our investments in programming, including continuing to focus on reducing programming spend to historical levels; implementing, and tracking comprehensive goals, strategies and tactics driving efficiencies in the business; enhancing our technology and customer service; improving marketing; and reducing corporate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02" w:lineRule="exact"/>
        <w:rPr>
          <w:sz w:val="20"/>
          <w:szCs w:val="20"/>
          <w:color w:val="auto"/>
        </w:rPr>
      </w:pPr>
    </w:p>
    <w:p>
      <w:pPr>
        <w:jc w:val="both"/>
        <w:ind w:left="980" w:hanging="324"/>
        <w:spacing w:after="0" w:line="24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programming networks, our streaming services, our AMC Studios operation and our film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business. Our programming networks are AMC, We TV, BBCA, IFC and SundanceTV. Our streaming services consist of AMC+ and our targeted subscription streaming services (Acorn TV, Shudder, Sundance Now, ALLBLK, HIDIVE and All Reality). Our AMC Studios operation produces original programming for our programming services and third parties and also licenses programming worldwide. Our film distribution business includes Independent Film Company, RLJE Films and Shudder. The operating segment also includes AMC Networks Broadcasting &amp; Technology, our technical services business, which primarily services the programming networks.</w:t>
      </w:r>
    </w:p>
    <w:p>
      <w:pPr>
        <w:spacing w:after="0" w:line="210" w:lineRule="exact"/>
        <w:rPr>
          <w:rFonts w:ascii="Times New Roman" w:cs="Times New Roman" w:eastAsia="Times New Roman" w:hAnsi="Times New Roman"/>
          <w:sz w:val="18"/>
          <w:szCs w:val="18"/>
          <w:color w:val="auto"/>
        </w:rPr>
      </w:pPr>
    </w:p>
    <w:p>
      <w:pPr>
        <w:ind w:left="980" w:hanging="324"/>
        <w:spacing w:after="0" w:line="253"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AMCNI, our international programming businesses consisting of a portfolio of channels distributed around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t>
      </w:r>
    </w:p>
    <w:p>
      <w:pPr>
        <w:spacing w:after="0" w:line="92" w:lineRule="exact"/>
        <w:rPr>
          <w:sz w:val="20"/>
          <w:szCs w:val="20"/>
          <w:color w:val="auto"/>
        </w:rPr>
      </w:pPr>
    </w:p>
    <w:p>
      <w:pPr>
        <w:ind w:left="340" w:firstLine="405"/>
        <w:spacing w:after="0" w:line="297" w:lineRule="auto"/>
        <w:rPr>
          <w:sz w:val="20"/>
          <w:szCs w:val="20"/>
          <w:color w:val="auto"/>
        </w:rPr>
      </w:pPr>
      <w:r>
        <w:rPr>
          <w:rFonts w:ascii="Times New Roman" w:cs="Times New Roman" w:eastAsia="Times New Roman" w:hAnsi="Times New Roman"/>
          <w:sz w:val="18"/>
          <w:szCs w:val="18"/>
          <w:color w:val="auto"/>
        </w:rPr>
        <w:t>For financial information of the Company by operating segment, see Item 7, "Management's Discussion and Analysis of Financial Condition and Results of Operations — Segment Results of Operations" and Note 20 to the accompanying consolidated financial statements.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Our flagship AMC brand consists of the AMC programming network, AMC+ streaming service and AMC Studios.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85725</wp:posOffset>
            </wp:positionV>
            <wp:extent cx="4277360"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7736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AMC programming network</w:t>
      </w:r>
    </w:p>
    <w:p>
      <w:pPr>
        <w:spacing w:after="0" w:line="121" w:lineRule="exact"/>
        <w:rPr>
          <w:sz w:val="20"/>
          <w:szCs w:val="20"/>
          <w:color w:val="auto"/>
        </w:rPr>
      </w:pPr>
    </w:p>
    <w:p>
      <w:pPr>
        <w:jc w:val="both"/>
        <w:ind w:left="980" w:hanging="485"/>
        <w:spacing w:after="0" w:line="274"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AMC is the home of some of the most popular and acclaimed dramas on television. As of December 31, 2025, AMC reached approximately 55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United States ("U.S.") and Canadian distributors.</w:t>
      </w:r>
    </w:p>
    <w:p>
      <w:pPr>
        <w:spacing w:after="0" w:line="2" w:lineRule="exact"/>
        <w:rPr>
          <w:sz w:val="20"/>
          <w:szCs w:val="20"/>
          <w:color w:val="auto"/>
        </w:rPr>
      </w:pPr>
    </w:p>
    <w:p>
      <w:pPr>
        <w:jc w:val="both"/>
        <w:ind w:left="980" w:hanging="485"/>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In 2025, AMC continued to deliver new stories set within The Walking Dead Universe with the global premiere of the third season of the popular </w:t>
      </w:r>
      <w:r>
        <w:rPr>
          <w:rFonts w:ascii="Times New Roman" w:cs="Times New Roman" w:eastAsia="Times New Roman" w:hAnsi="Times New Roman"/>
          <w:sz w:val="18"/>
          <w:szCs w:val="18"/>
          <w:i w:val="1"/>
          <w:iCs w:val="1"/>
          <w:color w:val="auto"/>
        </w:rPr>
        <w:t>The Walking Dead: Daryl Dixon</w:t>
      </w:r>
      <w:r>
        <w:rPr>
          <w:rFonts w:ascii="Times New Roman" w:cs="Times New Roman" w:eastAsia="Times New Roman" w:hAnsi="Times New Roman"/>
          <w:sz w:val="18"/>
          <w:szCs w:val="18"/>
          <w:color w:val="auto"/>
        </w:rPr>
        <w:t xml:space="preserve">, featuring fan-favorite characters Daryl and Carol, and the second season of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Dead City</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980" w:hanging="485"/>
        <w:spacing w:after="0" w:line="267"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In 2025, AMC premiered new installments from the burgeoning Anne Rice Immortal Universe, including a second season of </w:t>
      </w:r>
      <w:r>
        <w:rPr>
          <w:rFonts w:ascii="Times New Roman" w:cs="Times New Roman" w:eastAsia="Times New Roman" w:hAnsi="Times New Roman"/>
          <w:sz w:val="18"/>
          <w:szCs w:val="18"/>
          <w:i w:val="1"/>
          <w:iCs w:val="1"/>
          <w:color w:val="auto"/>
        </w:rPr>
        <w:t>Anne Rice’s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Mayfair Witches</w:t>
      </w:r>
      <w:r>
        <w:rPr>
          <w:rFonts w:ascii="Times New Roman" w:cs="Times New Roman" w:eastAsia="Times New Roman" w:hAnsi="Times New Roman"/>
          <w:sz w:val="18"/>
          <w:szCs w:val="18"/>
          <w:color w:val="auto"/>
        </w:rPr>
        <w:t>, and the debut of a new series titled,</w:t>
      </w:r>
      <w:r>
        <w:rPr>
          <w:rFonts w:ascii="Times New Roman" w:cs="Times New Roman" w:eastAsia="Times New Roman" w:hAnsi="Times New Roman"/>
          <w:sz w:val="18"/>
          <w:szCs w:val="18"/>
          <w:i w:val="1"/>
          <w:iCs w:val="1"/>
          <w:color w:val="auto"/>
        </w:rPr>
        <w:t xml:space="preserve"> Anne Rice’s Talamasca: The Secret Order</w:t>
      </w:r>
      <w:r>
        <w:rPr>
          <w:rFonts w:ascii="Times New Roman" w:cs="Times New Roman" w:eastAsia="Times New Roman" w:hAnsi="Times New Roman"/>
          <w:sz w:val="18"/>
          <w:szCs w:val="18"/>
          <w:color w:val="auto"/>
        </w:rPr>
        <w:t>, starring Nicholas Denton and Elizabeth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McGovern.</w:t>
      </w:r>
    </w:p>
    <w:p>
      <w:pPr>
        <w:spacing w:after="0" w:line="65" w:lineRule="exact"/>
        <w:rPr>
          <w:sz w:val="20"/>
          <w:szCs w:val="20"/>
          <w:color w:val="auto"/>
        </w:rPr>
      </w:pPr>
    </w:p>
    <w:p>
      <w:pPr>
        <w:jc w:val="both"/>
        <w:ind w:left="980" w:hanging="485"/>
        <w:spacing w:after="0" w:line="284"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In 2025, AMC continued to bring viewers premium scripted series including </w:t>
      </w:r>
      <w:r>
        <w:rPr>
          <w:rFonts w:ascii="Times New Roman" w:cs="Times New Roman" w:eastAsia="Times New Roman" w:hAnsi="Times New Roman"/>
          <w:sz w:val="18"/>
          <w:szCs w:val="18"/>
          <w:i w:val="1"/>
          <w:iCs w:val="1"/>
          <w:color w:val="auto"/>
        </w:rPr>
        <w:t>Nautilus</w:t>
      </w:r>
      <w:r>
        <w:rPr>
          <w:rFonts w:ascii="Times New Roman" w:cs="Times New Roman" w:eastAsia="Times New Roman" w:hAnsi="Times New Roman"/>
          <w:sz w:val="18"/>
          <w:szCs w:val="18"/>
          <w:color w:val="auto"/>
        </w:rPr>
        <w:t xml:space="preserve">, an adventure drama based on Jules Verne’s beloved Twenty Thousand Leagues Under the Sea. In 2026, AMC is set to introduce </w:t>
      </w:r>
      <w:r>
        <w:rPr>
          <w:rFonts w:ascii="Times New Roman" w:cs="Times New Roman" w:eastAsia="Times New Roman" w:hAnsi="Times New Roman"/>
          <w:sz w:val="18"/>
          <w:szCs w:val="18"/>
          <w:i w:val="1"/>
          <w:iCs w:val="1"/>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714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Estimated U.S. subscribers as measured by Nielsen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ind w:left="486"/>
        <w:spacing w:after="0" w:line="284" w:lineRule="auto"/>
        <w:rPr>
          <w:sz w:val="20"/>
          <w:szCs w:val="20"/>
          <w:color w:val="auto"/>
        </w:rPr>
      </w:pPr>
      <w:r>
        <w:rPr>
          <w:rFonts w:ascii="Times New Roman" w:cs="Times New Roman" w:eastAsia="Times New Roman" w:hAnsi="Times New Roman"/>
          <w:sz w:val="18"/>
          <w:szCs w:val="18"/>
          <w:i w:val="1"/>
          <w:iCs w:val="1"/>
          <w:color w:val="auto"/>
        </w:rPr>
        <w:t>Audacity</w:t>
      </w:r>
      <w:r>
        <w:rPr>
          <w:rFonts w:ascii="Times New Roman" w:cs="Times New Roman" w:eastAsia="Times New Roman" w:hAnsi="Times New Roman"/>
          <w:sz w:val="18"/>
          <w:szCs w:val="18"/>
          <w:color w:val="auto"/>
        </w:rPr>
        <w:t>, a darkly comedic Silicon Valley-set drama series featuring an all-star cast led by Billy Magnussen, with Zach Galifianakis, Sarah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Goldberg, Rob Corddry, Simon Helberg and others.</w:t>
      </w:r>
    </w:p>
    <w:p>
      <w:pPr>
        <w:spacing w:after="0" w:line="50" w:lineRule="exact"/>
        <w:rPr>
          <w:sz w:val="20"/>
          <w:szCs w:val="20"/>
          <w:color w:val="auto"/>
        </w:rPr>
      </w:pPr>
    </w:p>
    <w:p>
      <w:pPr>
        <w:jc w:val="both"/>
        <w:ind w:left="486" w:hanging="486"/>
        <w:spacing w:after="0" w:line="267" w:lineRule="auto"/>
        <w:tabs>
          <w:tab w:leader="none" w:pos="4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2026, AMC will present the fourth season of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“perhaps the most ambitious Native-led TV show ever made,” according to The Hollywood Reporter, starring Zahn McClarnon and executive produced by Robert Redford and George R.R. Martin. The series has maintained a 100% score on Rotten Tomatoes for each of its first three seasons.</w:t>
      </w:r>
    </w:p>
    <w:p>
      <w:pPr>
        <w:spacing w:after="0" w:line="65" w:lineRule="exact"/>
        <w:rPr>
          <w:rFonts w:ascii="Times New Roman" w:cs="Times New Roman" w:eastAsia="Times New Roman" w:hAnsi="Times New Roman"/>
          <w:sz w:val="18"/>
          <w:szCs w:val="18"/>
          <w:color w:val="auto"/>
        </w:rPr>
      </w:pPr>
    </w:p>
    <w:p>
      <w:pPr>
        <w:jc w:val="both"/>
        <w:ind w:left="486" w:hanging="486"/>
        <w:spacing w:after="0" w:line="267" w:lineRule="auto"/>
        <w:tabs>
          <w:tab w:leader="none" w:pos="4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2026, AMC will explore sports stories with the upcoming limited docu-series </w:t>
      </w:r>
      <w:r>
        <w:rPr>
          <w:rFonts w:ascii="Times New Roman" w:cs="Times New Roman" w:eastAsia="Times New Roman" w:hAnsi="Times New Roman"/>
          <w:sz w:val="18"/>
          <w:szCs w:val="18"/>
          <w:i w:val="1"/>
          <w:iCs w:val="1"/>
          <w:color w:val="auto"/>
        </w:rPr>
        <w:t>Rise of the 49ers</w:t>
      </w:r>
      <w:r>
        <w:rPr>
          <w:rFonts w:ascii="Times New Roman" w:cs="Times New Roman" w:eastAsia="Times New Roman" w:hAnsi="Times New Roman"/>
          <w:sz w:val="18"/>
          <w:szCs w:val="18"/>
          <w:color w:val="auto"/>
        </w:rPr>
        <w:t xml:space="preserve">, executive produced by Tom Brady. Through a partnership with TNA Wrestling, AMC has become the new home to </w:t>
      </w:r>
      <w:r>
        <w:rPr>
          <w:rFonts w:ascii="Times New Roman" w:cs="Times New Roman" w:eastAsia="Times New Roman" w:hAnsi="Times New Roman"/>
          <w:sz w:val="18"/>
          <w:szCs w:val="18"/>
          <w:i w:val="1"/>
          <w:iCs w:val="1"/>
          <w:color w:val="auto"/>
        </w:rPr>
        <w:t>Thursday Night iMPACT</w:t>
      </w:r>
      <w:r>
        <w:rPr>
          <w:rFonts w:ascii="Times New Roman" w:cs="Times New Roman" w:eastAsia="Times New Roman" w:hAnsi="Times New Roman"/>
          <w:sz w:val="18"/>
          <w:szCs w:val="18"/>
          <w:color w:val="auto"/>
        </w:rPr>
        <w:t>, a weekly, action-packed television series.</w:t>
      </w:r>
    </w:p>
    <w:p>
      <w:pPr>
        <w:spacing w:after="0" w:line="67" w:lineRule="exact"/>
        <w:rPr>
          <w:rFonts w:ascii="Times New Roman" w:cs="Times New Roman" w:eastAsia="Times New Roman" w:hAnsi="Times New Roman"/>
          <w:sz w:val="18"/>
          <w:szCs w:val="18"/>
          <w:color w:val="auto"/>
        </w:rPr>
      </w:pPr>
    </w:p>
    <w:p>
      <w:pPr>
        <w:jc w:val="both"/>
        <w:ind w:left="486" w:hanging="486"/>
        <w:spacing w:after="0" w:line="266" w:lineRule="auto"/>
        <w:tabs>
          <w:tab w:leader="none" w:pos="4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AMC's film library consists of films that are licensed under long-term contracts with major studios such as Warner Bros., Sony, MGM, NBC Universal, Paramount, Lionsgate and Buena Vista. AMC generally structures its contracts for the cable television rights to air the films during identified window periods.</w:t>
      </w:r>
    </w:p>
    <w:p>
      <w:pPr>
        <w:spacing w:after="0" w:line="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AMC+ streaming service</w:t>
      </w:r>
    </w:p>
    <w:p>
      <w:pPr>
        <w:spacing w:after="0" w:line="121" w:lineRule="exact"/>
        <w:rPr>
          <w:sz w:val="20"/>
          <w:szCs w:val="20"/>
          <w:color w:val="auto"/>
        </w:rPr>
      </w:pPr>
    </w:p>
    <w:p>
      <w:pPr>
        <w:jc w:val="both"/>
        <w:ind w:left="486" w:hanging="486"/>
        <w:spacing w:after="0" w:line="258" w:lineRule="auto"/>
        <w:tabs>
          <w:tab w:leader="none" w:pos="4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AMC+ is the Company’s premium streaming bundle featuring an extensive lineup of popular and critically acclaimed programming from AMC, BBCA, IFC and SundanceTV along with full access to targeted streaming services Shudder and Sundance Now and the Independent Film Company library. Its content library includes fan favorites </w:t>
      </w:r>
      <w:r>
        <w:rPr>
          <w:rFonts w:ascii="Times New Roman" w:cs="Times New Roman" w:eastAsia="Times New Roman" w:hAnsi="Times New Roman"/>
          <w:sz w:val="18"/>
          <w:szCs w:val="18"/>
          <w:i w:val="1"/>
          <w:iCs w:val="1"/>
          <w:color w:val="auto"/>
        </w:rPr>
        <w:t>Mad Men, Interview with the Vampire, The Killing, A Discovery of Witches,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Halt &amp; Catch Fire, Hell on Wheels, Turn: Washington’s Spies, The Terror, Into the Badlands, Preacher, Orphan Black, Rectify, Gangs of London </w:t>
      </w:r>
      <w:r>
        <w:rPr>
          <w:rFonts w:ascii="Times New Roman" w:cs="Times New Roman" w:eastAsia="Times New Roman" w:hAnsi="Times New Roman"/>
          <w:sz w:val="18"/>
          <w:szCs w:val="18"/>
          <w:color w:val="auto"/>
        </w:rPr>
        <w:t>and series from the Company's two marquee franchises, The Walking Dead Universe and the Anne Rice Immortal Universe.</w:t>
      </w:r>
    </w:p>
    <w:p>
      <w:pPr>
        <w:spacing w:after="0" w:line="73" w:lineRule="exact"/>
        <w:rPr>
          <w:rFonts w:ascii="Times New Roman" w:cs="Times New Roman" w:eastAsia="Times New Roman" w:hAnsi="Times New Roman"/>
          <w:sz w:val="18"/>
          <w:szCs w:val="18"/>
          <w:color w:val="auto"/>
        </w:rPr>
      </w:pPr>
    </w:p>
    <w:p>
      <w:pPr>
        <w:jc w:val="both"/>
        <w:ind w:left="486" w:hanging="486"/>
        <w:spacing w:after="0" w:line="258" w:lineRule="auto"/>
        <w:tabs>
          <w:tab w:leader="none" w:pos="4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2025, AMC+ continued its track record of delivering critically-acclaimed dramas with original series including </w:t>
      </w:r>
      <w:r>
        <w:rPr>
          <w:rFonts w:ascii="Times New Roman" w:cs="Times New Roman" w:eastAsia="Times New Roman" w:hAnsi="Times New Roman"/>
          <w:sz w:val="18"/>
          <w:szCs w:val="18"/>
          <w:i w:val="1"/>
          <w:iCs w:val="1"/>
          <w:color w:val="auto"/>
        </w:rPr>
        <w:t>Black Snow, Scrublands,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Assassin, </w:t>
      </w:r>
      <w:r>
        <w:rPr>
          <w:rFonts w:ascii="Times New Roman" w:cs="Times New Roman" w:eastAsia="Times New Roman" w:hAnsi="Times New Roman"/>
          <w:sz w:val="18"/>
          <w:szCs w:val="18"/>
          <w:color w:val="auto"/>
        </w:rPr>
        <w:t>starring BAFTA-nominated Keely Hawes and Golden Globe-nominated Freddie Highmore,</w:t>
      </w:r>
      <w:r>
        <w:rPr>
          <w:rFonts w:ascii="Times New Roman" w:cs="Times New Roman" w:eastAsia="Times New Roman" w:hAnsi="Times New Roman"/>
          <w:sz w:val="18"/>
          <w:szCs w:val="18"/>
          <w:i w:val="1"/>
          <w:iCs w:val="1"/>
          <w:color w:val="auto"/>
        </w:rPr>
        <w:t xml:space="preserve"> The Last Anniversary</w:t>
      </w:r>
      <w:r>
        <w:rPr>
          <w:rFonts w:ascii="Times New Roman" w:cs="Times New Roman" w:eastAsia="Times New Roman" w:hAnsi="Times New Roman"/>
          <w:sz w:val="18"/>
          <w:szCs w:val="18"/>
          <w:color w:val="auto"/>
        </w:rPr>
        <w:t>,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 New York times best-selling novel from Liane Moriarty and executive produced by Academy Award winner Nicole Kidman, as well as a slate of premium films in partnership with Independent Film Company, including </w:t>
      </w:r>
      <w:r>
        <w:rPr>
          <w:rFonts w:ascii="Times New Roman" w:cs="Times New Roman" w:eastAsia="Times New Roman" w:hAnsi="Times New Roman"/>
          <w:sz w:val="18"/>
          <w:szCs w:val="18"/>
          <w:i w:val="1"/>
          <w:iCs w:val="1"/>
          <w:color w:val="auto"/>
        </w:rPr>
        <w:t>Skincare</w:t>
      </w:r>
      <w:r>
        <w:rPr>
          <w:rFonts w:ascii="Times New Roman" w:cs="Times New Roman" w:eastAsia="Times New Roman" w:hAnsi="Times New Roman"/>
          <w:sz w:val="18"/>
          <w:szCs w:val="18"/>
          <w:color w:val="auto"/>
        </w:rPr>
        <w:t xml:space="preserve"> starring Elizabeth Banks, the buzzy horror </w:t>
      </w:r>
      <w:r>
        <w:rPr>
          <w:rFonts w:ascii="Times New Roman" w:cs="Times New Roman" w:eastAsia="Times New Roman" w:hAnsi="Times New Roman"/>
          <w:sz w:val="18"/>
          <w:szCs w:val="18"/>
          <w:i w:val="1"/>
          <w:iCs w:val="1"/>
          <w:color w:val="auto"/>
        </w:rPr>
        <w:t xml:space="preserve">Dangerous Animals, </w:t>
      </w:r>
      <w:r>
        <w:rPr>
          <w:rFonts w:ascii="Times New Roman" w:cs="Times New Roman" w:eastAsia="Times New Roman" w:hAnsi="Times New Roman"/>
          <w:sz w:val="18"/>
          <w:szCs w:val="18"/>
          <w:color w:val="auto"/>
        </w:rPr>
        <w:t>award-winning</w:t>
      </w:r>
      <w:r>
        <w:rPr>
          <w:rFonts w:ascii="Times New Roman" w:cs="Times New Roman" w:eastAsia="Times New Roman" w:hAnsi="Times New Roman"/>
          <w:sz w:val="18"/>
          <w:szCs w:val="18"/>
          <w:i w:val="1"/>
          <w:iCs w:val="1"/>
          <w:color w:val="auto"/>
        </w:rPr>
        <w:t xml:space="preserve"> Good Boy </w:t>
      </w:r>
      <w:r>
        <w:rPr>
          <w:rFonts w:ascii="Times New Roman" w:cs="Times New Roman" w:eastAsia="Times New Roman" w:hAnsi="Times New Roman"/>
          <w:sz w:val="18"/>
          <w:szCs w:val="18"/>
          <w:color w:val="auto"/>
        </w:rPr>
        <w:t>and the Academy Award-nominated</w:t>
      </w:r>
      <w:r>
        <w:rPr>
          <w:rFonts w:ascii="Times New Roman" w:cs="Times New Roman" w:eastAsia="Times New Roman" w:hAnsi="Times New Roman"/>
          <w:sz w:val="18"/>
          <w:szCs w:val="18"/>
          <w:i w:val="1"/>
          <w:iCs w:val="1"/>
          <w:color w:val="auto"/>
        </w:rPr>
        <w:t xml:space="preserve"> Memoir of a Snail</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jc w:val="both"/>
        <w:ind w:left="486" w:right="20" w:hanging="486"/>
        <w:spacing w:after="0" w:line="266" w:lineRule="auto"/>
        <w:tabs>
          <w:tab w:leader="none" w:pos="4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is available to subscribers through either ad-supported or commercial free plans through our direct-to consumer ("DTC") applications, as well as through multi-channel video programming distributors ("MVPDs") and virtual MVPDs, and digital streaming platforms such as Amazon Prime Video Channels, Apple TV Channels and The Roku Channel.</w:t>
      </w:r>
    </w:p>
    <w:p>
      <w:pPr>
        <w:spacing w:after="0" w:line="67" w:lineRule="exact"/>
        <w:rPr>
          <w:rFonts w:ascii="Times New Roman" w:cs="Times New Roman" w:eastAsia="Times New Roman" w:hAnsi="Times New Roman"/>
          <w:sz w:val="18"/>
          <w:szCs w:val="18"/>
          <w:color w:val="auto"/>
        </w:rPr>
      </w:pPr>
    </w:p>
    <w:p>
      <w:pPr>
        <w:ind w:left="486" w:hanging="486"/>
        <w:spacing w:after="0"/>
        <w:tabs>
          <w:tab w:leader="none" w:pos="48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is currently available in several international markets, including Canada, Spain, Australia and New Zealand.</w:t>
      </w:r>
    </w:p>
    <w:p>
      <w:pPr>
        <w:spacing w:after="0" w:line="1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AMC Studios</w:t>
      </w:r>
    </w:p>
    <w:p>
      <w:pPr>
        <w:spacing w:after="0" w:line="119" w:lineRule="exact"/>
        <w:rPr>
          <w:sz w:val="20"/>
          <w:szCs w:val="20"/>
          <w:color w:val="auto"/>
        </w:rPr>
      </w:pPr>
    </w:p>
    <w:p>
      <w:pPr>
        <w:ind w:left="486" w:hanging="486"/>
        <w:spacing w:after="0" w:line="284" w:lineRule="auto"/>
        <w:tabs>
          <w:tab w:leader="none" w:pos="4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AMC Studios is AMC Networks’ in-house production and distribution operation which launched in 2010 with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which became the highest-rated show on cable television.</w:t>
      </w:r>
    </w:p>
    <w:p>
      <w:pPr>
        <w:spacing w:after="0" w:line="52" w:lineRule="exact"/>
        <w:rPr>
          <w:rFonts w:ascii="Times New Roman" w:cs="Times New Roman" w:eastAsia="Times New Roman" w:hAnsi="Times New Roman"/>
          <w:sz w:val="18"/>
          <w:szCs w:val="18"/>
          <w:color w:val="auto"/>
        </w:rPr>
      </w:pPr>
    </w:p>
    <w:p>
      <w:pPr>
        <w:jc w:val="both"/>
        <w:ind w:left="486" w:hanging="486"/>
        <w:spacing w:after="0" w:line="261" w:lineRule="auto"/>
        <w:tabs>
          <w:tab w:leader="none" w:pos="4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then, AMC Studios has produced several critically acclaimed, award-winning and culturally distinctive originals for AMC Networks’ suite of channels and services including </w:t>
      </w:r>
      <w:r>
        <w:rPr>
          <w:rFonts w:ascii="Times New Roman" w:cs="Times New Roman" w:eastAsia="Times New Roman" w:hAnsi="Times New Roman"/>
          <w:sz w:val="18"/>
          <w:szCs w:val="18"/>
          <w:i w:val="1"/>
          <w:iCs w:val="1"/>
          <w:color w:val="auto"/>
        </w:rPr>
        <w:t>Anne Rice’s Interview with the Vampire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Anne Rice’s Mayfair Witches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Walking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Dead: Dead City, The Walking Dead: Daryl Dixon, Fear the Walking Dead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Halt and Catch Fire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Terror </w:t>
      </w:r>
      <w:r>
        <w:rPr>
          <w:rFonts w:ascii="Times New Roman" w:cs="Times New Roman" w:eastAsia="Times New Roman" w:hAnsi="Times New Roman"/>
          <w:sz w:val="18"/>
          <w:szCs w:val="18"/>
          <w:color w:val="auto"/>
        </w:rPr>
        <w:t>anthology,</w:t>
      </w:r>
      <w:r>
        <w:rPr>
          <w:rFonts w:ascii="Times New Roman" w:cs="Times New Roman" w:eastAsia="Times New Roman" w:hAnsi="Times New Roman"/>
          <w:sz w:val="18"/>
          <w:szCs w:val="18"/>
          <w:i w:val="1"/>
          <w:iCs w:val="1"/>
          <w:color w:val="auto"/>
        </w:rPr>
        <w:t xml:space="preserve"> Preacher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Peabody Award-winning </w:t>
      </w:r>
      <w:r>
        <w:rPr>
          <w:rFonts w:ascii="Times New Roman" w:cs="Times New Roman" w:eastAsia="Times New Roman" w:hAnsi="Times New Roman"/>
          <w:sz w:val="18"/>
          <w:szCs w:val="18"/>
          <w:i w:val="1"/>
          <w:iCs w:val="1"/>
          <w:color w:val="auto"/>
        </w:rPr>
        <w:t>Rectify</w:t>
      </w:r>
      <w:r>
        <w:rPr>
          <w:rFonts w:ascii="Times New Roman" w:cs="Times New Roman" w:eastAsia="Times New Roman" w:hAnsi="Times New Roman"/>
          <w:sz w:val="18"/>
          <w:szCs w:val="18"/>
          <w:color w:val="auto"/>
        </w:rPr>
        <w:t xml:space="preserve">, as well as unscripted series </w:t>
      </w:r>
      <w:r>
        <w:rPr>
          <w:rFonts w:ascii="Times New Roman" w:cs="Times New Roman" w:eastAsia="Times New Roman" w:hAnsi="Times New Roman"/>
          <w:sz w:val="18"/>
          <w:szCs w:val="18"/>
          <w:i w:val="1"/>
          <w:iCs w:val="1"/>
          <w:color w:val="auto"/>
        </w:rPr>
        <w:t>Ride with Norman Reedus</w:t>
      </w:r>
      <w:r>
        <w:rPr>
          <w:rFonts w:ascii="Times New Roman" w:cs="Times New Roman" w:eastAsia="Times New Roman" w:hAnsi="Times New Roman"/>
          <w:sz w:val="18"/>
          <w:szCs w:val="18"/>
          <w:color w:val="auto"/>
        </w:rPr>
        <w:t xml:space="preserve"> and James Cameron’s </w:t>
      </w:r>
      <w:r>
        <w:rPr>
          <w:rFonts w:ascii="Times New Roman" w:cs="Times New Roman" w:eastAsia="Times New Roman" w:hAnsi="Times New Roman"/>
          <w:sz w:val="18"/>
          <w:szCs w:val="18"/>
          <w:i w:val="1"/>
          <w:iCs w:val="1"/>
          <w:color w:val="auto"/>
        </w:rPr>
        <w:t>Story of Science Fiction</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486" w:hanging="486"/>
        <w:spacing w:after="0"/>
        <w:tabs>
          <w:tab w:leader="none" w:pos="4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Upcoming AMC Studios series include </w:t>
      </w:r>
      <w:r>
        <w:rPr>
          <w:rFonts w:ascii="Times New Roman" w:cs="Times New Roman" w:eastAsia="Times New Roman" w:hAnsi="Times New Roman"/>
          <w:sz w:val="18"/>
          <w:szCs w:val="18"/>
          <w:i w:val="1"/>
          <w:iCs w:val="1"/>
          <w:color w:val="auto"/>
        </w:rPr>
        <w:t>Dark Winds</w:t>
      </w:r>
      <w:r>
        <w:rPr>
          <w:rFonts w:ascii="Times New Roman" w:cs="Times New Roman" w:eastAsia="Times New Roman" w:hAnsi="Times New Roman"/>
          <w:sz w:val="18"/>
          <w:szCs w:val="18"/>
          <w:color w:val="auto"/>
        </w:rPr>
        <w:t xml:space="preserve"> season 4</w:t>
      </w:r>
      <w:r>
        <w:rPr>
          <w:rFonts w:ascii="Times New Roman" w:cs="Times New Roman" w:eastAsia="Times New Roman" w:hAnsi="Times New Roman"/>
          <w:sz w:val="18"/>
          <w:szCs w:val="18"/>
          <w:i w:val="1"/>
          <w:iCs w:val="1"/>
          <w:color w:val="auto"/>
        </w:rPr>
        <w:t>, The Audacity, The Vampire Lestat, The Walking Dead: Daryl Dixon</w:t>
      </w:r>
      <w:r>
        <w:rPr>
          <w:rFonts w:ascii="Times New Roman" w:cs="Times New Roman" w:eastAsia="Times New Roman" w:hAnsi="Times New Roman"/>
          <w:sz w:val="18"/>
          <w:szCs w:val="18"/>
          <w:color w:val="auto"/>
        </w:rPr>
        <w:t xml:space="preserve"> season 4</w:t>
      </w:r>
    </w:p>
    <w:p>
      <w:pPr>
        <w:spacing w:after="0" w:line="29" w:lineRule="exact"/>
        <w:rPr>
          <w:rFonts w:ascii="Times New Roman" w:cs="Times New Roman" w:eastAsia="Times New Roman" w:hAnsi="Times New Roman"/>
          <w:sz w:val="18"/>
          <w:szCs w:val="18"/>
          <w:color w:val="auto"/>
        </w:rPr>
      </w:pPr>
    </w:p>
    <w:p>
      <w:pPr>
        <w:ind w:left="486"/>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The Terror: Devil in Silver</w:t>
      </w:r>
      <w:r>
        <w:rPr>
          <w:rFonts w:ascii="Times New Roman" w:cs="Times New Roman" w:eastAsia="Times New Roman" w:hAnsi="Times New Roman"/>
          <w:sz w:val="18"/>
          <w:szCs w:val="18"/>
          <w:color w:val="auto"/>
        </w:rPr>
        <w:t xml:space="preserve"> for AMC and AMC+. AMC Studios also produced the upcoming Brooke Shields-led series, </w:t>
      </w:r>
      <w:r>
        <w:rPr>
          <w:rFonts w:ascii="Times New Roman" w:cs="Times New Roman" w:eastAsia="Times New Roman" w:hAnsi="Times New Roman"/>
          <w:sz w:val="18"/>
          <w:szCs w:val="18"/>
          <w:i w:val="1"/>
          <w:iCs w:val="1"/>
          <w:color w:val="auto"/>
        </w:rPr>
        <w:t>You’re Killing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86" w:right="160" w:hanging="486"/>
        <w:spacing w:after="0" w:line="284" w:lineRule="auto"/>
        <w:tabs>
          <w:tab w:leader="none" w:pos="4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producing series for AMC Networks suite of channels, AMC Studios is an executive producer of the hit series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for Apple TV+.</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97" w:right="339"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8"/>
          <w:szCs w:val="18"/>
          <w:b w:val="1"/>
          <w:bCs w:val="1"/>
          <w:color w:val="auto"/>
        </w:rPr>
        <w:t>Other Programming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88265</wp:posOffset>
            </wp:positionV>
            <wp:extent cx="129413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1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color w:val="auto"/>
        </w:rPr>
        <w:t>As of December 31, 2025, We TV reached approximately 54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w:t>
      </w:r>
    </w:p>
    <w:p>
      <w:pPr>
        <w:ind w:left="980"/>
        <w:spacing w:after="0"/>
        <w:rPr>
          <w:sz w:val="20"/>
          <w:szCs w:val="20"/>
          <w:color w:val="auto"/>
        </w:rPr>
      </w:pPr>
      <w:r>
        <w:rPr>
          <w:rFonts w:ascii="Times New Roman" w:cs="Times New Roman" w:eastAsia="Times New Roman" w:hAnsi="Times New Roman"/>
          <w:sz w:val="18"/>
          <w:szCs w:val="18"/>
          <w:color w:val="auto"/>
        </w:rPr>
        <w:t>distributors.</w:t>
      </w:r>
    </w:p>
    <w:p>
      <w:pPr>
        <w:spacing w:after="0" w:line="95" w:lineRule="exact"/>
        <w:rPr>
          <w:sz w:val="20"/>
          <w:szCs w:val="20"/>
          <w:color w:val="auto"/>
        </w:rPr>
      </w:pPr>
    </w:p>
    <w:p>
      <w:pPr>
        <w:jc w:val="both"/>
        <w:ind w:left="980" w:hanging="485"/>
        <w:spacing w:after="0" w:line="284"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Driven by unscripted originals, We TV is home to a popular slate of series and franchises, including </w:t>
      </w:r>
      <w:r>
        <w:rPr>
          <w:rFonts w:ascii="Times New Roman" w:cs="Times New Roman" w:eastAsia="Times New Roman" w:hAnsi="Times New Roman"/>
          <w:sz w:val="18"/>
          <w:szCs w:val="18"/>
          <w:i w:val="1"/>
          <w:iCs w:val="1"/>
          <w:color w:val="auto"/>
        </w:rPr>
        <w:t>Love After Lockup, Life After 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Mama June: Family Crisis, </w:t>
      </w:r>
      <w:r>
        <w:rPr>
          <w:rFonts w:ascii="Times New Roman" w:cs="Times New Roman" w:eastAsia="Times New Roman" w:hAnsi="Times New Roman"/>
          <w:sz w:val="18"/>
          <w:szCs w:val="18"/>
          <w:color w:val="auto"/>
        </w:rPr>
        <w:t>and We TV’s pioneers of family reality TV, the Braxton family, with the docuseries</w:t>
      </w:r>
      <w:r>
        <w:rPr>
          <w:rFonts w:ascii="Times New Roman" w:cs="Times New Roman" w:eastAsia="Times New Roman" w:hAnsi="Times New Roman"/>
          <w:sz w:val="18"/>
          <w:szCs w:val="18"/>
          <w:i w:val="1"/>
          <w:iCs w:val="1"/>
          <w:color w:val="auto"/>
        </w:rPr>
        <w:t xml:space="preserve"> The Braxtons.</w:t>
      </w:r>
    </w:p>
    <w:p>
      <w:pPr>
        <w:spacing w:after="0" w:line="37" w:lineRule="exact"/>
        <w:rPr>
          <w:sz w:val="20"/>
          <w:szCs w:val="20"/>
          <w:color w:val="auto"/>
        </w:rPr>
      </w:pPr>
    </w:p>
    <w:p>
      <w:pPr>
        <w:jc w:val="both"/>
        <w:ind w:left="980" w:right="20" w:hanging="485"/>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We TV's programming also includes popular series </w:t>
      </w:r>
      <w:r>
        <w:rPr>
          <w:rFonts w:ascii="Times New Roman" w:cs="Times New Roman" w:eastAsia="Times New Roman" w:hAnsi="Times New Roman"/>
          <w:sz w:val="18"/>
          <w:szCs w:val="18"/>
          <w:i w:val="1"/>
          <w:iCs w:val="1"/>
          <w:color w:val="auto"/>
        </w:rPr>
        <w:t>S.W.A.T.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9-1-1, Bones, NCIS, and Law &amp; Order</w:t>
      </w:r>
      <w:r>
        <w:rPr>
          <w:rFonts w:ascii="Times New Roman" w:cs="Times New Roman" w:eastAsia="Times New Roman" w:hAnsi="Times New Roman"/>
          <w:sz w:val="18"/>
          <w:szCs w:val="18"/>
          <w:color w:val="auto"/>
        </w:rPr>
        <w:t xml:space="preserve"> as well as feature films, with certain exclusive license rights from studios such as Paramount, MGM, Sony, Lionsgate, NBC Universal, and Warner Bros.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276860</wp:posOffset>
            </wp:positionV>
            <wp:extent cx="831215" cy="43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3121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As of December 31, 2025, BBCA reached approximately 51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w:t>
      </w:r>
    </w:p>
    <w:p>
      <w:pPr>
        <w:ind w:left="980"/>
        <w:spacing w:after="0"/>
        <w:rPr>
          <w:sz w:val="20"/>
          <w:szCs w:val="20"/>
          <w:color w:val="auto"/>
        </w:rPr>
      </w:pPr>
      <w:r>
        <w:rPr>
          <w:rFonts w:ascii="Times New Roman" w:cs="Times New Roman" w:eastAsia="Times New Roman" w:hAnsi="Times New Roman"/>
          <w:sz w:val="18"/>
          <w:szCs w:val="18"/>
          <w:color w:val="auto"/>
        </w:rPr>
        <w:t>distributors.</w:t>
      </w:r>
    </w:p>
    <w:p>
      <w:pPr>
        <w:spacing w:after="0" w:line="97" w:lineRule="exact"/>
        <w:rPr>
          <w:sz w:val="20"/>
          <w:szCs w:val="20"/>
          <w:color w:val="auto"/>
        </w:rPr>
      </w:pPr>
    </w:p>
    <w:p>
      <w:pPr>
        <w:jc w:val="both"/>
        <w:ind w:left="980" w:hanging="485"/>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BBCA is a hub of innovative, culturally contagious programming with “Britishness” at its core. The network has attracted wide critical acclaim for its award-winning natural history programming from the BBC. In 2024, BBCA brought viewers a new landmark series narrated by Sir David Attenborough </w:t>
      </w:r>
      <w:r>
        <w:rPr>
          <w:rFonts w:ascii="Times New Roman" w:cs="Times New Roman" w:eastAsia="Times New Roman" w:hAnsi="Times New Roman"/>
          <w:sz w:val="18"/>
          <w:szCs w:val="18"/>
          <w:i w:val="1"/>
          <w:iCs w:val="1"/>
          <w:color w:val="auto"/>
        </w:rPr>
        <w:t>Planet Earth: Asia</w:t>
      </w:r>
      <w:r>
        <w:rPr>
          <w:rFonts w:ascii="Times New Roman" w:cs="Times New Roman" w:eastAsia="Times New Roman" w:hAnsi="Times New Roman"/>
          <w:sz w:val="18"/>
          <w:szCs w:val="18"/>
          <w:color w:val="auto"/>
        </w:rPr>
        <w:t xml:space="preserve"> from the award-winning BBC Natural History Unit, with the next landmark series, </w:t>
      </w:r>
      <w:r>
        <w:rPr>
          <w:rFonts w:ascii="Times New Roman" w:cs="Times New Roman" w:eastAsia="Times New Roman" w:hAnsi="Times New Roman"/>
          <w:sz w:val="18"/>
          <w:szCs w:val="18"/>
          <w:i w:val="1"/>
          <w:iCs w:val="1"/>
          <w:color w:val="auto"/>
        </w:rPr>
        <w:t>Planet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Earth: Kingdom</w:t>
      </w:r>
      <w:r>
        <w:rPr>
          <w:rFonts w:ascii="Times New Roman" w:cs="Times New Roman" w:eastAsia="Times New Roman" w:hAnsi="Times New Roman"/>
          <w:sz w:val="18"/>
          <w:szCs w:val="18"/>
          <w:color w:val="auto"/>
        </w:rPr>
        <w:t>, planned for 2026.</w:t>
      </w:r>
    </w:p>
    <w:p>
      <w:pPr>
        <w:spacing w:after="0" w:line="70"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BBCA is also the home of </w:t>
      </w:r>
      <w:r>
        <w:rPr>
          <w:rFonts w:ascii="Times New Roman" w:cs="Times New Roman" w:eastAsia="Times New Roman" w:hAnsi="Times New Roman"/>
          <w:sz w:val="18"/>
          <w:szCs w:val="18"/>
          <w:i w:val="1"/>
          <w:iCs w:val="1"/>
          <w:color w:val="auto"/>
        </w:rPr>
        <w:t>The Graham Norton Show</w:t>
      </w:r>
      <w:r>
        <w:rPr>
          <w:rFonts w:ascii="Times New Roman" w:cs="Times New Roman" w:eastAsia="Times New Roman" w:hAnsi="Times New Roman"/>
          <w:sz w:val="18"/>
          <w:szCs w:val="18"/>
          <w:color w:val="auto"/>
        </w:rPr>
        <w:t>, a globally recognized United Kingdom ("U.K.") late night talk show.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309880</wp:posOffset>
            </wp:positionV>
            <wp:extent cx="70294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color w:val="auto"/>
        </w:rPr>
        <w:t>As of December 31, 2025, IFC reached approximately 47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w:t>
      </w:r>
    </w:p>
    <w:p>
      <w:pPr>
        <w:ind w:left="980"/>
        <w:spacing w:after="0"/>
        <w:rPr>
          <w:sz w:val="20"/>
          <w:szCs w:val="20"/>
          <w:color w:val="auto"/>
        </w:rPr>
      </w:pPr>
      <w:r>
        <w:rPr>
          <w:rFonts w:ascii="Times New Roman" w:cs="Times New Roman" w:eastAsia="Times New Roman" w:hAnsi="Times New Roman"/>
          <w:sz w:val="18"/>
          <w:szCs w:val="18"/>
          <w:color w:val="auto"/>
        </w:rPr>
        <w:t>distributors.</w:t>
      </w:r>
    </w:p>
    <w:p>
      <w:pPr>
        <w:spacing w:after="0" w:line="95"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IFC is the home of offbeat, unexpected comedies. Originals include </w:t>
      </w:r>
      <w:r>
        <w:rPr>
          <w:rFonts w:ascii="Times New Roman" w:cs="Times New Roman" w:eastAsia="Times New Roman" w:hAnsi="Times New Roman"/>
          <w:sz w:val="18"/>
          <w:szCs w:val="18"/>
          <w:i w:val="1"/>
          <w:iCs w:val="1"/>
          <w:color w:val="auto"/>
        </w:rPr>
        <w:t>In the Kitchen with Harry Hamlin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SisterS</w:t>
      </w:r>
      <w:r>
        <w:rPr>
          <w:rFonts w:ascii="Times New Roman" w:cs="Times New Roman" w:eastAsia="Times New Roman" w:hAnsi="Times New Roman"/>
          <w:sz w:val="18"/>
          <w:szCs w:val="18"/>
          <w:color w:val="auto"/>
        </w:rPr>
        <w:t xml:space="preserve"> starring Sarah Goldberg.</w:t>
      </w:r>
    </w:p>
    <w:p>
      <w:pPr>
        <w:spacing w:after="0" w:line="117" w:lineRule="exact"/>
        <w:rPr>
          <w:sz w:val="20"/>
          <w:szCs w:val="20"/>
          <w:color w:val="auto"/>
        </w:rPr>
      </w:pPr>
    </w:p>
    <w:p>
      <w:pPr>
        <w:jc w:val="both"/>
        <w:ind w:left="980" w:hanging="485"/>
        <w:spacing w:after="0" w:line="284"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IFC's slate includes a mix of fan favorite movies and popular television comedies ranging from </w:t>
      </w:r>
      <w:r>
        <w:rPr>
          <w:rFonts w:ascii="Times New Roman" w:cs="Times New Roman" w:eastAsia="Times New Roman" w:hAnsi="Times New Roman"/>
          <w:sz w:val="18"/>
          <w:szCs w:val="18"/>
          <w:i w:val="1"/>
          <w:iCs w:val="1"/>
          <w:color w:val="auto"/>
        </w:rPr>
        <w:t>Two and a Half Men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Everybody Loves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Raymond </w:t>
      </w:r>
      <w:r>
        <w:rPr>
          <w:rFonts w:ascii="Times New Roman" w:cs="Times New Roman" w:eastAsia="Times New Roman" w:hAnsi="Times New Roman"/>
          <w:sz w:val="18"/>
          <w:szCs w:val="18"/>
          <w:color w:val="auto"/>
        </w:rPr>
        <w:t>to classic TV favorites such as</w:t>
      </w:r>
      <w:r>
        <w:rPr>
          <w:rFonts w:ascii="Times New Roman" w:cs="Times New Roman" w:eastAsia="Times New Roman" w:hAnsi="Times New Roman"/>
          <w:sz w:val="18"/>
          <w:szCs w:val="18"/>
          <w:i w:val="1"/>
          <w:iCs w:val="1"/>
          <w:color w:val="auto"/>
        </w:rPr>
        <w:t xml:space="preserve"> Gilligan’s Island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Sanford and 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267335</wp:posOffset>
            </wp:positionV>
            <wp:extent cx="164592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592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color w:val="auto"/>
        </w:rPr>
        <w:t>As of December 31, 2025, SundanceTV reached approximately 45 million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had distribution agreements with all major U.S.</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distributors.</w:t>
      </w:r>
    </w:p>
    <w:p>
      <w:pPr>
        <w:spacing w:after="0" w:line="97" w:lineRule="exact"/>
        <w:rPr>
          <w:sz w:val="20"/>
          <w:szCs w:val="20"/>
          <w:color w:val="auto"/>
        </w:rPr>
      </w:pPr>
    </w:p>
    <w:p>
      <w:pPr>
        <w:ind w:left="500"/>
        <w:spacing w:after="0"/>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SundanceTV launched in 1996 and is committed to the mission of celebrating creativity, distinctive storytelling and iconic films.</w:t>
      </w:r>
    </w:p>
    <w:p>
      <w:pPr>
        <w:spacing w:after="0" w:line="115" w:lineRule="exact"/>
        <w:rPr>
          <w:sz w:val="20"/>
          <w:szCs w:val="20"/>
          <w:color w:val="auto"/>
        </w:rPr>
      </w:pPr>
    </w:p>
    <w:p>
      <w:pPr>
        <w:jc w:val="both"/>
        <w:ind w:left="980" w:hanging="485"/>
        <w:spacing w:after="0" w:line="267" w:lineRule="auto"/>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SundanceTV attracts viewer and critical acclaim for its original unscripted programming, including </w:t>
      </w:r>
      <w:r>
        <w:rPr>
          <w:rFonts w:ascii="Times New Roman" w:cs="Times New Roman" w:eastAsia="Times New Roman" w:hAnsi="Times New Roman"/>
          <w:sz w:val="18"/>
          <w:szCs w:val="18"/>
          <w:i w:val="1"/>
          <w:iCs w:val="1"/>
          <w:color w:val="auto"/>
        </w:rPr>
        <w:t>Off Script with The Hollywood Reporter</w:t>
      </w:r>
      <w:r>
        <w:rPr>
          <w:rFonts w:ascii="Times New Roman" w:cs="Times New Roman" w:eastAsia="Times New Roman" w:hAnsi="Times New Roman"/>
          <w:sz w:val="18"/>
          <w:szCs w:val="18"/>
          <w:color w:val="auto"/>
        </w:rPr>
        <w:t xml:space="preserve"> featuring the entertainment industry’s leading talents, and the True Crime Story franchise featuring </w:t>
      </w:r>
      <w:r>
        <w:rPr>
          <w:rFonts w:ascii="Times New Roman" w:cs="Times New Roman" w:eastAsia="Times New Roman" w:hAnsi="Times New Roman"/>
          <w:sz w:val="18"/>
          <w:szCs w:val="18"/>
          <w:i w:val="1"/>
          <w:iCs w:val="1"/>
          <w:color w:val="auto"/>
        </w:rPr>
        <w:t>Smugshot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 Couldn’t Happen Here</w:t>
      </w:r>
      <w:r>
        <w:rPr>
          <w:rFonts w:ascii="Times New Roman" w:cs="Times New Roman" w:eastAsia="Times New Roman" w:hAnsi="Times New Roman"/>
          <w:sz w:val="18"/>
          <w:szCs w:val="18"/>
          <w:color w:val="auto"/>
        </w:rPr>
        <w:t xml:space="preserve"> from Hilarie Burton Morgan</w:t>
      </w:r>
      <w:r>
        <w:rPr>
          <w:rFonts w:ascii="Times New Roman" w:cs="Times New Roman" w:eastAsia="Times New Roman" w:hAnsi="Times New Roman"/>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Estimated U.S. subscribers as measured by Nielsen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b w:val="1"/>
          <w:bCs w:val="1"/>
          <w:color w:val="auto"/>
        </w:rPr>
        <w:t>Other Streaming Services</w:t>
      </w:r>
    </w:p>
    <w:p>
      <w:pPr>
        <w:spacing w:after="0" w:line="12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Company’s streaming portfolio of branded subscription services serve a targeted, passionate fanbase with content depth, curation and community. The content on these platforms is a mix of licensed and owned original programming. Our various services are distributed in several key markets internationally, including Canada, the U.K., parts of Europe, Australia and New Zealand.</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streaming services, including AMC+ and the following targeted services, ended 2025 with approximately 10.4 million streaming subscribers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188595</wp:posOffset>
            </wp:positionV>
            <wp:extent cx="123444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80" w:right="2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Acorn TV is our destination for passionate fans of international crime dramas and murder mysteries – from the criminally cozy to the daringly dark.</w:t>
      </w:r>
    </w:p>
    <w:p>
      <w:pPr>
        <w:spacing w:after="0" w:line="65"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Acorn TV’s 2025 programming slate featured new exclusive original series including </w:t>
      </w:r>
      <w:r>
        <w:rPr>
          <w:rFonts w:ascii="Times New Roman" w:cs="Times New Roman" w:eastAsia="Times New Roman" w:hAnsi="Times New Roman"/>
          <w:sz w:val="18"/>
          <w:szCs w:val="18"/>
          <w:i w:val="1"/>
          <w:iCs w:val="1"/>
          <w:color w:val="auto"/>
        </w:rPr>
        <w:t>A Remarkable Place to Die; The Gone,</w:t>
      </w:r>
      <w:r>
        <w:rPr>
          <w:rFonts w:ascii="Times New Roman" w:cs="Times New Roman" w:eastAsia="Times New Roman" w:hAnsi="Times New Roman"/>
          <w:sz w:val="18"/>
          <w:szCs w:val="18"/>
          <w:color w:val="auto"/>
        </w:rPr>
        <w:t xml:space="preserve"> an all-new unscripted investigative genealogy series hosted by acclaimed Emmy- and Golden Globe winning actress Jane Seymour, who is also star and executive producer of fan favorite </w:t>
      </w:r>
      <w:r>
        <w:rPr>
          <w:rFonts w:ascii="Times New Roman" w:cs="Times New Roman" w:eastAsia="Times New Roman" w:hAnsi="Times New Roman"/>
          <w:sz w:val="18"/>
          <w:szCs w:val="18"/>
          <w:i w:val="1"/>
          <w:iCs w:val="1"/>
          <w:color w:val="auto"/>
        </w:rPr>
        <w:t>Harry Wild;</w:t>
      </w:r>
      <w:r>
        <w:rPr>
          <w:rFonts w:ascii="Times New Roman" w:cs="Times New Roman" w:eastAsia="Times New Roman" w:hAnsi="Times New Roman"/>
          <w:sz w:val="18"/>
          <w:szCs w:val="18"/>
          <w:color w:val="auto"/>
        </w:rPr>
        <w:t xml:space="preserve"> new seasons of long-running detective drama </w:t>
      </w:r>
      <w:r>
        <w:rPr>
          <w:rFonts w:ascii="Times New Roman" w:cs="Times New Roman" w:eastAsia="Times New Roman" w:hAnsi="Times New Roman"/>
          <w:sz w:val="18"/>
          <w:szCs w:val="18"/>
          <w:i w:val="1"/>
          <w:iCs w:val="1"/>
          <w:color w:val="auto"/>
        </w:rPr>
        <w:t>The Brokenwood Mysteries; Dalgliesh,</w:t>
      </w:r>
      <w:r>
        <w:rPr>
          <w:rFonts w:ascii="Times New Roman" w:cs="Times New Roman" w:eastAsia="Times New Roman" w:hAnsi="Times New Roman"/>
          <w:sz w:val="18"/>
          <w:szCs w:val="18"/>
          <w:color w:val="auto"/>
        </w:rPr>
        <w:t xml:space="preserve"> based on the best-selling novels by PD James; </w:t>
      </w:r>
      <w:r>
        <w:rPr>
          <w:rFonts w:ascii="Times New Roman" w:cs="Times New Roman" w:eastAsia="Times New Roman" w:hAnsi="Times New Roman"/>
          <w:sz w:val="18"/>
          <w:szCs w:val="18"/>
          <w:i w:val="1"/>
          <w:iCs w:val="1"/>
          <w:color w:val="auto"/>
        </w:rPr>
        <w:t>The Madame Blanc Mysteries;</w:t>
      </w:r>
      <w:r>
        <w:rPr>
          <w:rFonts w:ascii="Times New Roman" w:cs="Times New Roman" w:eastAsia="Times New Roman" w:hAnsi="Times New Roman"/>
          <w:sz w:val="18"/>
          <w:szCs w:val="18"/>
          <w:color w:val="auto"/>
        </w:rPr>
        <w:t xml:space="preserve"> international favorites such as </w:t>
      </w:r>
      <w:r>
        <w:rPr>
          <w:rFonts w:ascii="Times New Roman" w:cs="Times New Roman" w:eastAsia="Times New Roman" w:hAnsi="Times New Roman"/>
          <w:sz w:val="18"/>
          <w:szCs w:val="18"/>
          <w:i w:val="1"/>
          <w:iCs w:val="1"/>
          <w:color w:val="auto"/>
        </w:rPr>
        <w:t>Darby and Joan</w:t>
      </w:r>
      <w:r>
        <w:rPr>
          <w:rFonts w:ascii="Times New Roman" w:cs="Times New Roman" w:eastAsia="Times New Roman" w:hAnsi="Times New Roman"/>
          <w:sz w:val="18"/>
          <w:szCs w:val="18"/>
          <w:color w:val="auto"/>
        </w:rPr>
        <w:t xml:space="preserve"> and the South African production </w:t>
      </w:r>
      <w:r>
        <w:rPr>
          <w:rFonts w:ascii="Times New Roman" w:cs="Times New Roman" w:eastAsia="Times New Roman" w:hAnsi="Times New Roman"/>
          <w:sz w:val="18"/>
          <w:szCs w:val="18"/>
          <w:i w:val="1"/>
          <w:iCs w:val="1"/>
          <w:color w:val="auto"/>
        </w:rPr>
        <w:t>Recipes for Love &amp; Murder;</w:t>
      </w:r>
      <w:r>
        <w:rPr>
          <w:rFonts w:ascii="Times New Roman" w:cs="Times New Roman" w:eastAsia="Times New Roman" w:hAnsi="Times New Roman"/>
          <w:sz w:val="18"/>
          <w:szCs w:val="18"/>
          <w:color w:val="auto"/>
        </w:rPr>
        <w:t xml:space="preserve"> and the New Zealand set </w:t>
      </w:r>
      <w:r>
        <w:rPr>
          <w:rFonts w:ascii="Times New Roman" w:cs="Times New Roman" w:eastAsia="Times New Roman" w:hAnsi="Times New Roman"/>
          <w:sz w:val="18"/>
          <w:szCs w:val="18"/>
          <w:i w:val="1"/>
          <w:iCs w:val="1"/>
          <w:color w:val="auto"/>
        </w:rPr>
        <w:t>My Life Is Murder</w:t>
      </w:r>
      <w:r>
        <w:rPr>
          <w:rFonts w:ascii="Times New Roman" w:cs="Times New Roman" w:eastAsia="Times New Roman" w:hAnsi="Times New Roman"/>
          <w:sz w:val="18"/>
          <w:szCs w:val="18"/>
          <w:color w:val="auto"/>
        </w:rPr>
        <w:t xml:space="preserve"> starring Lucy Lawless, among others.</w:t>
      </w:r>
    </w:p>
    <w:p>
      <w:pPr>
        <w:spacing w:after="0" w:line="7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2025, Acorn TV’s programming slate also featured three new series headlined by all-star talent: </w:t>
      </w:r>
      <w:r>
        <w:rPr>
          <w:rFonts w:ascii="Times New Roman" w:cs="Times New Roman" w:eastAsia="Times New Roman" w:hAnsi="Times New Roman"/>
          <w:sz w:val="18"/>
          <w:szCs w:val="18"/>
          <w:i w:val="1"/>
          <w:iCs w:val="1"/>
          <w:color w:val="auto"/>
        </w:rPr>
        <w:t>Irish Blood</w:t>
      </w:r>
      <w:r>
        <w:rPr>
          <w:rFonts w:ascii="Times New Roman" w:cs="Times New Roman" w:eastAsia="Times New Roman" w:hAnsi="Times New Roman"/>
          <w:sz w:val="18"/>
          <w:szCs w:val="18"/>
          <w:color w:val="auto"/>
        </w:rPr>
        <w:t xml:space="preserve">, starring and executive produced by Alicia Silverstone; </w:t>
      </w:r>
      <w:r>
        <w:rPr>
          <w:rFonts w:ascii="Times New Roman" w:cs="Times New Roman" w:eastAsia="Times New Roman" w:hAnsi="Times New Roman"/>
          <w:sz w:val="18"/>
          <w:szCs w:val="18"/>
          <w:i w:val="1"/>
          <w:iCs w:val="1"/>
          <w:color w:val="auto"/>
        </w:rPr>
        <w:t>Art Detectives</w:t>
      </w:r>
      <w:r>
        <w:rPr>
          <w:rFonts w:ascii="Times New Roman" w:cs="Times New Roman" w:eastAsia="Times New Roman" w:hAnsi="Times New Roman"/>
          <w:sz w:val="18"/>
          <w:szCs w:val="18"/>
          <w:color w:val="auto"/>
        </w:rPr>
        <w:t xml:space="preserve"> starring </w:t>
      </w:r>
      <w:r>
        <w:rPr>
          <w:rFonts w:ascii="Times New Roman" w:cs="Times New Roman" w:eastAsia="Times New Roman" w:hAnsi="Times New Roman"/>
          <w:sz w:val="18"/>
          <w:szCs w:val="18"/>
          <w:i w:val="1"/>
          <w:iCs w:val="1"/>
          <w:color w:val="auto"/>
        </w:rPr>
        <w:t>True Blood</w:t>
      </w:r>
      <w:r>
        <w:rPr>
          <w:rFonts w:ascii="Times New Roman" w:cs="Times New Roman" w:eastAsia="Times New Roman" w:hAnsi="Times New Roman"/>
          <w:sz w:val="18"/>
          <w:szCs w:val="18"/>
          <w:color w:val="auto"/>
        </w:rPr>
        <w:t xml:space="preserve">’s Stephen Moyer and </w:t>
      </w:r>
      <w:r>
        <w:rPr>
          <w:rFonts w:ascii="Times New Roman" w:cs="Times New Roman" w:eastAsia="Times New Roman" w:hAnsi="Times New Roman"/>
          <w:sz w:val="18"/>
          <w:szCs w:val="18"/>
          <w:i w:val="1"/>
          <w:iCs w:val="1"/>
          <w:color w:val="auto"/>
        </w:rPr>
        <w:t>Murder Before Evensong,</w:t>
      </w:r>
      <w:r>
        <w:rPr>
          <w:rFonts w:ascii="Times New Roman" w:cs="Times New Roman" w:eastAsia="Times New Roman" w:hAnsi="Times New Roman"/>
          <w:sz w:val="18"/>
          <w:szCs w:val="18"/>
          <w:color w:val="auto"/>
        </w:rPr>
        <w:t xml:space="preserve"> which is based on the first novel in the </w:t>
      </w:r>
      <w:r>
        <w:rPr>
          <w:rFonts w:ascii="Times New Roman" w:cs="Times New Roman" w:eastAsia="Times New Roman" w:hAnsi="Times New Roman"/>
          <w:sz w:val="18"/>
          <w:szCs w:val="18"/>
          <w:i w:val="1"/>
          <w:iCs w:val="1"/>
          <w:color w:val="auto"/>
        </w:rPr>
        <w:t>Sunday Times</w:t>
      </w:r>
      <w:r>
        <w:rPr>
          <w:rFonts w:ascii="Times New Roman" w:cs="Times New Roman" w:eastAsia="Times New Roman" w:hAnsi="Times New Roman"/>
          <w:sz w:val="18"/>
          <w:szCs w:val="18"/>
          <w:color w:val="auto"/>
        </w:rPr>
        <w:t xml:space="preserve"> best-selling series by British author The Reverend Richard Coles and stars Matthew Lewis of the </w:t>
      </w:r>
      <w:r>
        <w:rPr>
          <w:rFonts w:ascii="Times New Roman" w:cs="Times New Roman" w:eastAsia="Times New Roman" w:hAnsi="Times New Roman"/>
          <w:sz w:val="18"/>
          <w:szCs w:val="18"/>
          <w:i w:val="1"/>
          <w:iCs w:val="1"/>
          <w:color w:val="auto"/>
        </w:rPr>
        <w:t>Harry Potter</w:t>
      </w:r>
      <w:r>
        <w:rPr>
          <w:rFonts w:ascii="Times New Roman" w:cs="Times New Roman" w:eastAsia="Times New Roman" w:hAnsi="Times New Roman"/>
          <w:sz w:val="18"/>
          <w:szCs w:val="18"/>
          <w:color w:val="auto"/>
        </w:rPr>
        <w:t xml:space="preserve"> franchise.</w:t>
      </w:r>
    </w:p>
    <w:p>
      <w:pPr>
        <w:spacing w:after="0" w:line="71" w:lineRule="exact"/>
        <w:rPr>
          <w:rFonts w:ascii="Times New Roman" w:cs="Times New Roman" w:eastAsia="Times New Roman" w:hAnsi="Times New Roman"/>
          <w:sz w:val="18"/>
          <w:szCs w:val="18"/>
          <w:color w:val="auto"/>
        </w:rPr>
      </w:pPr>
    </w:p>
    <w:p>
      <w:pPr>
        <w:ind w:left="980" w:hanging="486"/>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2025, Acorn TV’s new series </w:t>
      </w:r>
      <w:r>
        <w:rPr>
          <w:rFonts w:ascii="Times New Roman" w:cs="Times New Roman" w:eastAsia="Times New Roman" w:hAnsi="Times New Roman"/>
          <w:sz w:val="18"/>
          <w:szCs w:val="18"/>
          <w:i w:val="1"/>
          <w:iCs w:val="1"/>
          <w:color w:val="auto"/>
        </w:rPr>
        <w:t>Irish Blood</w:t>
      </w:r>
      <w:r>
        <w:rPr>
          <w:rFonts w:ascii="Times New Roman" w:cs="Times New Roman" w:eastAsia="Times New Roman" w:hAnsi="Times New Roman"/>
          <w:sz w:val="18"/>
          <w:szCs w:val="18"/>
          <w:color w:val="auto"/>
        </w:rPr>
        <w:t xml:space="preserve"> was the service's largest acquisition driver to date. In addition, </w:t>
      </w:r>
      <w:r>
        <w:rPr>
          <w:rFonts w:ascii="Times New Roman" w:cs="Times New Roman" w:eastAsia="Times New Roman" w:hAnsi="Times New Roman"/>
          <w:sz w:val="18"/>
          <w:szCs w:val="18"/>
          <w:i w:val="1"/>
          <w:iCs w:val="1"/>
          <w:color w:val="auto"/>
        </w:rPr>
        <w:t>Irish Blood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Art Detectives,</w:t>
      </w:r>
      <w:r>
        <w:rPr>
          <w:rFonts w:ascii="Times New Roman" w:cs="Times New Roman" w:eastAsia="Times New Roman" w:hAnsi="Times New Roman"/>
          <w:sz w:val="18"/>
          <w:szCs w:val="18"/>
          <w:color w:val="auto"/>
        </w:rPr>
        <w:t xml:space="preserve"> which debuted a month earlier, were Acorn TV's two most watched series of all time.</w:t>
      </w:r>
    </w:p>
    <w:p>
      <w:pPr>
        <w:spacing w:after="0" w:line="50" w:lineRule="exact"/>
        <w:rPr>
          <w:rFonts w:ascii="Times New Roman" w:cs="Times New Roman" w:eastAsia="Times New Roman" w:hAnsi="Times New Roman"/>
          <w:sz w:val="18"/>
          <w:szCs w:val="18"/>
          <w:color w:val="auto"/>
        </w:rPr>
      </w:pPr>
    </w:p>
    <w:p>
      <w:pPr>
        <w:ind w:left="980" w:hanging="486"/>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2025, Acorn TV launched its first-ever programming event, </w:t>
      </w:r>
      <w:r>
        <w:rPr>
          <w:rFonts w:ascii="Times New Roman" w:cs="Times New Roman" w:eastAsia="Times New Roman" w:hAnsi="Times New Roman"/>
          <w:sz w:val="18"/>
          <w:szCs w:val="18"/>
          <w:i w:val="1"/>
          <w:iCs w:val="1"/>
          <w:color w:val="auto"/>
        </w:rPr>
        <w:t>Murder Mystery May</w:t>
      </w:r>
      <w:r>
        <w:rPr>
          <w:rFonts w:ascii="Times New Roman" w:cs="Times New Roman" w:eastAsia="Times New Roman" w:hAnsi="Times New Roman"/>
          <w:sz w:val="18"/>
          <w:szCs w:val="18"/>
          <w:color w:val="auto"/>
        </w:rPr>
        <w:t>, delivering more than 20 million hours watched and a multi-year high in subscriber acquisition. The inaugural event kicked off a summer of new premieres for Acorn TV.</w:t>
      </w:r>
    </w:p>
    <w:p>
      <w:pPr>
        <w:spacing w:after="0" w:line="50" w:lineRule="exact"/>
        <w:rPr>
          <w:rFonts w:ascii="Times New Roman" w:cs="Times New Roman" w:eastAsia="Times New Roman" w:hAnsi="Times New Roman"/>
          <w:sz w:val="18"/>
          <w:szCs w:val="18"/>
          <w:color w:val="auto"/>
        </w:rPr>
      </w:pPr>
    </w:p>
    <w:p>
      <w:pPr>
        <w:jc w:val="both"/>
        <w:ind w:left="980" w:hanging="486"/>
        <w:spacing w:after="0" w:line="26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Fan favorite hit series returning in 2026 include </w:t>
      </w:r>
      <w:r>
        <w:rPr>
          <w:rFonts w:ascii="Times New Roman" w:cs="Times New Roman" w:eastAsia="Times New Roman" w:hAnsi="Times New Roman"/>
          <w:sz w:val="18"/>
          <w:szCs w:val="18"/>
          <w:i w:val="1"/>
          <w:iCs w:val="1"/>
          <w:color w:val="auto"/>
        </w:rPr>
        <w:t>Hidden Assets, The Brokenwood Mysteries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Murdoch Mysteries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Chelsea Detective</w:t>
      </w:r>
      <w:r>
        <w:rPr>
          <w:rFonts w:ascii="Times New Roman" w:cs="Times New Roman" w:eastAsia="Times New Roman" w:hAnsi="Times New Roman"/>
          <w:sz w:val="18"/>
          <w:szCs w:val="18"/>
          <w:color w:val="auto"/>
        </w:rPr>
        <w:t xml:space="preserve">, the Italian set </w:t>
      </w:r>
      <w:r>
        <w:rPr>
          <w:rFonts w:ascii="Times New Roman" w:cs="Times New Roman" w:eastAsia="Times New Roman" w:hAnsi="Times New Roman"/>
          <w:sz w:val="18"/>
          <w:szCs w:val="18"/>
          <w:i w:val="1"/>
          <w:iCs w:val="1"/>
          <w:color w:val="auto"/>
        </w:rPr>
        <w:t>Signora Volpe</w:t>
      </w:r>
      <w:r>
        <w:rPr>
          <w:rFonts w:ascii="Times New Roman" w:cs="Times New Roman" w:eastAsia="Times New Roman" w:hAnsi="Times New Roman"/>
          <w:sz w:val="18"/>
          <w:szCs w:val="18"/>
          <w:color w:val="auto"/>
        </w:rPr>
        <w:t xml:space="preserve"> starring Emilia Fox and the return of breakout series </w:t>
      </w:r>
      <w:r>
        <w:rPr>
          <w:rFonts w:ascii="Times New Roman" w:cs="Times New Roman" w:eastAsia="Times New Roman" w:hAnsi="Times New Roman"/>
          <w:sz w:val="18"/>
          <w:szCs w:val="18"/>
          <w:i w:val="1"/>
          <w:iCs w:val="1"/>
          <w:color w:val="auto"/>
        </w:rPr>
        <w:t>Inspector Ellis</w:t>
      </w:r>
      <w:r>
        <w:rPr>
          <w:rFonts w:ascii="Times New Roman" w:cs="Times New Roman" w:eastAsia="Times New Roman" w:hAnsi="Times New Roman"/>
          <w:sz w:val="18"/>
          <w:szCs w:val="18"/>
          <w:color w:val="auto"/>
        </w:rPr>
        <w:t xml:space="preserve"> starring Olivier Award winner Sharon D. Clarke, among others.</w:t>
      </w:r>
    </w:p>
    <w:p>
      <w:pPr>
        <w:spacing w:after="0" w:line="65" w:lineRule="exact"/>
        <w:rPr>
          <w:rFonts w:ascii="Times New Roman" w:cs="Times New Roman" w:eastAsia="Times New Roman" w:hAnsi="Times New Roman"/>
          <w:sz w:val="18"/>
          <w:szCs w:val="18"/>
          <w:color w:val="auto"/>
        </w:rPr>
      </w:pPr>
    </w:p>
    <w:p>
      <w:pPr>
        <w:ind w:left="980" w:right="20" w:hanging="486"/>
        <w:spacing w:after="0" w:line="284"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2026, Acorn TV is set to debut the highly anticipated Brooke Shields-led mystery series </w:t>
      </w:r>
      <w:r>
        <w:rPr>
          <w:rFonts w:ascii="Times New Roman" w:cs="Times New Roman" w:eastAsia="Times New Roman" w:hAnsi="Times New Roman"/>
          <w:sz w:val="18"/>
          <w:szCs w:val="18"/>
          <w:i w:val="1"/>
          <w:iCs w:val="1"/>
          <w:color w:val="auto"/>
        </w:rPr>
        <w:t>You’re Killing Me</w:t>
      </w:r>
      <w:r>
        <w:rPr>
          <w:rFonts w:ascii="Times New Roman" w:cs="Times New Roman" w:eastAsia="Times New Roman" w:hAnsi="Times New Roman"/>
          <w:sz w:val="18"/>
          <w:szCs w:val="18"/>
          <w:color w:val="auto"/>
        </w:rPr>
        <w:t xml:space="preserve">, also starring Golden Globe-nominated Tom Cavanaugh and up-and-coming Amalia Williamson from the hit series </w:t>
      </w:r>
      <w:r>
        <w:rPr>
          <w:rFonts w:ascii="Times New Roman" w:cs="Times New Roman" w:eastAsia="Times New Roman" w:hAnsi="Times New Roman"/>
          <w:sz w:val="18"/>
          <w:szCs w:val="18"/>
          <w:i w:val="1"/>
          <w:iCs w:val="1"/>
          <w:color w:val="auto"/>
        </w:rPr>
        <w:t>Sullivan’s Crossing</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Acorn TV is currently available in key international markets including Canada, the U.K., Australia, New Zealand, and parts of Europe.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01F1E"/>
        </w:rPr>
        <w:t>Called “one of the best streaming services in the world” by RogerEbert.com, Shudder offers a premium selection in genre entertainment covering horror, thrillers and the supernatural, bringing subscribers Hollywood favorites, cult classics, original series, and a critically acclaimed slate of new and exclusive genre films.</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was the service’s 10-year anniversary and a decade of the best in horror was marked with a year-long celebration of killer films and series, special fan events, a nationwide screening tour, custom fan giveaways and more.</w:t>
      </w:r>
    </w:p>
    <w:p>
      <w:pPr>
        <w:spacing w:after="0" w:line="51" w:lineRule="exact"/>
        <w:rPr>
          <w:rFonts w:ascii="Times New Roman" w:cs="Times New Roman" w:eastAsia="Times New Roman" w:hAnsi="Times New Roman"/>
          <w:sz w:val="18"/>
          <w:szCs w:val="18"/>
          <w:color w:val="auto"/>
        </w:rPr>
      </w:pPr>
    </w:p>
    <w:p>
      <w:pPr>
        <w:jc w:val="both"/>
        <w:ind w:left="980" w:hanging="486"/>
        <w:spacing w:after="0" w:line="267"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Programming highlights included critic and audience hits </w:t>
      </w:r>
      <w:r>
        <w:rPr>
          <w:rFonts w:ascii="Times New Roman" w:cs="Times New Roman" w:eastAsia="Times New Roman" w:hAnsi="Times New Roman"/>
          <w:sz w:val="18"/>
          <w:szCs w:val="18"/>
          <w:i w:val="1"/>
          <w:iCs w:val="1"/>
          <w:color w:val="auto"/>
        </w:rPr>
        <w:t>Ash, Clown in a Cornfield, Dangerous Animals, House on Eden,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V/H/S/HALLOWEEN, </w:t>
      </w:r>
      <w:r>
        <w:rPr>
          <w:rFonts w:ascii="Times New Roman" w:cs="Times New Roman" w:eastAsia="Times New Roman" w:hAnsi="Times New Roman"/>
          <w:sz w:val="18"/>
          <w:szCs w:val="18"/>
          <w:color w:val="auto"/>
        </w:rPr>
        <w:t>the popular limited series</w:t>
      </w:r>
      <w:r>
        <w:rPr>
          <w:rFonts w:ascii="Times New Roman" w:cs="Times New Roman" w:eastAsia="Times New Roman" w:hAnsi="Times New Roman"/>
          <w:sz w:val="18"/>
          <w:szCs w:val="18"/>
          <w:i w:val="1"/>
          <w:iCs w:val="1"/>
          <w:color w:val="auto"/>
        </w:rPr>
        <w:t xml:space="preserve"> Hell Motel</w:t>
      </w:r>
      <w:r>
        <w:rPr>
          <w:rFonts w:ascii="Times New Roman" w:cs="Times New Roman" w:eastAsia="Times New Roman" w:hAnsi="Times New Roman"/>
          <w:sz w:val="18"/>
          <w:szCs w:val="18"/>
          <w:color w:val="auto"/>
        </w:rPr>
        <w:t>, starring Emmy-winner Eric McCormack, a second season of the hit found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footage anthology series </w:t>
      </w:r>
      <w:r>
        <w:rPr>
          <w:rFonts w:ascii="Times New Roman" w:cs="Times New Roman" w:eastAsia="Times New Roman" w:hAnsi="Times New Roman"/>
          <w:sz w:val="18"/>
          <w:szCs w:val="18"/>
          <w:i w:val="1"/>
          <w:iCs w:val="1"/>
          <w:color w:val="auto"/>
        </w:rPr>
        <w:t>The Creep Tapes,</w:t>
      </w:r>
      <w:r>
        <w:rPr>
          <w:rFonts w:ascii="Times New Roman" w:cs="Times New Roman" w:eastAsia="Times New Roman" w:hAnsi="Times New Roman"/>
          <w:sz w:val="18"/>
          <w:szCs w:val="18"/>
          <w:color w:val="auto"/>
        </w:rPr>
        <w:t xml:space="preserve"> a new season of fan favorite </w:t>
      </w:r>
      <w:r>
        <w:rPr>
          <w:rFonts w:ascii="Times New Roman" w:cs="Times New Roman" w:eastAsia="Times New Roman" w:hAnsi="Times New Roman"/>
          <w:sz w:val="18"/>
          <w:szCs w:val="18"/>
          <w:i w:val="1"/>
          <w:iCs w:val="1"/>
          <w:color w:val="auto"/>
        </w:rPr>
        <w:t>The Boulet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1714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-1565275</wp:posOffset>
            </wp:positionV>
            <wp:extent cx="123444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34440" cy="196850"/>
                    </a:xfrm>
                    <a:prstGeom prst="rect">
                      <a:avLst/>
                    </a:prstGeom>
                    <a:noFill/>
                  </pic:spPr>
                </pic:pic>
              </a:graphicData>
            </a:graphic>
          </wp:anchor>
        </w:drawing>
      </w:r>
    </w:p>
    <w:p>
      <w:pPr>
        <w:spacing w:after="0" w:line="259" w:lineRule="exact"/>
        <w:rPr>
          <w:sz w:val="20"/>
          <w:szCs w:val="20"/>
          <w:color w:val="auto"/>
        </w:rPr>
      </w:pPr>
    </w:p>
    <w:p>
      <w:pPr>
        <w:ind w:right="700" w:firstLine="8"/>
        <w:spacing w:after="0" w:line="205" w:lineRule="auto"/>
        <w:tabs>
          <w:tab w:leader="none" w:pos="103"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 streaming subscriber is a subscriber who registers on an a la carte basis and from whom we receive a fee, for one of our streaming services directly through our direct-to-consumer applications or indirectly through one of our streaming platform arrangements.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ind w:left="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Brothers’ Dragula </w:t>
      </w:r>
      <w:r>
        <w:rPr>
          <w:rFonts w:ascii="Times New Roman" w:cs="Times New Roman" w:eastAsia="Times New Roman" w:hAnsi="Times New Roman"/>
          <w:sz w:val="18"/>
          <w:szCs w:val="18"/>
          <w:color w:val="auto"/>
        </w:rPr>
        <w:t>and the launch of</w:t>
      </w:r>
      <w:r>
        <w:rPr>
          <w:rFonts w:ascii="Times New Roman" w:cs="Times New Roman" w:eastAsia="Times New Roman" w:hAnsi="Times New Roman"/>
          <w:sz w:val="18"/>
          <w:szCs w:val="18"/>
          <w:i w:val="1"/>
          <w:iCs w:val="1"/>
          <w:color w:val="auto"/>
        </w:rPr>
        <w:t xml:space="preserve"> Guts &amp; Glory, </w:t>
      </w:r>
      <w:r>
        <w:rPr>
          <w:rFonts w:ascii="Times New Roman" w:cs="Times New Roman" w:eastAsia="Times New Roman" w:hAnsi="Times New Roman"/>
          <w:sz w:val="18"/>
          <w:szCs w:val="18"/>
          <w:color w:val="auto"/>
        </w:rPr>
        <w:t>a new unscripted horror-based competition series from award-winning special effects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artist and executive producer, Greg Nicotero.</w:t>
      </w:r>
    </w:p>
    <w:p>
      <w:pPr>
        <w:spacing w:after="0" w:line="52" w:lineRule="exact"/>
        <w:rPr>
          <w:sz w:val="20"/>
          <w:szCs w:val="20"/>
          <w:color w:val="auto"/>
        </w:rPr>
      </w:pPr>
    </w:p>
    <w:p>
      <w:pPr>
        <w:jc w:val="both"/>
        <w:ind w:left="486" w:hanging="486"/>
        <w:spacing w:after="0" w:line="266"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Shudder’s annual programming events included “Halfway to Halloween,” a month-long event featuring new movies, series and specials and “Season of Screams,” a three-month programming event surrounding Halloween featuring live events, watch parties and new releases every week.</w:t>
      </w:r>
    </w:p>
    <w:p>
      <w:pPr>
        <w:spacing w:after="0" w:line="67" w:lineRule="exact"/>
        <w:rPr>
          <w:rFonts w:ascii="Times New Roman" w:cs="Times New Roman" w:eastAsia="Times New Roman" w:hAnsi="Times New Roman"/>
          <w:sz w:val="18"/>
          <w:szCs w:val="18"/>
          <w:color w:val="auto"/>
        </w:rPr>
      </w:pPr>
    </w:p>
    <w:p>
      <w:pPr>
        <w:ind w:left="486" w:hanging="486"/>
        <w:spacing w:after="0"/>
        <w:tabs>
          <w:tab w:leader="none" w:pos="4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Shudder is currently available in several international markets including Canada, the U.K., Ireland, Australia and New Zealand.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86" w:hanging="486"/>
        <w:spacing w:after="0" w:line="282"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Sundance Now featured a rich selection of engrossing dramas, imaginative fantasy, gripping mysteries and true crime, riveting documentaries and intelligent thrillers from gifted storytellers around the world.</w:t>
      </w:r>
    </w:p>
    <w:p>
      <w:pPr>
        <w:spacing w:after="0" w:line="51" w:lineRule="exact"/>
        <w:rPr>
          <w:rFonts w:ascii="Times New Roman" w:cs="Times New Roman" w:eastAsia="Times New Roman" w:hAnsi="Times New Roman"/>
          <w:sz w:val="18"/>
          <w:szCs w:val="18"/>
          <w:color w:val="auto"/>
        </w:rPr>
      </w:pPr>
    </w:p>
    <w:p>
      <w:pPr>
        <w:jc w:val="both"/>
        <w:ind w:left="486" w:hanging="486"/>
        <w:spacing w:after="0" w:line="267"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2025, the service offered a strong slate of both original and acquired series, including </w:t>
      </w:r>
      <w:r>
        <w:rPr>
          <w:rFonts w:ascii="Times New Roman" w:cs="Times New Roman" w:eastAsia="Times New Roman" w:hAnsi="Times New Roman"/>
          <w:sz w:val="18"/>
          <w:szCs w:val="18"/>
          <w:i w:val="1"/>
          <w:iCs w:val="1"/>
          <w:color w:val="auto"/>
        </w:rPr>
        <w:t>White Lies</w:t>
      </w:r>
      <w:r>
        <w:rPr>
          <w:rFonts w:ascii="Times New Roman" w:cs="Times New Roman" w:eastAsia="Times New Roman" w:hAnsi="Times New Roman"/>
          <w:sz w:val="18"/>
          <w:szCs w:val="18"/>
          <w:color w:val="auto"/>
        </w:rPr>
        <w:t xml:space="preserve"> starring Natalie Dormer, </w:t>
      </w:r>
      <w:r>
        <w:rPr>
          <w:rFonts w:ascii="Times New Roman" w:cs="Times New Roman" w:eastAsia="Times New Roman" w:hAnsi="Times New Roman"/>
          <w:sz w:val="18"/>
          <w:szCs w:val="18"/>
          <w:i w:val="1"/>
          <w:iCs w:val="1"/>
          <w:color w:val="auto"/>
        </w:rPr>
        <w:t>The Newsreader</w:t>
      </w:r>
      <w:r>
        <w:rPr>
          <w:rFonts w:ascii="Times New Roman" w:cs="Times New Roman" w:eastAsia="Times New Roman" w:hAnsi="Times New Roman"/>
          <w:sz w:val="18"/>
          <w:szCs w:val="18"/>
          <w:color w:val="auto"/>
        </w:rPr>
        <w:t xml:space="preserve"> with Sam Reid and Anna Torv, and gripping true crime series such as </w:t>
      </w:r>
      <w:r>
        <w:rPr>
          <w:rFonts w:ascii="Times New Roman" w:cs="Times New Roman" w:eastAsia="Times New Roman" w:hAnsi="Times New Roman"/>
          <w:sz w:val="18"/>
          <w:szCs w:val="18"/>
          <w:i w:val="1"/>
          <w:iCs w:val="1"/>
          <w:color w:val="auto"/>
        </w:rPr>
        <w:t>The Furry Detectives: Unmasking a Monster</w:t>
      </w:r>
      <w:r>
        <w:rPr>
          <w:rFonts w:ascii="Times New Roman" w:cs="Times New Roman" w:eastAsia="Times New Roman" w:hAnsi="Times New Roman"/>
          <w:sz w:val="18"/>
          <w:szCs w:val="18"/>
          <w:color w:val="auto"/>
        </w:rPr>
        <w:t xml:space="preserve">, which made its world premiere at Tribeca Festival, as well as the </w:t>
      </w:r>
      <w:r>
        <w:rPr>
          <w:rFonts w:ascii="Times New Roman" w:cs="Times New Roman" w:eastAsia="Times New Roman" w:hAnsi="Times New Roman"/>
          <w:sz w:val="18"/>
          <w:szCs w:val="18"/>
          <w:i w:val="1"/>
          <w:iCs w:val="1"/>
          <w:color w:val="auto"/>
        </w:rPr>
        <w:t>Killer Clown: Murder at the Doorstep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Butchers of L.A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486" w:hanging="486"/>
        <w:spacing w:after="0" w:line="266"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2026, Sundance Now is expected to relaunch as a premier streaming destination for independent film, with an enhanced platform featuring more than 1,000 hours of critically acclaimed dramas, documentaries and arthouse films curated by and for film enthusiasts, new monthly theatrical releases, and festival favorites and more at the 2026 Sundance Film Festival where the streaming service is an official sponsor.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486" w:right="20" w:hanging="486"/>
        <w:spacing w:after="0" w:line="281" w:lineRule="auto"/>
        <w:tabs>
          <w:tab w:leader="none" w:pos="481"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212121"/>
        </w:rPr>
        <w:t>ALLBLK is focused on content from the Black perspective utilizing but not limited to Black creators, storytellers, cast and crew. An invitation to a world of streaming entertainment that is inclusively, but unapologetically – Black.</w:t>
      </w:r>
    </w:p>
    <w:p>
      <w:pPr>
        <w:spacing w:after="0" w:line="54" w:lineRule="exact"/>
        <w:rPr>
          <w:rFonts w:ascii="Arial" w:cs="Arial" w:eastAsia="Arial" w:hAnsi="Arial"/>
          <w:sz w:val="18"/>
          <w:szCs w:val="18"/>
          <w:color w:val="auto"/>
        </w:rPr>
      </w:pPr>
    </w:p>
    <w:p>
      <w:pPr>
        <w:jc w:val="both"/>
        <w:ind w:left="486" w:right="20" w:hanging="486"/>
        <w:spacing w:after="0" w:line="266"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Featuring a diverse lineup of content that spans genres and generations, ALLBLK premiered several new series, films and specials in 2025, including new coming-of-age drama series </w:t>
      </w:r>
      <w:r>
        <w:rPr>
          <w:rFonts w:ascii="Times New Roman" w:cs="Times New Roman" w:eastAsia="Times New Roman" w:hAnsi="Times New Roman"/>
          <w:sz w:val="18"/>
          <w:szCs w:val="18"/>
          <w:i w:val="1"/>
          <w:iCs w:val="1"/>
          <w:color w:val="auto"/>
        </w:rPr>
        <w:t>G.R.I.T.S.,</w:t>
      </w:r>
      <w:r>
        <w:rPr>
          <w:rFonts w:ascii="Times New Roman" w:cs="Times New Roman" w:eastAsia="Times New Roman" w:hAnsi="Times New Roman"/>
          <w:sz w:val="18"/>
          <w:szCs w:val="18"/>
          <w:color w:val="auto"/>
        </w:rPr>
        <w:t xml:space="preserve"> new original series </w:t>
      </w:r>
      <w:r>
        <w:rPr>
          <w:rFonts w:ascii="Times New Roman" w:cs="Times New Roman" w:eastAsia="Times New Roman" w:hAnsi="Times New Roman"/>
          <w:sz w:val="18"/>
          <w:szCs w:val="18"/>
          <w:i w:val="1"/>
          <w:iCs w:val="1"/>
          <w:color w:val="auto"/>
        </w:rPr>
        <w:t>Conspirators,</w:t>
      </w:r>
      <w:r>
        <w:rPr>
          <w:rFonts w:ascii="Times New Roman" w:cs="Times New Roman" w:eastAsia="Times New Roman" w:hAnsi="Times New Roman"/>
          <w:sz w:val="18"/>
          <w:szCs w:val="18"/>
          <w:color w:val="auto"/>
        </w:rPr>
        <w:t xml:space="preserve"> new seasons of hit reality series </w:t>
      </w:r>
      <w:r>
        <w:rPr>
          <w:rFonts w:ascii="Times New Roman" w:cs="Times New Roman" w:eastAsia="Times New Roman" w:hAnsi="Times New Roman"/>
          <w:sz w:val="18"/>
          <w:szCs w:val="18"/>
          <w:i w:val="1"/>
          <w:iCs w:val="1"/>
          <w:color w:val="auto"/>
        </w:rPr>
        <w:t>Toya &amp; Reginae</w:t>
      </w:r>
      <w:r>
        <w:rPr>
          <w:rFonts w:ascii="Times New Roman" w:cs="Times New Roman" w:eastAsia="Times New Roman" w:hAnsi="Times New Roman"/>
          <w:sz w:val="18"/>
          <w:szCs w:val="18"/>
          <w:color w:val="auto"/>
        </w:rPr>
        <w:t xml:space="preserve"> and music competition series </w:t>
      </w:r>
      <w:r>
        <w:rPr>
          <w:rFonts w:ascii="Times New Roman" w:cs="Times New Roman" w:eastAsia="Times New Roman" w:hAnsi="Times New Roman"/>
          <w:sz w:val="18"/>
          <w:szCs w:val="18"/>
          <w:i w:val="1"/>
          <w:iCs w:val="1"/>
          <w:color w:val="auto"/>
        </w:rPr>
        <w:t>Deb’s House</w:t>
      </w:r>
      <w:r>
        <w:rPr>
          <w:rFonts w:ascii="Times New Roman" w:cs="Times New Roman" w:eastAsia="Times New Roman" w:hAnsi="Times New Roman"/>
          <w:sz w:val="18"/>
          <w:szCs w:val="18"/>
          <w:color w:val="auto"/>
        </w:rPr>
        <w:t xml:space="preserve">; and popular original films </w:t>
      </w:r>
      <w:r>
        <w:rPr>
          <w:rFonts w:ascii="Times New Roman" w:cs="Times New Roman" w:eastAsia="Times New Roman" w:hAnsi="Times New Roman"/>
          <w:sz w:val="18"/>
          <w:szCs w:val="18"/>
          <w:i w:val="1"/>
          <w:iCs w:val="1"/>
          <w:color w:val="auto"/>
        </w:rPr>
        <w:t>Darwin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Operation: Aunties.</w:t>
      </w:r>
    </w:p>
    <w:p>
      <w:pPr>
        <w:spacing w:after="0" w:line="65" w:lineRule="exact"/>
        <w:rPr>
          <w:rFonts w:ascii="Times New Roman" w:cs="Times New Roman" w:eastAsia="Times New Roman" w:hAnsi="Times New Roman"/>
          <w:sz w:val="18"/>
          <w:szCs w:val="18"/>
          <w:color w:val="auto"/>
        </w:rPr>
      </w:pPr>
    </w:p>
    <w:p>
      <w:pPr>
        <w:ind w:left="486" w:right="20" w:hanging="486"/>
        <w:spacing w:after="0" w:line="284"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ALLBLK is also the streaming home for We TV’s engaging slate of unscripted originals, including celebrity docuseries </w:t>
      </w:r>
      <w:r>
        <w:rPr>
          <w:rFonts w:ascii="Times New Roman" w:cs="Times New Roman" w:eastAsia="Times New Roman" w:hAnsi="Times New Roman"/>
          <w:sz w:val="18"/>
          <w:szCs w:val="18"/>
          <w:i w:val="1"/>
          <w:iCs w:val="1"/>
          <w:color w:val="auto"/>
        </w:rPr>
        <w:t>The Braxtons</w:t>
      </w:r>
      <w:r>
        <w:rPr>
          <w:rFonts w:ascii="Times New Roman" w:cs="Times New Roman" w:eastAsia="Times New Roman" w:hAnsi="Times New Roman"/>
          <w:sz w:val="18"/>
          <w:szCs w:val="18"/>
          <w:color w:val="auto"/>
        </w:rPr>
        <w:t xml:space="preserve"> and the wildly popular </w:t>
      </w:r>
      <w:r>
        <w:rPr>
          <w:rFonts w:ascii="Times New Roman" w:cs="Times New Roman" w:eastAsia="Times New Roman" w:hAnsi="Times New Roman"/>
          <w:sz w:val="18"/>
          <w:szCs w:val="18"/>
          <w:i w:val="1"/>
          <w:iCs w:val="1"/>
          <w:color w:val="auto"/>
        </w:rPr>
        <w:t>Love After Lockup</w:t>
      </w:r>
      <w:r>
        <w:rPr>
          <w:rFonts w:ascii="Times New Roman" w:cs="Times New Roman" w:eastAsia="Times New Roman" w:hAnsi="Times New Roman"/>
          <w:sz w:val="18"/>
          <w:szCs w:val="18"/>
          <w:color w:val="auto"/>
        </w:rPr>
        <w:t xml:space="preserve"> franchise.</w:t>
      </w:r>
    </w:p>
    <w:p>
      <w:pPr>
        <w:spacing w:after="0" w:line="50" w:lineRule="exact"/>
        <w:rPr>
          <w:rFonts w:ascii="Times New Roman" w:cs="Times New Roman" w:eastAsia="Times New Roman" w:hAnsi="Times New Roman"/>
          <w:sz w:val="18"/>
          <w:szCs w:val="18"/>
          <w:color w:val="auto"/>
        </w:rPr>
      </w:pPr>
    </w:p>
    <w:p>
      <w:pPr>
        <w:ind w:left="486" w:hanging="486"/>
        <w:spacing w:after="0" w:line="284"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2026, ALLBLK will bring audiences hitman series </w:t>
      </w:r>
      <w:r>
        <w:rPr>
          <w:rFonts w:ascii="Times New Roman" w:cs="Times New Roman" w:eastAsia="Times New Roman" w:hAnsi="Times New Roman"/>
          <w:sz w:val="18"/>
          <w:szCs w:val="18"/>
          <w:i w:val="1"/>
          <w:iCs w:val="1"/>
          <w:color w:val="auto"/>
        </w:rPr>
        <w:t>Wild Rose</w:t>
      </w:r>
      <w:r>
        <w:rPr>
          <w:rFonts w:ascii="Times New Roman" w:cs="Times New Roman" w:eastAsia="Times New Roman" w:hAnsi="Times New Roman"/>
          <w:sz w:val="18"/>
          <w:szCs w:val="18"/>
          <w:color w:val="auto"/>
        </w:rPr>
        <w:t xml:space="preserve">, created by and starring R&amp;B sensation Omarion, </w:t>
      </w:r>
      <w:r>
        <w:rPr>
          <w:rFonts w:ascii="Times New Roman" w:cs="Times New Roman" w:eastAsia="Times New Roman" w:hAnsi="Times New Roman"/>
          <w:sz w:val="18"/>
          <w:szCs w:val="18"/>
          <w:i w:val="1"/>
          <w:iCs w:val="1"/>
          <w:color w:val="auto"/>
        </w:rPr>
        <w:t>Hands</w:t>
      </w:r>
      <w:r>
        <w:rPr>
          <w:rFonts w:ascii="Times New Roman" w:cs="Times New Roman" w:eastAsia="Times New Roman" w:hAnsi="Times New Roman"/>
          <w:sz w:val="18"/>
          <w:szCs w:val="18"/>
          <w:color w:val="auto"/>
        </w:rPr>
        <w:t xml:space="preserve"> starring Ashley Williams from the ALLBLK hit series </w:t>
      </w:r>
      <w:r>
        <w:rPr>
          <w:rFonts w:ascii="Times New Roman" w:cs="Times New Roman" w:eastAsia="Times New Roman" w:hAnsi="Times New Roman"/>
          <w:sz w:val="18"/>
          <w:szCs w:val="18"/>
          <w:i w:val="1"/>
          <w:iCs w:val="1"/>
          <w:color w:val="auto"/>
        </w:rPr>
        <w:t>Double Cross,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Jupiter Jones,</w:t>
      </w:r>
      <w:r>
        <w:rPr>
          <w:rFonts w:ascii="Times New Roman" w:cs="Times New Roman" w:eastAsia="Times New Roman" w:hAnsi="Times New Roman"/>
          <w:sz w:val="18"/>
          <w:szCs w:val="18"/>
          <w:color w:val="auto"/>
        </w:rPr>
        <w:t xml:space="preserve"> an extension of the service’s top series </w:t>
      </w:r>
      <w:r>
        <w:rPr>
          <w:rFonts w:ascii="Times New Roman" w:cs="Times New Roman" w:eastAsia="Times New Roman" w:hAnsi="Times New Roman"/>
          <w:sz w:val="18"/>
          <w:szCs w:val="18"/>
          <w:i w:val="1"/>
          <w:iCs w:val="1"/>
          <w:color w:val="auto"/>
        </w:rPr>
        <w:t>A House Divided</w:t>
      </w:r>
      <w:r>
        <w:rPr>
          <w:rFonts w:ascii="Times New Roman" w:cs="Times New Roman" w:eastAsia="Times New Roman" w:hAnsi="Times New Roman"/>
          <w:sz w:val="18"/>
          <w:szCs w:val="18"/>
          <w:color w:val="auto"/>
        </w:rPr>
        <w:t xml:space="preserve"> and more.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jc w:val="both"/>
        <w:ind w:left="486" w:hanging="486"/>
        <w:spacing w:after="0" w:line="258"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HIDIVE LLC (“HIDIVE”) operates an anime-focused streaming service offering a robust library of entertainment that includes television series, movies, and original video animations in both subtitled and dubbed audio formats. In addition to its deep and diverse catalog, HIDIVE offers first-run simulcasts of the best new anime at or near the same time as their Japanese broadcast, which in 2025 included the global hit series </w:t>
      </w:r>
      <w:r>
        <w:rPr>
          <w:rFonts w:ascii="Times New Roman" w:cs="Times New Roman" w:eastAsia="Times New Roman" w:hAnsi="Times New Roman"/>
          <w:sz w:val="18"/>
          <w:szCs w:val="18"/>
          <w:i w:val="1"/>
          <w:iCs w:val="1"/>
          <w:color w:val="auto"/>
        </w:rPr>
        <w:t>My Gift Lvl 9999 Unlimited Gacha, Call of the Night</w:t>
      </w:r>
      <w:r>
        <w:rPr>
          <w:rFonts w:ascii="Times New Roman" w:cs="Times New Roman" w:eastAsia="Times New Roman" w:hAnsi="Times New Roman"/>
          <w:sz w:val="18"/>
          <w:szCs w:val="18"/>
          <w:color w:val="auto"/>
        </w:rPr>
        <w:t xml:space="preserve"> Season 2</w:t>
      </w:r>
      <w:r>
        <w:rPr>
          <w:rFonts w:ascii="Times New Roman" w:cs="Times New Roman" w:eastAsia="Times New Roman" w:hAnsi="Times New Roman"/>
          <w:sz w:val="18"/>
          <w:szCs w:val="18"/>
          <w:i w:val="1"/>
          <w:iCs w:val="1"/>
          <w:color w:val="auto"/>
        </w:rPr>
        <w:t>, Rock Is A Lady’s Modesty,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Sword Of The Demon Hunter: Kijin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Gentosho, </w:t>
      </w:r>
      <w:r>
        <w:rPr>
          <w:rFonts w:ascii="Times New Roman" w:cs="Times New Roman" w:eastAsia="Times New Roman" w:hAnsi="Times New Roman"/>
          <w:sz w:val="18"/>
          <w:szCs w:val="18"/>
          <w:color w:val="auto"/>
        </w:rPr>
        <w:t>among others.</w:t>
      </w:r>
    </w:p>
    <w:p>
      <w:pPr>
        <w:spacing w:after="0" w:line="75" w:lineRule="exact"/>
        <w:rPr>
          <w:rFonts w:ascii="Times New Roman" w:cs="Times New Roman" w:eastAsia="Times New Roman" w:hAnsi="Times New Roman"/>
          <w:sz w:val="18"/>
          <w:szCs w:val="18"/>
          <w:color w:val="auto"/>
        </w:rPr>
      </w:pPr>
    </w:p>
    <w:p>
      <w:pPr>
        <w:ind w:left="486" w:right="20" w:hanging="486"/>
        <w:spacing w:after="0" w:line="282" w:lineRule="auto"/>
        <w:tabs>
          <w:tab w:leader="none" w:pos="4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HIDIVE is currently available in the U.S. and Canada as well as key overseas markets including the U.K., Ireland, Australia, and 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-5826125</wp:posOffset>
            </wp:positionV>
            <wp:extent cx="171450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0" cy="28321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-3888740</wp:posOffset>
            </wp:positionV>
            <wp:extent cx="1062990" cy="523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62990" cy="52324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-1513840</wp:posOffset>
            </wp:positionV>
            <wp:extent cx="1234440" cy="334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34440" cy="33401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47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97" w:right="339" w:bottom="1440" w:gutter="0" w:footer="0" w:header="0"/>
        </w:sectPr>
      </w:pPr>
    </w:p>
    <w:bookmarkStart w:id="10" w:name="page11"/>
    <w:bookmarkEnd w:id="10"/>
    <w:p>
      <w:pPr>
        <w:ind w:left="800" w:hanging="486"/>
        <w:spacing w:after="0" w:line="282" w:lineRule="auto"/>
        <w:tabs>
          <w:tab w:leader="none" w:pos="7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Networks’ subsidiary Sentai Holdings, LLC (“Sentai”) is a leading global acquirer, producer and supplier of anime content that it distributes through its affiliates including HIDIVE, The Anime Network and Sentai Filmworks, as well as select commercial partners.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jc w:val="both"/>
        <w:ind w:left="800" w:hanging="486"/>
        <w:spacing w:after="0" w:line="266" w:lineRule="auto"/>
        <w:tabs>
          <w:tab w:leader="none" w:pos="7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late 2025, the Company launched a new targeted streaming service, All Reality. Featuring the best in unscripted reality content, All Reality launched with the long-awaited return of pop culture phenomenon, </w:t>
      </w:r>
      <w:r>
        <w:rPr>
          <w:rFonts w:ascii="Times New Roman" w:cs="Times New Roman" w:eastAsia="Times New Roman" w:hAnsi="Times New Roman"/>
          <w:sz w:val="18"/>
          <w:szCs w:val="18"/>
          <w:i w:val="1"/>
          <w:iCs w:val="1"/>
          <w:color w:val="auto"/>
        </w:rPr>
        <w:t>Bridezillas</w:t>
      </w:r>
      <w:r>
        <w:rPr>
          <w:rFonts w:ascii="Times New Roman" w:cs="Times New Roman" w:eastAsia="Times New Roman" w:hAnsi="Times New Roman"/>
          <w:sz w:val="18"/>
          <w:szCs w:val="18"/>
          <w:color w:val="auto"/>
        </w:rPr>
        <w:t>, one of reality television’s first franchises, and hosted by Grammy-nominated singer-songwriter and TV personality Tamar Braxton.</w:t>
      </w:r>
    </w:p>
    <w:p>
      <w:pPr>
        <w:spacing w:after="0" w:line="67" w:lineRule="exact"/>
        <w:rPr>
          <w:rFonts w:ascii="Times New Roman" w:cs="Times New Roman" w:eastAsia="Times New Roman" w:hAnsi="Times New Roman"/>
          <w:sz w:val="18"/>
          <w:szCs w:val="18"/>
          <w:color w:val="auto"/>
        </w:rPr>
      </w:pPr>
    </w:p>
    <w:p>
      <w:pPr>
        <w:ind w:left="800" w:hanging="486"/>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is available for subscription via Amazon Prime Video Channels and Premium Subscriptions on The Roku Channel.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-1233805</wp:posOffset>
            </wp:positionV>
            <wp:extent cx="1234440" cy="506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506095"/>
                    </a:xfrm>
                    <a:prstGeom prst="rect">
                      <a:avLst/>
                    </a:prstGeom>
                    <a:noFill/>
                  </pic:spPr>
                </pic:pic>
              </a:graphicData>
            </a:graphic>
          </wp:anchor>
        </w:drawing>
      </w:r>
    </w:p>
    <w:p>
      <w:pPr>
        <w:spacing w:after="0" w:line="2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Film Distribution</w:t>
      </w:r>
    </w:p>
    <w:p>
      <w:pPr>
        <w:spacing w:after="0" w:line="121" w:lineRule="exact"/>
        <w:rPr>
          <w:sz w:val="20"/>
          <w:szCs w:val="20"/>
          <w:color w:val="auto"/>
        </w:rPr>
      </w:pPr>
    </w:p>
    <w:p>
      <w:pPr>
        <w:jc w:val="both"/>
        <w:ind w:left="240" w:firstLine="567"/>
        <w:spacing w:after="0" w:line="256" w:lineRule="auto"/>
        <w:rPr>
          <w:sz w:val="20"/>
          <w:szCs w:val="20"/>
          <w:color w:val="auto"/>
        </w:rPr>
      </w:pPr>
      <w:r>
        <w:rPr>
          <w:rFonts w:ascii="Times New Roman" w:cs="Times New Roman" w:eastAsia="Times New Roman" w:hAnsi="Times New Roman"/>
          <w:sz w:val="18"/>
          <w:szCs w:val="18"/>
          <w:color w:val="auto"/>
        </w:rPr>
        <w:t>AMC Networks also operates a film business, IFC Entertainment Group, that distributes movies under three distinct brands: Independent Film Company, RLJE Films and Shudder. The IFC brand is known for being a home to independent and auteur focused films, attracting high-profile talent and filmmakers. RLJE Films is a market leader in acquiring tentpole and cast-driven genre content with an eye towards broad commercial appeal. Shudder operates the highest profile, horror-focused streaming service in the United States, and has become the prime destination for audiences to discover trend-setting filmmakers in the horror landscape. Each brand has a distinct approach while complementing one another - each synonymous with quality and commercial content, consistently debuting the next generation of distinguished filmmakers.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285115</wp:posOffset>
            </wp:positionV>
            <wp:extent cx="1722755" cy="283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275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00" w:right="20" w:hanging="486"/>
        <w:spacing w:after="0" w:line="282" w:lineRule="auto"/>
        <w:tabs>
          <w:tab w:leader="none" w:pos="7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Film Company is a leading distributor of high-quality, talent-driven independent films, which included 21 new theatrical releases in 2025.</w:t>
      </w:r>
    </w:p>
    <w:p>
      <w:pPr>
        <w:spacing w:after="0" w:line="53" w:lineRule="exact"/>
        <w:rPr>
          <w:rFonts w:ascii="Times New Roman" w:cs="Times New Roman" w:eastAsia="Times New Roman" w:hAnsi="Times New Roman"/>
          <w:sz w:val="18"/>
          <w:szCs w:val="18"/>
          <w:color w:val="auto"/>
        </w:rPr>
      </w:pPr>
    </w:p>
    <w:p>
      <w:pPr>
        <w:ind w:left="800" w:hanging="486"/>
        <w:spacing w:after="0" w:line="282" w:lineRule="auto"/>
        <w:tabs>
          <w:tab w:leader="none" w:pos="7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Film Company is a leader in progressive windowing strategies and pioneered the “day and date” model to maximize revenue and marketing effectiveness.</w:t>
      </w:r>
    </w:p>
    <w:p>
      <w:pPr>
        <w:spacing w:after="0" w:line="53" w:lineRule="exact"/>
        <w:rPr>
          <w:rFonts w:ascii="Times New Roman" w:cs="Times New Roman" w:eastAsia="Times New Roman" w:hAnsi="Times New Roman"/>
          <w:sz w:val="18"/>
          <w:szCs w:val="18"/>
          <w:color w:val="auto"/>
        </w:rPr>
      </w:pPr>
    </w:p>
    <w:p>
      <w:pPr>
        <w:ind w:left="800" w:hanging="486"/>
        <w:spacing w:after="0" w:line="282" w:lineRule="auto"/>
        <w:tabs>
          <w:tab w:leader="none" w:pos="7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Film Company is known for its fostering approach to filmmakers, distributing the early films of directors such as Christopher Nolan, Greta Gerwig, Barry Jenkins, Alfonso Cuaron and Richard Linklater.</w:t>
      </w:r>
    </w:p>
    <w:p>
      <w:pPr>
        <w:spacing w:after="0" w:line="51" w:lineRule="exact"/>
        <w:rPr>
          <w:rFonts w:ascii="Times New Roman" w:cs="Times New Roman" w:eastAsia="Times New Roman" w:hAnsi="Times New Roman"/>
          <w:sz w:val="18"/>
          <w:szCs w:val="18"/>
          <w:color w:val="auto"/>
        </w:rPr>
      </w:pPr>
    </w:p>
    <w:p>
      <w:pPr>
        <w:ind w:left="800" w:hanging="486"/>
        <w:spacing w:after="0" w:line="284" w:lineRule="auto"/>
        <w:tabs>
          <w:tab w:leader="none" w:pos="7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Notable 2025 releases included </w:t>
      </w:r>
      <w:r>
        <w:rPr>
          <w:rFonts w:ascii="Times New Roman" w:cs="Times New Roman" w:eastAsia="Times New Roman" w:hAnsi="Times New Roman"/>
          <w:sz w:val="18"/>
          <w:szCs w:val="18"/>
          <w:i w:val="1"/>
          <w:iCs w:val="1"/>
          <w:color w:val="auto"/>
        </w:rPr>
        <w:t>Clown in a Cornfield</w:t>
      </w:r>
      <w:r>
        <w:rPr>
          <w:rFonts w:ascii="Times New Roman" w:cs="Times New Roman" w:eastAsia="Times New Roman" w:hAnsi="Times New Roman"/>
          <w:sz w:val="18"/>
          <w:szCs w:val="18"/>
          <w:color w:val="auto"/>
        </w:rPr>
        <w:t xml:space="preserve">, Oscar shortlisted international film </w:t>
      </w:r>
      <w:r>
        <w:rPr>
          <w:rFonts w:ascii="Times New Roman" w:cs="Times New Roman" w:eastAsia="Times New Roman" w:hAnsi="Times New Roman"/>
          <w:sz w:val="18"/>
          <w:szCs w:val="18"/>
          <w:i w:val="1"/>
          <w:iCs w:val="1"/>
          <w:color w:val="auto"/>
        </w:rPr>
        <w:t>The Ugly Stepsister,</w:t>
      </w:r>
      <w:r>
        <w:rPr>
          <w:rFonts w:ascii="Times New Roman" w:cs="Times New Roman" w:eastAsia="Times New Roman" w:hAnsi="Times New Roman"/>
          <w:sz w:val="18"/>
          <w:szCs w:val="18"/>
          <w:color w:val="auto"/>
        </w:rPr>
        <w:t xml:space="preserve"> National Board of Review honorees </w:t>
      </w:r>
      <w:r>
        <w:rPr>
          <w:rFonts w:ascii="Times New Roman" w:cs="Times New Roman" w:eastAsia="Times New Roman" w:hAnsi="Times New Roman"/>
          <w:sz w:val="18"/>
          <w:szCs w:val="18"/>
          <w:i w:val="1"/>
          <w:iCs w:val="1"/>
          <w:color w:val="auto"/>
        </w:rPr>
        <w:t>Good Boy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Baltimorons</w:t>
      </w:r>
      <w:r>
        <w:rPr>
          <w:rFonts w:ascii="Times New Roman" w:cs="Times New Roman" w:eastAsia="Times New Roman" w:hAnsi="Times New Roman"/>
          <w:sz w:val="18"/>
          <w:szCs w:val="18"/>
          <w:color w:val="auto"/>
        </w:rPr>
        <w:t xml:space="preserve">, and Shudder and RLJE Films’ </w:t>
      </w:r>
      <w:r>
        <w:rPr>
          <w:rFonts w:ascii="Times New Roman" w:cs="Times New Roman" w:eastAsia="Times New Roman" w:hAnsi="Times New Roman"/>
          <w:sz w:val="18"/>
          <w:szCs w:val="18"/>
          <w:i w:val="1"/>
          <w:iCs w:val="1"/>
          <w:color w:val="auto"/>
        </w:rPr>
        <w:t>Dangerous Animals</w:t>
      </w:r>
      <w:r>
        <w:rPr>
          <w:rFonts w:ascii="Times New Roman" w:cs="Times New Roman" w:eastAsia="Times New Roman" w:hAnsi="Times New Roman"/>
          <w:sz w:val="18"/>
          <w:szCs w:val="18"/>
          <w:color w:val="auto"/>
        </w:rPr>
        <w:t>, among others.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AMC Networks Broadcasting &amp; Technology</w:t>
      </w:r>
    </w:p>
    <w:p>
      <w:pPr>
        <w:spacing w:after="0" w:line="121" w:lineRule="exact"/>
        <w:rPr>
          <w:sz w:val="20"/>
          <w:szCs w:val="20"/>
          <w:color w:val="auto"/>
        </w:rPr>
      </w:pPr>
    </w:p>
    <w:p>
      <w:pPr>
        <w:jc w:val="both"/>
        <w:ind w:left="800" w:hanging="486"/>
        <w:spacing w:after="0" w:line="266" w:lineRule="auto"/>
        <w:tabs>
          <w:tab w:leader="none" w:pos="7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 Networks Broadcasting &amp; Technology ("AMCN B&amp;T") operates from a 67,000 square-foot hub that serves as the technical arm of AMC Networks. For more than 40 years AMCN B&amp;T has provided broadcasting and technology services, including origination, transmission, satellite communications, and distribution of the Company’s programming networks.</w:t>
      </w:r>
    </w:p>
    <w:p>
      <w:pPr>
        <w:spacing w:after="0" w:line="67" w:lineRule="exact"/>
        <w:rPr>
          <w:rFonts w:ascii="Times New Roman" w:cs="Times New Roman" w:eastAsia="Times New Roman" w:hAnsi="Times New Roman"/>
          <w:sz w:val="18"/>
          <w:szCs w:val="18"/>
          <w:color w:val="auto"/>
        </w:rPr>
      </w:pPr>
    </w:p>
    <w:p>
      <w:pPr>
        <w:ind w:left="800" w:right="20" w:hanging="486"/>
        <w:spacing w:after="0" w:line="282" w:lineRule="auto"/>
        <w:tabs>
          <w:tab w:leader="none" w:pos="7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AMCN B&amp;T also maintains AMC Networks' physical media asset library and is responsible for its quality control, ingest, storage, edit, graphics, and IT infrastructures, which are crucial to AMC Networks operations and to provide high-capacity distribution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9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left="500" w:right="20" w:firstLine="486"/>
        <w:spacing w:after="0" w:line="282" w:lineRule="auto"/>
        <w:rPr>
          <w:sz w:val="20"/>
          <w:szCs w:val="20"/>
          <w:color w:val="auto"/>
        </w:rPr>
      </w:pPr>
      <w:r>
        <w:rPr>
          <w:rFonts w:ascii="Times New Roman" w:cs="Times New Roman" w:eastAsia="Times New Roman" w:hAnsi="Times New Roman"/>
          <w:sz w:val="18"/>
          <w:szCs w:val="18"/>
          <w:color w:val="auto"/>
        </w:rPr>
        <w:t>AMCNI, consisting of our international programming businesses, operates a portfolio of channels including the flagship AMC channel and local channels supported by local production in the U.K., Latin America, and parts of Europe.</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AMC Networks International</w:t>
      </w:r>
    </w:p>
    <w:p>
      <w:pPr>
        <w:spacing w:after="0" w:line="121" w:lineRule="exact"/>
        <w:rPr>
          <w:sz w:val="20"/>
          <w:szCs w:val="20"/>
          <w:color w:val="auto"/>
        </w:rPr>
      </w:pPr>
    </w:p>
    <w:p>
      <w:pPr>
        <w:jc w:val="both"/>
        <w:ind w:left="980" w:hanging="486"/>
        <w:spacing w:after="0" w:line="265" w:lineRule="auto"/>
        <w:tabs>
          <w:tab w:leader="none" w:pos="97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AMCNI, the international division of the Company, delivers entertaining and acclaimed programming that reaches subscribers in more than 100 countries and territories around the world, through operational centers in Madrid, Barcelona, Budapest, London, Prague, and Buenos Aires.</w:t>
      </w:r>
    </w:p>
    <w:p>
      <w:pPr>
        <w:spacing w:after="0" w:line="69" w:lineRule="exact"/>
        <w:rPr>
          <w:rFonts w:ascii="Arial" w:cs="Arial" w:eastAsia="Arial" w:hAnsi="Arial"/>
          <w:sz w:val="18"/>
          <w:szCs w:val="18"/>
          <w:color w:val="auto"/>
        </w:rPr>
      </w:pPr>
    </w:p>
    <w:p>
      <w:pPr>
        <w:ind w:left="980" w:right="20" w:hanging="486"/>
        <w:spacing w:after="0" w:line="281" w:lineRule="auto"/>
        <w:tabs>
          <w:tab w:leader="none" w:pos="97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AMCNI consists of our global brand, AMC, as well as a portfolio of popular, locally recognized brands delivering programming in a wide range of genres, including sports, film, cooking, lifestyle, crime and investigation, science, documentary and kids.</w:t>
      </w:r>
    </w:p>
    <w:p>
      <w:pPr>
        <w:spacing w:after="0" w:line="54" w:lineRule="exact"/>
        <w:rPr>
          <w:rFonts w:ascii="Arial" w:cs="Arial" w:eastAsia="Arial" w:hAnsi="Arial"/>
          <w:sz w:val="18"/>
          <w:szCs w:val="18"/>
          <w:color w:val="auto"/>
        </w:rPr>
      </w:pPr>
    </w:p>
    <w:p>
      <w:pPr>
        <w:ind w:left="980" w:hanging="486"/>
        <w:spacing w:after="0" w:line="281" w:lineRule="auto"/>
        <w:tabs>
          <w:tab w:leader="none" w:pos="975"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Our local and regional channels are programmed for local audiences and language, and we develop and license local content that is tailored to individual market tastes.</w:t>
      </w:r>
    </w:p>
    <w:p>
      <w:pPr>
        <w:spacing w:after="0" w:line="54"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AMCNI operates in the following regions:</w:t>
      </w:r>
    </w:p>
    <w:p>
      <w:pPr>
        <w:spacing w:after="0" w:line="116" w:lineRule="exact"/>
        <w:rPr>
          <w:rFonts w:ascii="Arial" w:cs="Arial" w:eastAsia="Arial" w:hAnsi="Arial"/>
          <w:sz w:val="18"/>
          <w:szCs w:val="18"/>
          <w:color w:val="auto"/>
        </w:rPr>
      </w:pPr>
    </w:p>
    <w:p>
      <w:pPr>
        <w:ind w:left="1300" w:hanging="320"/>
        <w:spacing w:after="0" w:line="280" w:lineRule="auto"/>
        <w:tabs>
          <w:tab w:leader="none" w:pos="1311" w:val="left"/>
        </w:tabs>
        <w:numPr>
          <w:ilvl w:val="1"/>
          <w:numId w:val="14"/>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U.K. – The U.K. operates a joint venture with Paramount International Networks, which delivers a portfolio of seven entertainment channels, including TRUE CRIME, TRUE CRIME XTRA, LEGEND and LEGEND XTRA.</w:t>
      </w:r>
    </w:p>
    <w:p>
      <w:pPr>
        <w:spacing w:after="0" w:line="52" w:lineRule="exact"/>
        <w:rPr>
          <w:rFonts w:ascii="Courier New" w:cs="Courier New" w:eastAsia="Courier New" w:hAnsi="Courier New"/>
          <w:sz w:val="18"/>
          <w:szCs w:val="18"/>
          <w:color w:val="auto"/>
        </w:rPr>
      </w:pPr>
    </w:p>
    <w:p>
      <w:pPr>
        <w:jc w:val="both"/>
        <w:ind w:left="1300"/>
        <w:spacing w:after="0" w:line="258"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 U.K. portfolio of free to air advertising supported channels reaches viewers via the Sky, Virgin Media, Freesat and Freeview, Freely and other associated IP platforms and on demand via the WATCH FREE UK AVOD player available from Freesat, Freeview Play and YouView, Freely, Virgin Media, web and downloadable via iOS, Android, and device/manufacturer stores. A significant part of AMCNI U.K.’s content library is also available via AVOD partnerships and FAST channels with major streaming platforms such as ITVx, 5 Stream, Amazon Prime, Pluto TV, Rakuten TV and Samsung TV.</w:t>
      </w:r>
    </w:p>
    <w:p>
      <w:pPr>
        <w:spacing w:after="0" w:line="75" w:lineRule="exact"/>
        <w:rPr>
          <w:rFonts w:ascii="Courier New" w:cs="Courier New" w:eastAsia="Courier New" w:hAnsi="Courier New"/>
          <w:sz w:val="18"/>
          <w:szCs w:val="18"/>
          <w:color w:val="auto"/>
        </w:rPr>
      </w:pPr>
    </w:p>
    <w:p>
      <w:pPr>
        <w:jc w:val="both"/>
        <w:ind w:left="1300" w:hanging="320"/>
        <w:spacing w:after="0" w:line="266" w:lineRule="auto"/>
        <w:tabs>
          <w:tab w:leader="none" w:pos="129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and Northern Europe (“CNE”) – AMCNI CNE broadcasts and distributes thematic television channels in the Central European region with 39 linear feeds among 13 brands in 15 languages and three streaming products. The current linear portfolio includes television channels in a broad variety of genres including film and series, kids, infotainment, and sports.</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ind w:hanging="256"/>
        <w:spacing w:after="0" w:line="283" w:lineRule="auto"/>
        <w:rPr>
          <w:sz w:val="20"/>
          <w:szCs w:val="20"/>
          <w:color w:val="auto"/>
        </w:rPr>
      </w:pPr>
      <w:r>
        <w:rPr>
          <w:sz w:val="1"/>
          <w:szCs w:val="1"/>
          <w:color w:val="auto"/>
        </w:rPr>
        <w:drawing>
          <wp:inline distT="0" distB="0" distL="0" distR="0">
            <wp:extent cx="488315" cy="3086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8315" cy="30861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Jim Jam is a pre-school kids channel focused on education, providing a stimulating, engaging and safe environment for 2-5 year olds and contributing to their social, intellectual, and emotional development by providing learning through fun. Jim Jam is available in over 60 EMEA countries and its content includes Bing, Fireman Sam, Thomas and Friends, and Caillou.</w:t>
      </w:r>
    </w:p>
    <w:p>
      <w:pPr>
        <w:spacing w:after="0" w:line="138" w:lineRule="exact"/>
        <w:rPr>
          <w:sz w:val="20"/>
          <w:szCs w:val="20"/>
          <w:color w:val="auto"/>
        </w:rPr>
      </w:pPr>
    </w:p>
    <w:p>
      <w:pPr>
        <w:sectPr>
          <w:pgSz w:w="11900" w:h="16838" w:orient="portrait"/>
          <w:cols w:equalWidth="0" w:num="2">
            <w:col w:w="1700" w:space="260"/>
            <w:col w:w="9280"/>
          </w:cols>
          <w:pgMar w:left="320" w:top="995" w:right="339" w:bottom="1440" w:gutter="0" w:footer="0" w:header="0"/>
          <w:type w:val="continuous"/>
        </w:sectPr>
      </w:pPr>
    </w:p>
    <w:p>
      <w:pPr>
        <w:spacing w:after="0" w:line="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hanging="256"/>
        <w:spacing w:after="0" w:line="323" w:lineRule="auto"/>
        <w:rPr>
          <w:sz w:val="20"/>
          <w:szCs w:val="20"/>
          <w:color w:val="auto"/>
        </w:rPr>
      </w:pPr>
      <w:r>
        <w:rPr>
          <w:sz w:val="1"/>
          <w:szCs w:val="1"/>
          <w:color w:val="auto"/>
        </w:rPr>
        <w:drawing>
          <wp:inline distT="0" distB="0" distL="0" distR="0">
            <wp:extent cx="822960" cy="137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Sport 1 and Sport 2 are basic cable channels that broadcast European football, European Handball, NBA and ice hockey among other live sports events.</w:t>
      </w:r>
    </w:p>
    <w:p>
      <w:pPr>
        <w:spacing w:after="0" w:line="92" w:lineRule="exact"/>
        <w:rPr>
          <w:sz w:val="20"/>
          <w:szCs w:val="20"/>
          <w:color w:val="auto"/>
        </w:rPr>
      </w:pPr>
    </w:p>
    <w:p>
      <w:pPr>
        <w:sectPr>
          <w:pgSz w:w="11900" w:h="16838" w:orient="portrait"/>
          <w:cols w:equalWidth="0" w:num="2">
            <w:col w:w="1700" w:space="260"/>
            <w:col w:w="9280"/>
          </w:cols>
          <w:pgMar w:left="320" w:top="995" w:right="339" w:bottom="1440" w:gutter="0" w:footer="0" w:header="0"/>
          <w:type w:val="continuous"/>
        </w:sectPr>
      </w:pPr>
    </w:p>
    <w:p>
      <w:pPr>
        <w:jc w:val="both"/>
        <w:ind w:left="1300" w:hanging="320"/>
        <w:spacing w:after="0" w:line="241"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Southern Europe (“SE”) – AMCNI SE offers a portfolio of thematic channels and services in Iberia, distributing 18 pay-TV channels and six SVOD services in Spain, including AMC+. AMCNI SE also launched four new pay-TV channels and six pop-up channels in Spain in 2025. In Portugal, AMCNI SE distributes five pay-TV channels directly and five pay-TV channels and one SVOD service through its joint venture with NOS, Dreamia, which delivers channels including Canal Hollywood, Canal Panda, Panda Kids, Biggs, Blast, Casa e Cozinha, and an over-the-top ("OTT") application called Panda+.</w:t>
      </w:r>
    </w:p>
    <w:p>
      <w:pPr>
        <w:sectPr>
          <w:pgSz w:w="11900" w:h="16838" w:orient="portrait"/>
          <w:cols w:equalWidth="0" w:num="1">
            <w:col w:w="11240"/>
          </w:cols>
          <w:pgMar w:left="320" w:top="99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hanging="256"/>
        <w:spacing w:after="0" w:line="408" w:lineRule="auto"/>
        <w:rPr>
          <w:sz w:val="20"/>
          <w:szCs w:val="20"/>
          <w:color w:val="auto"/>
        </w:rPr>
      </w:pPr>
      <w:r>
        <w:rPr>
          <w:sz w:val="1"/>
          <w:szCs w:val="1"/>
          <w:color w:val="auto"/>
        </w:rPr>
        <w:drawing>
          <wp:inline distT="0" distB="0" distL="0" distR="0">
            <wp:extent cx="651510" cy="33464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510" cy="33464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Canal Hollywood is a pay-TV channel offering a wide selection of movies produced by major U.S. studios across a variety of genres, including comedy, drama, thriller, western, and science fiction.</w:t>
      </w:r>
    </w:p>
    <w:p>
      <w:pPr>
        <w:spacing w:after="0" w:line="200" w:lineRule="exact"/>
        <w:rPr>
          <w:sz w:val="20"/>
          <w:szCs w:val="20"/>
          <w:color w:val="auto"/>
        </w:rPr>
      </w:pPr>
    </w:p>
    <w:p>
      <w:pPr>
        <w:sectPr>
          <w:pgSz w:w="11900" w:h="16838" w:orient="portrait"/>
          <w:cols w:equalWidth="0" w:num="2">
            <w:col w:w="1700" w:space="260"/>
            <w:col w:w="9280"/>
          </w:cols>
          <w:pgMar w:left="320" w:top="9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2" w:name="page13"/>
    <w:bookmarkEnd w:id="12"/>
    <w:p>
      <w:pPr>
        <w:jc w:val="both"/>
        <w:ind w:left="320" w:hanging="320"/>
        <w:spacing w:after="0" w:line="246" w:lineRule="auto"/>
        <w:tabs>
          <w:tab w:leader="none" w:pos="3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(“LATAM”) – AMCNI LATAM is focused on Spanish and Portuguese speaking markets across Latin America and the Caribbean. The division has five channel brands (AMC, AMC Series, Film &amp; Arts, Europa Europa and El Gourmet), which are all distributed across the main cable, satellite, and telco pay-TV operators across the region. The AMC Series linear channel was recently launched with more than 650 hours of AMC Studios original series, strengthening the position of AMC’s channel lineup offering in the region. The division also recently launched three FAST channels across the region.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3" w:lineRule="exact"/>
        <w:rPr>
          <w:rFonts w:ascii="Times New Roman" w:cs="Times New Roman" w:eastAsia="Times New Roman" w:hAnsi="Times New Roman"/>
          <w:sz w:val="18"/>
          <w:szCs w:val="18"/>
          <w:color w:val="auto"/>
        </w:rPr>
      </w:pPr>
    </w:p>
    <w:p>
      <w:pPr>
        <w:jc w:val="both"/>
        <w:ind w:left="980" w:hanging="332"/>
        <w:spacing w:after="0" w:line="258" w:lineRule="auto"/>
        <w:tabs>
          <w:tab w:leader="none" w:pos="192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 Gourmet is a TV culinary destination for Latin American audiences that connects with its viewers by celebrating local traditions and featuring culinary experiences from all over the world. Its mission is to reunite family and friends around the table to make memorable life experiences. Launched over two decades ago, El Gourmet offers 100% of its content in Spanish, with over 75% original productions and more than 200 episodes premiering each year, showcasing some of the greatest celebrity cooks of this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-1191260</wp:posOffset>
            </wp:positionV>
            <wp:extent cx="574040" cy="574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0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1300" w:top="99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businesses are subject to and affected by regulations of U.S. federal, state and local government authorities, and our international operations are subject to laws and regulations of regulators in the countries in which they operate, as well as international bodies, such as the European Union. The Federal Communications Commission (the "FCC") regulates U.S. programming networks directly in some limited respects; other FCC regulations, although imposed on cable television operators, satellite operators or other MVPDs, affect programming networks indirectly. The rules, regulations, policies and procedures affecting our businesses are constantly subject to change and legislative and regulatory proposals increasingly seek to cover all sources of content, including the digital platforms over which we offer content, which has affected and may continue to affect our regulatory burdens. The descriptions below are summary in nature and do not purport to describe all present and proposed laws and regulations affecting our businesses.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Closed Captioning and Other Accessibility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networks are required to provide closed-captioning of programming for the hearing impaired, and comply with other regulations designed to make our content more accessible, and we are required to provide closed captioning on certain video content that we offer on the Internet or through other Internet Protocol distribution methods. We must also ensure that our DTC applications can pass through closed captions on content and comply with certain other accessibility requirements. The U.S. Congress and the FCC periodically consider proposals to enhance that accessibility. Some of those proposals, if adopted, would increase our obligations substantially.</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CALM Act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FCC rules require MVPDs to ensure that all commercials comply with specified volume standards, and our distribution agreements generally require us to certify compliance with such standards.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Emergency Alert Codes or Attention Signals</w:t>
      </w:r>
    </w:p>
    <w:p>
      <w:pPr>
        <w:spacing w:after="0" w:line="121" w:lineRule="exact"/>
        <w:rPr>
          <w:sz w:val="20"/>
          <w:szCs w:val="20"/>
          <w:color w:val="auto"/>
        </w:rPr>
      </w:pPr>
    </w:p>
    <w:p>
      <w:pPr>
        <w:jc w:val="both"/>
        <w:ind w:firstLine="401"/>
        <w:spacing w:after="0" w:line="282" w:lineRule="auto"/>
        <w:rPr>
          <w:sz w:val="20"/>
          <w:szCs w:val="20"/>
          <w:color w:val="auto"/>
        </w:rPr>
      </w:pPr>
      <w:r>
        <w:rPr>
          <w:rFonts w:ascii="Times New Roman" w:cs="Times New Roman" w:eastAsia="Times New Roman" w:hAnsi="Times New Roman"/>
          <w:sz w:val="18"/>
          <w:szCs w:val="18"/>
          <w:color w:val="auto"/>
        </w:rPr>
        <w:t>We may not include emergency alert codes or attention signals, or simulations of them, in our content under any circumstances other than a genuine alert, an authorized test of the emergency alert system, or a permissible public service announcement.</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Obscenity Restrictions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Cable operators and other MVPDs are prohibited from transmitting obscene programming, and our distribution agreements generally require us to refrain from including such programming on our networks.</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Program Carriage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Communications Act of 1934 and the FCC's program carriage rules prohibit distributors from favoring their affiliated programming networks over unaffiliated similarly situated programming networks in the rates, terms and conditions of carriage agreements between programming networks and cable operators or other MVPDs. Despite these rules, certain regulatory interpretations and court decisions make it more difficult for our programming networks to challenge a distributor’s decision to decline to carry one of our programming networks or discriminate against one of our programming networks.</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Packaging Programming and Volume Discounts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FCC from time to time examines whether to adopt rules restricting how programmers package and price their networks, or whether to impose other restrictions on carriage agreements between programmers and MVPDs. We do not currently require distributors to carry more than one of our domestic programming networks in order to obtain the right to carry a particular domestic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7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Some states also have sought to regulate the manner in which MVPDs package and offer programming. We generally do not allow our networks or individual programs on those networks to be offered by distributors on an "a la carte" basis.</w:t>
      </w:r>
    </w:p>
    <w:p>
      <w:pPr>
        <w:spacing w:after="0" w:line="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Effect of "Must-Carry" and "Retransmission Consent" Requirements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FCC's implementation of the statutory "must-carry" obligations requires cable and DBS operators to give certain broadcasters preferential access to channel space and preferential channel positions, and FCC "retransmission consent" rules allow broadcasters to require cable and DBS operators to carry broadcast-affiliated networks as a condition of access to the local broadcast station and to charge substantial fees for both carriage of the local broadcast station and the broadcast-affiliated networks. In contrast, programming networks, such as ours, have no guaranteed right of carriage on cable television or DBS systems nor any guaranteed channel position. These carriage laws may reduce the amount of channel space that is available for carriage of our networks by cable television systems and DBS operators, or the amount of programming funds that cable and DBS operators have available for carriage of our networks.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Website, DTC Applications and Streaming Service Requirements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maintain various websites, DTC applications and streaming services that provide information regarding our businesses and offer content for sale. The operation of these websites, DTC applications and services may be subject to a range of federal, state and local laws such as privacy, data security, accessibility, child safety, oversight of user-generated content, and consumer protection regulations. For example, most states have enacted laws that impose data security and security breach obligations, and frameworks regulating consumer privacy have been established and continue to evolve at the state level and overseas, including the GDPR in the European Union, the U.K. GDPR and Data Protection Act 2018 in the U.K., the CCPA, and other similar comprehensive privacy laws that have been enacted in other states. The GDPR, the CCPA and other state laws impose, among other things, stringent operational requirements for processors and controllers of personal data, including expansive disclosures about how personal information is to be used, and significant fines for violations. Certain privacy and data protection laws also impose or are expected to impose additional requirements relating to automated decision-making and profiling, including transparency and consent obligations, which could affect how AI-enabled tools are deployed. At the Federal level, our streaming services may in some cases be subject to the privacy requirements of the Video Privacy Protection Act (“VPPA”). In addition, the FCC from time to time considers whether some or all websites or DTC applications offering video programming should be considered MVPDs and regulated as such, which would increase our regulatory costs and obligations substantially.</w:t>
      </w:r>
    </w:p>
    <w:p>
      <w:pPr>
        <w:spacing w:after="0" w:line="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FCC also imposes rules that may impact us regarding a variety of issues such as advertising in children's television and telemarketing. Programming businesses are also subject to regulation by regulators in the countries in which they operate, as well as international bodies, such as the European Union. In certain countries, these regulations include restrictions on the types of advertising that can be sold on our networks, programming content requirements, requirements to make programming available on non-discriminatory terms and local content quotas.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programming services, consisting of linear networks and streaming services, operate in three highly competitive markets. First, our programming services compete with other programming services to obtain distribution on cable television systems and other multichannel video programming distribution systems, and ultimately for viewing by each distributor's subscribers. Second, our programming services compete with other programming services and other sources of video content, to secure desired entertainment programming. Third, our programming services compete with other sellers of advertising time and space, including other cable programming networks, radio, newspapers, outdoor media and, increasingly, internet sites. The success of our businesses depends on our ability to license and produce content for our programming services that is adequate in quantity and quality and will generate satisfactory viewer ratings. In each of these cases, some of our competitors are large publicly held companies that have greater financial resources than we do.</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Programming Services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business of distributing programming services to cable television systems and other MVPDs and licensing of original programming for distribution is highly competitive. Our programming services face competition from other programming networks and services for carriage by a particular MVPD, and for the carriage on the service tier that will attract the most subscribers. Once our programming service is selected by a distributor for carriage, that service competes for viewers not only with the other programming services available on the distributor's system, but also with over-the-air broadcast television, Internet-based video and other online services, mobile services, radio, print media, motion picture theaters, DVDs, and other sources of information and entertainment. The continued growth of subscription streaming services, such as Netflix and Amazon Prime Video, and the increased offerings by virtual MVPDs have increased the competition for audiences by providing an alternative to the traditional television content distribution model by changing when, where and how audiences consume video content.</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Important to our success in each area of competition we face are the prices we charge for our programming services, the quantity, quality and variety of the programming offered on our services, and the effectiveness of our services' marketing efforts. The competition for viewers among advertiser supported networks is directly correlated with the competition for advertising revenues with each of our competitors.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ability to successfully compete with other networks and services may be hampered because the cable television systems or other MVPDs through which we seek distribution may be affiliated with other programming networks or services. In addition, because such distributors may have a substantial number of subscribers, the ability of such programming services to obtain distribution on the systems of affiliated distributors may lead to increased distribution and advertising revenue for such programming networks or services because of their increased penetration compared to our programming services. Even if such affiliated distributors carry our programming services, such distributors may place their affiliated programming network on a more desirable tier, thereby giving the affiliated programming network a competitive advantage over our own.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6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of Programming</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 with other parties that have produced or own the rights to such programming. Competition for this programming will increase as the number of programming networks and other distributors increases. Other programming networks or streaming services that are affiliated with programming sources such as movie or television studios or film libraries may have a competitive advantage over us in this area.</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Advertising Revenue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programming networks, and ad-supported streaming services, must compete with other sellers of advertising time and space, including other MVPDs, radio, newspapers, outdoor media and increasing shifts in spending toward online and mobile offerings from more traditional media. While the evolution of advanced advertising technologies, including addressable advertising and programmatic buying, creates additional monetization opportunities, we compete with other programming networks to gain an advantage in the use of such technologies.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passionate about creating and curating celebrated series and films across distinct brands that connect with passionate fans and audiences in meaningful ways. We believe one of the keys to our success and our ability to engage audiences in this way is the strength of our people and our culture. Our human capital management objectives include attracting, developing, motivating and retaining a high-performing workforce.</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2025, our global workforce included 1,738 employees, 1,675 of which are full-time employees. In addition, for certain of our productions, the Company, through in-house and third-party production service companies, engages the services of writers, directors, actors and various crew members who may be subject to certain specially negotiated collective bargaining agreements. Since these agreements are generally entered into on a project basis, negotiations occur on various agreements throughout the year. We believe that our relations with labor unions and our employees are generally good. Some examples of our human resources programs and initiatives are described below.</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Employee Attraction, Retention and Training</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Company has a proud legacy as the home to many of the greatest stories and characters in the history of TV and film. This history is imbued in our corporate culture and values and informs who we are and our mission to be a premier destination for passionate and engaged fan communities around the world. We aim to recruit and retain top talent that reflects the communities where we live and work and the global audiences who engage with our content, including building talent pipelines with entertainment and production organizations like the Handy Foundation, Group Effort Initiative, and Reel Works to support and train the next generation of storytellers. We intend to attract and retain talent by emphasizing our competitive rewards; offering opportunities that support employees’ professional growth and development; promoting ongoing learning at all levels; and through our commitment to fostering a positive, inclusive and collaborative corporate culture. We assess employee sentiment regularly through global employee engagement surveys to identify what we are doing well and what opportunities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and challenges we should address. We also encourage frequent connection between managers and direct reports throughout the year as part of a robust talent management program to ensure employees are aligned on company and team goals, individual performance and business outcomes.</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Health, Financial, Family and Wellbeing Benefits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benefit offerings provide robust and comprehensive options to our global workforce that support the health, financial needs and well-being of our employees. While offerings vary by location, in the U.S. they generally include: employee and family medical, dental and vision coverage; life and disability insurance coverage; vacation and paid family and medical leave; family planning and support resources such as adoption assistance, child/elder care, and college planning; retirement savings with a company match; tuition reimbursement; identity theft protection; auto, home and pet insurance; legal plans; accident, hospital and critical illness insurance; fitness programs; and employee assistance programs.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approach to compensation is to pay competitively to local markets across departments, levels, and jobs. We apply our pay practices consistently among our employees to promote equitable compensation. We review compensation annually and have incorporated pay for performance concepts that incentivize and reward high-performing employees.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Learning &amp; Development</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talent management and development team promotes year-round learning opportunities for employees throughout the organization, including live and on-demand workshops and annual trainings across a variety of topics. We also partner with established industry organizations like CTAM, NAMIC and The WICT Network to provide development opportunities from leading educational institutions including the Harvard Business School, Stanford University and INSEAD. Additionally, we promote a workplace culture where everyone treats each other with kindness and respect, prioritizing the well-being and safety of our people, content and information through ongoing trainings covering anti-harassment and discrimination, inclusion and cultural awareness, information security and more.</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seek to present programming that authentically speaks to and reflects the wide range of audiences we reach every day. We support opportunities for a broad range of voices to be represented in front of and behind the camera and to use our platforms to bring their visions to life. We encourage this through our "Future of Film" initiative, spotlighting works from emerging creative talents of all backgrounds. Additionally, we celebrate the diversity of our audiences through our ongoing heritage month and Future of Film collections on our targeted streaming services and programming events on our linear and FAST channels.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Community &amp; Social Impact</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Giving and social impact programs and initiatives are an important part of our culture. Through philanthropic efforts, local outreach and partnerships, we support causes aimed at making a difference in the communities where we live and work. In 2025, we matched employee donations in support of hundreds of causes on our online giving and volunteering platform, Give Back at AMCN. Through the platform, employees can research charitable organizations and make personal donations, which the Company matches. To help foster further community impact, the Company also provides every employee with annual time off to volunteer in support of charitable organizations.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corporate website is https://www.amcnetworks.com and the investor relations section of our website is located at https://investors.amcnetworks.com.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use the following, as well as other social media channels, to disclose public information to investors, the media and others:</w:t>
      </w:r>
    </w:p>
    <w:p>
      <w:pPr>
        <w:spacing w:after="0" w:line="117" w:lineRule="exact"/>
        <w:rPr>
          <w:sz w:val="20"/>
          <w:szCs w:val="20"/>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website (https://www.amcnetworks.com);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X (formerly Twitter) account (@AMC_Networks).</w:t>
      </w:r>
    </w:p>
    <w:p>
      <w:pPr>
        <w:spacing w:after="0" w:line="11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Our officers may use similar social media channels to disclose public information. It is possible that certain information we or our officers post on our website and on social media could be deemed material, and we encourage investors, the media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and others interested in AMC Networks to review the business and financial information we or our officers post on our website and on the social media channels identified above. The information on our website and those social media channels is not incorporated by reference into this Annual Report.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wide range of risks may affect our business, financial condition and results of operations, now and in the future. We consider the risks described below to be the most significant. There may be other economic, business, competitive, regulatory or other factors that are currently unknown or unpredictable or that we do not presently consider to be material that could have material adverse effects on our future results. Below is a summary of the principal factors that could materially adversely affect our business, financial condition and results of operations. This summary does not address all of the risks that we face.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4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dependence on viewer and distributor appeal of our programming, which is often unpredictable and volatile;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secure or maintain programming in adequate quantity or quality;</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Increased programming costs;</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the operating environment of multichannel distributors, including declines in the number of subscribers;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renew distribution agreements on favorable terms or at all;</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attract and retain streaming subscribers;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advertising market conditions in specific markets;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Intense competition in the industries in which we operate;</w:t>
      </w:r>
    </w:p>
    <w:p>
      <w:pPr>
        <w:spacing w:after="0" w:line="36" w:lineRule="exact"/>
        <w:rPr>
          <w:rFonts w:ascii="Times New Roman" w:cs="Times New Roman" w:eastAsia="Times New Roman" w:hAnsi="Times New Roman"/>
          <w:sz w:val="22"/>
          <w:szCs w:val="22"/>
          <w:color w:val="auto"/>
        </w:rPr>
      </w:pPr>
    </w:p>
    <w:p>
      <w:pPr>
        <w:ind w:left="660" w:right="600" w:hanging="328"/>
        <w:spacing w:after="0" w:line="234"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Ongoing changes in business strategy, including decisions to make investments in new business, products, services, technologies and other strategic activities;</w:t>
      </w:r>
    </w:p>
    <w:p>
      <w:pPr>
        <w:spacing w:after="0" w:line="24"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adapt to new technological developments, including new content distribution platforms and the growing use of Artificial Intelligence and to changes in consumer behavior resulting from these new technologies;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Consolidation among cable, satellite and telecommunications service providers;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Theft of our content, including digital copyright theft and other unauthorized exhibitions of our content;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Litigation and other legal proceedings; and</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Impairment charges related to goodwill and other intangible assets.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3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Risks from doing business internationally;</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Continually evolving cybersecurity threats and other technology-related risks;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interruption or unavailability of third-party facilities, systems and/or software upon which we rely;</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Failure or disruption of our technology facilities or loss of access to third party satellites;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loss of any of our key personnel or artistic talent;</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Regulatory constraints or changes in the United States;</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Adverse regulation by foreign governments;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Economic and financial problems in the United States or other parts of the world;</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the current administration’s tariffs, particularly those proposed for movies produced outside the United States;</w:t>
      </w:r>
    </w:p>
    <w:p>
      <w:pPr>
        <w:spacing w:after="0" w:line="15"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Fluctuations in foreign exchange rates;</w:t>
      </w:r>
    </w:p>
    <w:p>
      <w:pPr>
        <w:spacing w:after="0" w:line="1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Disruptions of or interferences with cloud computing services that we rely on;</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pandemic or other health emergency;</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achieve sustaining or improving operating expense reductions;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successfully make investments in, and/or acquire and integrate, other business, assets, products or technologies;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Additional tax liabilities; and</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significant amount of our book value consisting of intangible assets that may not generate cash in the event of a sale.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3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substantial long-term debt and high leverage;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generate sufficient cash to service all of our indebtedness;</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refinance our indebtedness on favorable terms, or at all;</w:t>
      </w:r>
    </w:p>
    <w:p>
      <w:pPr>
        <w:spacing w:after="0" w:line="18"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Variable rates of interest, which some of our outstanding debt is based on;</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various restrictive covenants in our debt agreements;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incur substantially more debt;</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Potential lowering or withdrawal of the ratings assigned to our debt securities by ratings agencies;</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raise the funds necessary to settle conversions of our Convertible Notes (as defined below); and</w:t>
      </w:r>
    </w:p>
    <w:p>
      <w:pPr>
        <w:spacing w:after="0" w:line="1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conditional conversion and fundamental change repurchase features of the Convertible Notes.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Controlled Ownership</w:t>
      </w:r>
    </w:p>
    <w:p>
      <w:pPr>
        <w:spacing w:after="0" w:line="3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potential for conflicts of interest due to our controlled ownership by the Dolan family;</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forgo certain corporate governance rules of Nasdaq due to our controlled ownership;</w:t>
      </w:r>
    </w:p>
    <w:p>
      <w:pPr>
        <w:spacing w:after="0" w:line="12"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Future stock sales, including as a result of the exercise of registration rights by certain of our stockholders;</w:t>
      </w:r>
    </w:p>
    <w:p>
      <w:pPr>
        <w:spacing w:after="0" w:line="23" w:lineRule="exact"/>
        <w:rPr>
          <w:rFonts w:ascii="Times New Roman" w:cs="Times New Roman" w:eastAsia="Times New Roman" w:hAnsi="Times New Roman"/>
          <w:sz w:val="22"/>
          <w:szCs w:val="22"/>
          <w:color w:val="auto"/>
        </w:rPr>
      </w:pPr>
    </w:p>
    <w:p>
      <w:pPr>
        <w:ind w:left="660" w:right="60" w:hanging="328"/>
        <w:spacing w:after="0" w:line="234" w:lineRule="auto"/>
        <w:tabs>
          <w:tab w:leader="none" w:pos="65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sharing of certain executives and directors with Sphere Entertainment Co., Madison Square Garden Sports Corp. and Madison Square Garden Entertainment Corp., which may give rise to conflicts.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appeal of our programming to our U.S. and international viewers and our distributors, which is often unpredictable and volatile.</w:t>
      </w:r>
    </w:p>
    <w:p>
      <w:pPr>
        <w:spacing w:after="0" w:line="3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business depends upon viewer preferences and audience acceptance of the programming on our networks and across our distribution platforms in the United States and internationally.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has caused, and could in the future continue to cause, the audience for certain of our programming to decline, which has resulted in, and could in the future continue to result in, a reduction of advertising revenues and jeopardize our bargaining position with distributors. In addition, certain of our competitors have more flexible programming arrangements, as well as greater amounts of available content, distribution and capital resources, and may be able to react more quickly to shifts in tastes and interests than we can.</w:t>
      </w:r>
    </w:p>
    <w:p>
      <w:pPr>
        <w:spacing w:after="0" w:line="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and our ability to accurately predict audience response to such programming is particularly important. Because our network branding strategies depend significantly on a relatively small number of original programs,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 rights in the past, including $64.9 million for the year ended December 31, 2024 and $7.8 million for the year ended December 31, 2025, and may incur future program rights write-offs if it is determined that program rights have limited, or no, future usefulness.</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our AMC, IFC and SundanceTV programming networks broadcast feature films. In general, the popularity of feature-film content on linear television has declined, and is expected to continue to decline, due in part to the broad availability of such content through an increasing number of distribution platforms. If the popularity of feature-film programming further declines, we may lose viewership, which would decrease our revenues.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our programming does not gain the level of audience acceptance we expect, or if we are unable to maintain the popularity of our programming, our ratings would suffer, which will negatively affect advertising revenues, and we may have a diminished bargaining position with distributors, which could reduce our subscription and content licensing revenues. Linear television ratings have declined in recent years, which has adversely affected our advertising revenues and has contributed to adverse impacts on our results of operations. We cannot assure you that we will be able to maintain the success of any of our current programming or generate sufficient demand and market acceptance for our new programming.</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failure to develop popular new programming to replace programming that is older or ending can have adverse impacts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programming services' success depends upon the availability of programming that is adequate in quantity and quality, and we may be unable to secure or maintain such programming.</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success of our programming services, consisting of linear networks and streaming services, depends upon the availability of quality programming, particularly original programming and films, that is suitable for our target markets. While we produce certain of our original programming through our studio operations, we obtain most of the programming on our services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Competition for programming has increased as the number of programming networks and streaming services has increased. Certain programming networks and streaming services that are affiliated with programming sources such as movie or television studios or film libraries have a competitive advantage over us. In addition to other media companies, such as Paramount Skydance Corporation and Warner Bros. Discovery, Inc., we also compete for programming with national broadcast television networks, local broadcast television stations, video on demand services and subscription streaming services, such as Netflix, Apple TV+ and Prime Video. Some of these competitors have exclusive contracts with motion picture studios or independent motion picture distributors or own film libraries.</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ultimately be successful in producing or obtaining the quality programming our networks and streaming services need to be successful.</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Increased programming costs have adversely affected and may continue to adversely affect our profits.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produce original programming and other content and may continue to invest in this area, which involves significant costs. We also acquire programming and television series, as well as a variety of digital content and other ancillary rights from other companies, and we pay license fees, royalties or contingent compensation in connection with these acquired rights. Our investments in original programming have been and are expected to continue to be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Netflix, Apple TV+, and Prime Video, has increased our programming content costs.</w:t>
      </w:r>
    </w:p>
    <w:p>
      <w:pPr>
        <w:spacing w:after="0" w:line="7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 producers and other creative talent over the amount of royalties and other payments (see Item 3, "Legal Proceedings" for additional information). We believe that disputes of this type are endemic to our business and similar disputes may arise from time to time in the future. Increases in the costs of programming have led to and may in the future lead to decreased profitability or otherwise adversely impact our business.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in some cases the financial commitment for original programming is partially offset by foreign, state or local tax incentives, there is a risk that the tax incentives will not remain available for the duration of a series. If tax incentives are no longer available, are reduced substantially, or cannot be utilized, we may incur higher costs in order to complete the production or produce additional seasons. If we are unable to produce original programming content on a cost-effective basis, our business, financial condition and results of operations may be materially adversely affected.</w:t>
      </w:r>
    </w:p>
    <w:p>
      <w:pPr>
        <w:spacing w:after="0" w:line="6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business derives a substantial portion of its revenues and income from cable television providers and other MVPDs. Subscription streaming services and virtual MVPDs have changed when, where and how audiences consume video content. These changes have significantly disrupted the traditional U.S. television industry, including by (i) undermining the traditional television content distribution model with subscription streaming services and virtual MVPDs, which are increasing in number and some of which have a significant and growing subscriber base, (ii) disrupting the traditional advertising-supported television model as a result of increased video consumption through subscription streaming services and virtual MVPDs with no advertising or less advertising than on television networks and (iii) shifting viewing from scheduled linear broadcasts to time-shifted and on-demand consumption. In part as a result of these changes, over the past years, the number of subscribers to traditional MVPDs in the United States has significantly declined and the linear U.S. television industry has experienced significant declines in ratings for programming, which has materially negatively affected subscription and advertising revenues, including ours. Developments in technology and new content delivery products and services have also led to an increased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have undertaken and continue to undertake efforts to respond to and mitigate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risks from these changes, however, the effectiveness of these initiatives depends in part on the cooperation of measurement companies, advertisers and affiliates and, therefore, is not entirely within our control. We have incurred significant costs to implement our strategy and initiatives, and will continue to do so, and if these efforts are not successful, our competitive position, business and results of operations could be adversely affected.</w:t>
      </w:r>
    </w:p>
    <w:p>
      <w:pPr>
        <w:spacing w:after="0" w:line="64"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limited number of distributors account for a large portion of our business, failure to renew our programming networks' distribution agreements, renewal on less favorable terms or the termination of those agreements, either in the United States or internationally, could have a material adverse effect on our business.</w:t>
      </w:r>
    </w:p>
    <w:p>
      <w:pPr>
        <w:spacing w:after="0" w:line="67"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Our programming networks depend upon agreements with a limited number of cable television system operators and other MVPDs. The loss of any significant distributor could have a material adverse effect on our results of operations.</w:t>
      </w:r>
    </w:p>
    <w:p>
      <w:pPr>
        <w:spacing w:after="0" w:line="5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Currently our programming networks have distribution agreements with staggered expiration dates through 2030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Failure to renew distribution agreements, renewal on less favorable terms (including with respect to price, packaging, positioning and other marketing opportunities) or the termination of distribution agreements could have a material adverse effect on our results of operations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reduced distribution of our programming networks would adversely affect our affiliate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7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we have, in some instances, made upfront payments to distributors in exchange for additional subscribers or have agreed to waive or accept lower subscription fees if certain numbers of additional subscribers are provided. In certain cases, we also support our distributors' efforts to market our programming networks or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efforts to attract and retain streaming subscribers may not be successful, which may adversely affect our business.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ability to attract and retain subscribers depends in part on our ability to consistently provide compelling content choices and effectively market our streaming services, as well as provide a quality experience for subscribers. Furthermore, the relative service levels, content offerings, pricing and related features of competitors to our service may adversely impact our ability to attract and retain subscribers. For example, we have in the past increased, and may in the future increase, prices for our streaming services, which could result in subscribers cancelling their subscriptions or potential subscribers not choosing to sign up for our services. We incur significant marketing expenditures to attract streaming subscribers, therefore retention of those subscribers is critical to our business model. We must continually add new subscriptions both to replace canceled subscriptions and to grow our streaming services beyond our current subscription base. While we permit multiple users within the same household to share a single account for noncommercial purposes, if account sharing is abused, our ability to add new subscribers may be hindered and our results of operations may be adversely impacted. In addition, certain streaming services such as Netflix, Disney+, Paramount+ and Prime Video offer or have expanded ad-supported tiers, which has further increased competition for streaming subscribers and advertising revenue. If we are unable to successfully compete with current and new competitors in both retaining our existing subscriptions and attracting new subscriptions, our streaming services will be adversely affected.</w:t>
      </w:r>
    </w:p>
    <w:p>
      <w:pPr>
        <w:spacing w:after="0" w:line="8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Advertising market conditions in specific markets have caused and are expected to continue to cause our revenues and operating results to decline significantly in any given period.</w:t>
      </w:r>
    </w:p>
    <w:p>
      <w:pPr>
        <w:spacing w:after="0" w:line="51" w:lineRule="exact"/>
        <w:rPr>
          <w:sz w:val="20"/>
          <w:szCs w:val="20"/>
          <w:color w:val="auto"/>
        </w:rPr>
      </w:pPr>
    </w:p>
    <w:p>
      <w:pPr>
        <w:jc w:val="both"/>
        <w:ind w:firstLine="405"/>
        <w:spacing w:after="0" w:line="273" w:lineRule="auto"/>
        <w:rPr>
          <w:sz w:val="20"/>
          <w:szCs w:val="20"/>
          <w:color w:val="auto"/>
        </w:rPr>
      </w:pPr>
      <w:r>
        <w:rPr>
          <w:rFonts w:ascii="Times New Roman" w:cs="Times New Roman" w:eastAsia="Times New Roman" w:hAnsi="Times New Roman"/>
          <w:sz w:val="18"/>
          <w:szCs w:val="18"/>
          <w:color w:val="auto"/>
        </w:rPr>
        <w:t>We derive substantial revenues from the sale of advertising on a variety of platforms, and a decline in advertising expenditures could have a significant adverse effect on our revenues and operating results in any given period. Our advertising revenues were $581 million for the year ended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December 31, 2025 compared to $677 million for the year ended December 31, 2024, a 14% decline.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the pricing and volume of advertising has been affected by shifts in spending away from more traditional media, toward online and mobile offerings, and toward new ways of purchasing advertising, such as through automated purchasing, dynamic advertising insertion, third parties selling local advertising spots and advertising exchanges, some or all of which are not as advantageous to us as traditional advertising methods. The increased number of entertainment choices available to consumers has intensified audience fragmentation and reduced the viewing of content through traditional and virtual MVPDs, which has caused, and is expected to continue to cause, audience ratings declines for our programming networks and has adversely affected the pricing and volume of advertising.</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Advertising revenues are impacted by new technologies, and that impact has been and could continue to be significant. Since advertising sales are dependent on audience measurement provided by third parties, and the results of audience measurement techniques can vary independent of the size of the audience for a variety of reasons, including variations in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8"/>
          <w:szCs w:val="18"/>
          <w:color w:val="auto"/>
        </w:rPr>
        <w:t>statistical sampling methods employed, we are subject to risks related to such statistical sampling methods, new distribution platforms and viewing technologies, and the shifting of the marketplace to the use of measurement of different viewer behaviors, such as delayed viewing. Although audience measurement systems have evolved and improved to capture the viewership of programming across multiple platforms, they still do not fully capture all viewership across streaming and other digital platforms and advertisers may not be willing to pay advertising rates based on the viewership that is not being measured. In addition, measurement providers may change their methodologies, data sources and panel/“big data” mixes, which could result in discontinuities or volatility in reported ratings and audience metrics (including declines in reported ratings) that may not correspond to actual changes in audience behavior.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and viewership on tablets and smartphones, which continues to evolve, are presently not measured by any one consistently applied method. These variations and changes could have a significant effect on advertising revenues. In addition, in certain geographic regions, our ability to fully capture viewership information may be limited by local laws and regulations.</w:t>
      </w:r>
    </w:p>
    <w:p>
      <w:pPr>
        <w:spacing w:after="0" w:line="8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discussed throughout this Item 1A. Risk Factors, our ability to generate advertising revenue is also dependent on, among other things, our ability to compete in a highly competitive, rapidly evolving industry, respond to changes in consumer behavior and achieve audience acceptance of our content and brands. There can be no assurance that we can successfully navigate the evolving advertising markets or that the advertising revenues we generate will replace the declines in advertising revenues generated from our traditional linear business.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which may have a negative effect on our profitability or on our ability to expand our business.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industries in which we operate are highly competitive. Our programming networks and streaming services compete with other programming networks and other types of video programming services for marketing and distribution by cable and other MVPD systems and ultimately for viewing by their subscribers. We compete with other providers of programming networks for the right to be carried by a particular cable or other MVPD system and for the right to be carried by such system on a particular "tier" of service. The increasing offerings by virtual MVPDs through alternative distribution methods create competition for carriage on those platforms. Our programming networks and streaming services compete with other programming networks, streaming services and other sources of video content to secure desired entertainment programming.</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Competition for content, audiences, advertising, talent, subscribers and service providers is intense and comes from broadcast television, other cable networks, distributors, including subscription streaming services and virtual MVPDs, social media content distributors, and other entertainment outlets and platforms, as well as from search providers, social networks, program guides and "second screen" applications.</w:t>
      </w:r>
    </w:p>
    <w:p>
      <w:pPr>
        <w:spacing w:after="0" w:line="54"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We face significant competition for the development and production of original programming, including from, among others, media companies such as Paramount Skydance Corporation and Warner Bros. Discovery, Inc., and subscription streaming services such as Netflix, Apple TV+ and Prime Video, which has increased and is expected to continue to increase our content costs as creating competing high quality, original content requires significant investment. Additionally, new technological developments, including the development and use of generative artificial intelligence (“AI”) and large language model tools, are rapidly evolving. If our competitors gain an advantage by using such technologies to create, market, target or distribute content more efficiently or effectively, our ability to compete effectively and our results of operations could be adversely impacted. As competition for the creation and acquisition of quality programming continues to escalate, the complexity of negotiations over acquired rights to the content and the value of the rights we acquire or retain has increased and is expected to further increase, leading to increased acquisition costs, and our ability to successfully acquire content of the highest quality may face greater uncertainty.</w:t>
      </w:r>
    </w:p>
    <w:p>
      <w:pPr>
        <w:spacing w:after="0" w:line="9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Certain programming networks affiliated with broadcasting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MVPDs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affiliated programming network on a more desirable tier, thereby giving their affiliated programming network a competitive advantage over our own.</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subscription streaming services, other content distributors, aggregators and search providers create or acquire their own content, their competitive advantage could grow, which could adversely affect our ability to negotiate favorable terms for distribution or otherwise compete effectively in the delivery marketplace. Certain of our competitors also have preferential access to important technologies, customer data or other competitive information.</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5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ongoing changes in business strategy, including decisions to make investments in new businesses, products, services, technologies and other strategic activities, could have an adverse effect on our business, financial condition or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made, and expect to continue to make, changes to our business strategy to effectively respond to market and consumer changes that are subject to execution risk and there can be no assurance they will produce the anticipated benefits. As part of our business strategy, we have invested in, and expect to continue to invest in, new businesses, products, services, technologies and other strategic initiatives, including through acquisitions, and strategic partnerships and investments, and enter into restructurings, cost savings and other transformation initiatives. These investments and initiatives may involve significant risks and uncertainties, including: difficulty integrating acquired businesses; failure to realize anticipated benefits; unanticipated expenses and liabilities; potential disruption to our business and operations; diversion of management’s attention; difficulty managing expanded operations; the loss or inability to retain key employees and creative talent; unanticipated challenges to or loss of our relationship with new or existing users, viewers, advertisers, suppliers, distributors and licensors; legal and regulatory limitations; insufficient revenues from such investments to offset any new liabilities assumed and expenses associated with new investments; and failure to successfully develop an acquired business or technology. Many of these factors are outside of our control, and because new investments are inherently risky, and the anticipated benefits or value of these investments may not materialize, there can be no assurance such investments and other strategic initiatives will not adversely affect our business, financial condition or results of operations.</w:t>
      </w:r>
    </w:p>
    <w:p>
      <w:pPr>
        <w:spacing w:after="0" w:line="80"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adapt to new technological developments, including new content distribution platforms and the growing use of AI, or to changes in consumer behavior resulting from these new technologies, which may adversely affect our business.</w:t>
      </w:r>
    </w:p>
    <w:p>
      <w:pPr>
        <w:spacing w:after="0" w:line="63"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must successfully adapt to technological advances in our industry, including alternative distribution platforms, viewing technologies, as well as the rising use of AI and large language model tools. Our ability to exploit new distribution platforms and viewing technologies will affect our ability to maintain or grow our business. New forms of content distribution provide different economic models and compete with current distribution methods in ways that are not entirely predictable. Such competition has reduced and is likely to continue to reduce demand for our traditional television offerings, potentially at an accelerating pace, and could reduce demand for the offerings of digital platforms and, in turn, reduce our revenue from these sources. Accordingly, we must adapt to changing consumer behavior driven by advances such as virtual MVPDs, video on demand, subscription streaming services, including services such as Netflix, Apple TV and Prime Video, and mobile devices. Connected TV devices and operating systems (including Roku) and gaming and other consoles such as Microsoft's Xbox have also established themselves as alternative providers of video services. Such changes have impacted and are expected to continue to impact the revenues we are able to generate from our traditional distribution methods, by decreasing the viewership of our programming networks on cable and other MVPD systems which are almost entirely directed at television video delivery and by making advertising on our programming networks less valuable to advertisers. Additionally, the development and use of AI and machine learning technologies, including generative AI and large language models, in our industry are rapidly evolving, and the advantages and risks associated with their use remain uncertain. These technologies may create new competitive dynamics and lower barriers to entry for content creation, aggregation, discovery and distribution. They may also raise novel and evolving legal, regulatory and contractual issues, including with respect to intellectual property ownership and infringement, rights of publicity and privacy, and the use of protected works, performances, voices or likenesses. If we fail to effectively respond to these developments or adapt our content and distribution strategies to new technologies, our appeal to our targeted audiences would likely decline, our costs could increase, and our business and results of operations could be adversely affected.</w:t>
      </w:r>
    </w:p>
    <w:p>
      <w:pPr>
        <w:spacing w:after="0" w:line="8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5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consolidation in the industry, 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71"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success of our businesses depends in part on our ability to maintain, protect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data protection, privacy and other laws as applied to our content, and piracy detection and enforcement efforts, continue to evolve. The failure to strengthen, or the weakening of, existing intellectual property laws could make it more difficult for us to adequately protect our intellectual property and negatively affect its value and our results of operations.</w:t>
      </w:r>
    </w:p>
    <w:p>
      <w:pPr>
        <w:spacing w:after="0" w:line="8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prevalence of digital formats and technologies heightens this risk. Moreover, further technological developments in the area of generative AI could impact our ability to protect against infringing uses of our content. Unauthorized access to our content could result in the premature release of our programming, which may have a significant adverse effect on the value of the affected programming.</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we may, from time to time, lose or cease to control certain of our rights in the intellectual property on which we rely. Under applicable intellectual property laws, such rights may expire or be transferred to third parties as a result of the operation of copyright reversion and/or termination of transfer rights under applicable laws. Additionally, where we acquire rights in certain properties or content, we may only acquire such rights for a limited period or subject to other restrictions. Where we lose intellectual property rights, we may not be able to re-acquire such rights on reasonable terms or at all. The loss of control of such intellectual property rights may adversely impact our ability to prevent others from exploiting content based on such rights.</w:t>
      </w:r>
    </w:p>
    <w:p>
      <w:pPr>
        <w:spacing w:after="0" w:line="7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may in the future become, subject to litigation and other legal proceedings, which could negatively impact our business, financial condition and results of operations.</w:t>
      </w:r>
    </w:p>
    <w:p>
      <w:pPr>
        <w:spacing w:after="0" w:line="5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(including class action lawsuits), claims, regulatory investigations and arbitration proceedings in the U.S. and in foreign countries, including claims relating to intellectual property, employment, wage and hour, consumer privacy, contractual and commercial disputes, and the production, distribution,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licensing of our content. Any proceedings, actions, claims or inquiries initiated by or against us, whether successful or not, may be time consuming, result in costly litigation, damage awards, consent decrees, injunctive relief or increased costs of business, require us to change our business practices or products, result in negative publicity, require significant amounts of management time, result in the diversion of significant operational resources or otherwise harm our business and financial results. In addition, our insurance may not be adequate to protect us from all material expenses related to pending and future claims. Any of these factors could materially adversely affect our business, financial condition and results of operations. For further information about specific litigation and proceedings, see the section titled “Legal Proceedings” contained in Part I, Item 3 of this Annual Report on Form 10-K.</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have recognized, and could in the future recognize, impairment charges related to goodwill and other intangible assets.</w:t>
      </w:r>
    </w:p>
    <w:p>
      <w:pPr>
        <w:spacing w:after="0" w:line="20"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In accordance with U.S. GAAP, management periodically assesses our goodwill and other intangible assets to determine if they are impaired. Significant negative industry or economic trends, including the continued decline of traditional linear television viewership and linear ad revenues, disruptions to our business, inability to effectively integrate acquired businesses, underperformance of our content, loss of significant customers or suppliers, unexpected significant changes or planned changes in use of the assets, including in connection with restructuring initiatives, divestitures and market capitalization declines could require us to evaluate the recoverability of our goodwill or our long-lived and indefinite lived-assets prior to the annual assessment. These types of events have in the past resulted, and could again in the future result, in impairment charges, which have in the past negatively affected, and could in the future negatively affect, our results of operations. For example, during 2025 and 2024, we recorded $93.4 million and $370.7 million, respectively, of goodwill impairment charges, as well as $4.4 million of indefinite lived intangible asset impairment charges in 2025. These types of events could be an indicator of significant declines in the expected performance of our reporting units and could negatively affect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Operational Risks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face risks from doing business internationally.</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54" w:lineRule="exact"/>
        <w:rPr>
          <w:sz w:val="20"/>
          <w:szCs w:val="20"/>
          <w:color w:val="auto"/>
        </w:rPr>
      </w:pPr>
    </w:p>
    <w:p>
      <w:pPr>
        <w:ind w:left="660" w:right="140" w:hanging="247"/>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policies affecting trade and taxes, including laws and policies relating to the repatriation of funds and withholding taxes, and changes in these laws;</w:t>
      </w:r>
    </w:p>
    <w:p>
      <w:pPr>
        <w:spacing w:after="0" w:line="1" w:lineRule="exact"/>
        <w:rPr>
          <w:rFonts w:ascii="Times New Roman" w:cs="Times New Roman" w:eastAsia="Times New Roman" w:hAnsi="Times New Roman"/>
          <w:sz w:val="18"/>
          <w:szCs w:val="18"/>
          <w:color w:val="auto"/>
        </w:rPr>
      </w:pPr>
    </w:p>
    <w:p>
      <w:pPr>
        <w:ind w:left="660" w:right="760" w:hanging="247"/>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regulatory requirements, including restrictions on content, imposition of local content quotas and restrictions on foreign ownership;</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tariffs and other trade barriers;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degrees of protection for intellectual property and varying attitudes towards the piracy of intellectual property;</w:t>
      </w:r>
    </w:p>
    <w:p>
      <w:pPr>
        <w:spacing w:after="0" w:line="63" w:lineRule="exact"/>
        <w:rPr>
          <w:rFonts w:ascii="Times New Roman" w:cs="Times New Roman" w:eastAsia="Times New Roman" w:hAnsi="Times New Roman"/>
          <w:sz w:val="18"/>
          <w:szCs w:val="18"/>
          <w:color w:val="auto"/>
        </w:rPr>
      </w:pPr>
    </w:p>
    <w:p>
      <w:pPr>
        <w:ind w:left="660" w:right="240" w:hanging="247"/>
        <w:spacing w:after="0" w:line="28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cybersecurity, privacy and data protection laws and regulations, as well as data localization requirements, and changes in these laws and requirements;</w:t>
      </w:r>
    </w:p>
    <w:p>
      <w:pPr>
        <w:spacing w:after="0" w:line="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restrictions on currency conversion or remittances;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instability of foreign economies and governments;</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and acts of terrorism; and</w:t>
      </w:r>
    </w:p>
    <w:p>
      <w:pPr>
        <w:spacing w:after="0" w:line="63" w:lineRule="exact"/>
        <w:rPr>
          <w:rFonts w:ascii="Times New Roman" w:cs="Times New Roman" w:eastAsia="Times New Roman" w:hAnsi="Times New Roman"/>
          <w:sz w:val="18"/>
          <w:szCs w:val="18"/>
          <w:color w:val="auto"/>
        </w:rPr>
      </w:pPr>
    </w:p>
    <w:p>
      <w:pPr>
        <w:ind w:left="660" w:right="320" w:hanging="247"/>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laws and regulations such as the Foreign Corrupt Practices Act and the U.K. Bribery Act that impose stringent requirements on how we conduct our foreign operations and changes in these laws and regulations.</w:t>
      </w:r>
    </w:p>
    <w:p>
      <w:pPr>
        <w:spacing w:after="0" w:line="54"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Events or developments related to the risks described above as well as other risks associated with international trade could adversely affect our revenues from non-U.S. sources, which could have a material adverse effect on our business, financial condition, operating results, liquidity and prospects.</w:t>
      </w:r>
    </w:p>
    <w:p>
      <w:pPr>
        <w:spacing w:after="0" w:line="50"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continually evolving cybersecurity and other technology-related risks, which could result in the disclosure, theft, destruction or misappropriation of, or access to, confidential information, disruption of our programming, damage to our brands and reputation, legal exposure and financial losses.</w:t>
      </w:r>
    </w:p>
    <w:p>
      <w:pPr>
        <w:spacing w:after="0" w:line="6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maintain and transmit information, including confidential and proprietary information regarding our content, distributors, advertisers, viewers and employees, in digital form as necessary to conduct our business. We also rely on third-party vendors to provide certain services in connection with the storage, processing and transmission of digital information. Data maintained or transmitted in digital form is subject to the risk of, among other things, cybersecurity attacks, tampering, misappropriation, theft, destruction or unauthorized access. We develop and maintain systems to monitor and prevent cybersecurity incidents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third-party vendors' information technology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other systems that maintain and transmit consumer, distributor, advertiser, company, employee and other confidential information may be compromised by a malicious penetration of our network security, or that of a third party provider, including as a result of employee error, social engineering, malware (including ransomware), viruses, hacking and phishing attacks, or otherwise. Hybrid work arrangements increase the risk of cyber incidents, including data breaches. Additionally, outside parties from time to time attempt to fraudulently induce employees or users to disclose sensitive or confidential information in order to gain access to data or systems. Such attempts may become more sophisticated as threat actors increasingly use AI-enabled tools, including impersonation and manipulated audio or video content (“deepfakes”), to facilitate social engineering, credential compromise and fraud.</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Because the techniques used to obtain unauthorized access, disable or degrade service, or sabotage systems change frequently, are increasing in sophistication and complexity and often are not recognized until launched against a target, a security incident could potentially persist for an extended period of time before being detected. We may not be able to anticipate the incident or respond adequately or timely, and the extent of a particular incident, and the steps that we may need to take to investigate the incident, may not be immediately clear. As a result, our or our customers’ or affiliates’ sensitive, proprietary and/or confidential information may be lost, disclosed, accessed or taken without consent. If our or our third-party providers'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or our third-party providers'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also continue to review and enhance our security measures in light of the constantly evolving techniques used to gain unauthorized access to networks, data, software and systems. We have expended, and expect to continue to expend, significant expenses on an ongoing basis in order to review and enhance our security measures and to address any actual or potential security incidents that arise, but these measures may be ineffective and we may be subject to legal or regulatory action, as well as financial losses, and we may not have insurance coverage for any or all such losses. If we experience an actual or perceived security incident, our ability to conduct business may be interrupted or impaired, we may incur damage to our systems, we may lose profitable opportunities or the value of those opportunities may be diminished and we may lose revenue as a result of unlicensed use of our intellectual property. Unauthorized access to or security breaches of our systems could result in the loss of data, loss of business, severe reputational damage adversely affecting customer or investor confidence, diversion of management’s attention, regulatory investigations and orders, litigation, indemnity obligations, damages for contract breach, penalties for violation of applicable laws or regulations and significant costs for remediation that may include liability for stolen or lost assets or information and repair of system damage that may have been caused, incentives offered to customers or other business partners in an effort to maintain business relationships after a breach and other liabilities. In addition, in the event of a security incident, changes in legislation may increase the risk of potential litigation. For example, the CCPA, as amended by the California Privacy Rights Act ("CPRA"), provides a private right of action (in addition to statutory damages) for California residents whose sensitive personal information is breached as a result of a business’ violation of its duty to reasonably secure such information. A number of other states have passed similar laws and additional states may do so in the near future. Our insurance coverage may not be adequate to cover the costs of a data breach, indemnification obligations, or other liabilities.</w:t>
      </w:r>
    </w:p>
    <w:p>
      <w:pPr>
        <w:spacing w:after="0" w:line="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routinely transmit and receive personal, confidential and proprietary information by email and other electronic means. We have discussed and worked with customers, partners, employees, directors, independent contractors and vendors to secure transmission capabilities, use approved information technology systems, and protect against cyber incidents, but we do not have, and may be unable to put in place, secure capabilities with all of our customers, partners, employees, directors, independent contractors and vendors and we may not be able to ensure that these parties have appropriate controls in place to protect the confidentiality of the information or refrain from using unapproved systems. An interception, misuse or mishandling of personal, confidential or proprietary information being sent to or received from a client, vendor, service provider, counterparty or other third party could result in legal liability, regulatory action and reputational harm.</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evolving regulations require us to disclose information about material cybersecurity incidents on a timely basis, including those that may not have been resolved or fully investigated at the time of disclosure, or, in some instances, we may have obligations to notify relevant stakeholders of security breaches. Such mandatory disclosures are costly, could provide information to threat actors, could lead to negative publicity, may cause our customers to lose confidence in the effectiveness of our security measures and may require us to expend significant capital and other resources to respond to or alleviate problems caused by an actual or perceived security breach.</w:t>
      </w:r>
    </w:p>
    <w:p>
      <w:pPr>
        <w:spacing w:after="0" w:line="7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interruption or unavailability of third-party facilities, systems and/or software upon which we rely may have a material negative effect on our business, financial condition and results of operations.</w:t>
      </w:r>
    </w:p>
    <w:p>
      <w:pPr>
        <w:spacing w:after="0" w:line="5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We rely upon various internal and third-party software and systems in the operation of our business, including, with respect to credit card processing, email marketing, content distribution, database, human resource management and financial systems. System interruption and the lack of redundancy in the information systems and infrastructure, both of our own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56" w:lineRule="auto"/>
        <w:rPr>
          <w:sz w:val="20"/>
          <w:szCs w:val="20"/>
          <w:color w:val="auto"/>
        </w:rPr>
      </w:pPr>
      <w:r>
        <w:rPr>
          <w:rFonts w:ascii="Times New Roman" w:cs="Times New Roman" w:eastAsia="Times New Roman" w:hAnsi="Times New Roman"/>
          <w:sz w:val="18"/>
          <w:szCs w:val="18"/>
          <w:color w:val="auto"/>
        </w:rPr>
        <w:t>websites and other computer systems and of affiliate and third-party software, computer networks, applications and other communications systems service providers on which we rely may adversely affect our ability to operate websites, applications, process and fulfill transactions, respond to customer inquiries, transmit or display content, and generally maintain cost-efficient operations. Such interruptions could occur as a result of a number of factors, including design defects, the age of the technology, network failures, technology modernization initiatives, malfunctions in maintenance updates or security patches, natural disaster, malicious actions, such as hacking or acts of terrorism or war, or human error. Any such damage or disruptions could also compromise the security of our information systems and networks.</w:t>
      </w:r>
    </w:p>
    <w:p>
      <w:pPr>
        <w:spacing w:after="0" w:line="7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While we have backup systems and offsite data centers for certain aspects of our operations, disaster recovery planning by its nature cannot cover all eventualities. In addition, we may not have adequate insurance coverage to compensate for any or all losses from a major interruption. If any of these adverse events were to occur, it could have a material negative effect on our business, financial condition and results of operations.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our technology facilities fail or their operations are disrupted, or if we lose access to third party satellites, our performance could be hindered.</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full-time disaster recovery site through a third-party service provider that is capable of providing simultaneous playout of AMC, BBCA, SundanceTV, IFC and We TV in the event of a disruption of operations at our main facility in Bethpage, NY. In the event of a catastrophic failure of the Bethpage facility, the third-party disaster recovery site can be operational on the satellite within one to two hours.</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 Further, there are a limited number of communications satellites available for the transmission of programming, those satellites may even be more limited in the future, and, in the event of a disruption, we may not be able to secure an alternate distribution source in a timely manner.</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or artistic talent could adversely affect our business.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to a significant extent upon the performance of our senior executives and other key employees and on our ability to identify, attract, hire, train and retain such personnel. We generally do not maintain "key man" insurance, and there is no assurance of the continued services of our senior executives or other key employees. In addition, we depend on the availability of third-party production companies to create some of our original programming. For certain of our productions, through in-house and third-party production service companies, we engage the services of writers, directors, actors and various crew members who are subject to certain specially negotiated collective bargaining agreements. While the Company was not significantly impacted by the 2023 Writers Guild of America and SAG-AFTRA strikes, any future labor disputes or a strike by one or more unions representing any of these parties who are essential to our original programming could have a material adverse effect on our original programming, disrupt our operations and reduce our revenues. The loss of any significant personnel or artistic talent, or our artistic talent losing their audience base, could also have a material adverse effect on our business.</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limited by United States regulatory constraints which may adversely impact our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jurisdictions in which we or our partners operate. The broadcast and cable industries in the U.S. are highly regulated by U.S. federal laws and regulations issued and administered by various federal agencies, including the FCC. See Item 1, "Business—Regulation" in this Annual Report. For example, we are required to obtain licenses from the FCC to operate our television stations and periodically renew them.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 material adverse effect on our business, financial condition or results of operations. Furthermore, to the extent that regulations and laws, either presently in force or proposed or adopted in the future, hinder or stimulate the growth of the cable television, satellite or other MVPD industries, or seek to regulate the manner in which video content is distributed on websites or in DTC applications, our business could be affected. For instance, the FCC is currently evaluating whether to make certain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spectrum that is used for programming delivery via satellite—known as “Upper C-band” spectrum—available for more intensive use by wireless services. If some or all of that spectrum is repurposed, satellite operators could be forced to relocate their operations or transition to alternative distribution mechanisms, both of which could adversely impact their ability to continue delivering programming. The FCC’s proceeding remains open, but the agency is required by Congress to repurpose the spectrum and auction it for wireless use by July 2027.</w:t>
      </w:r>
    </w:p>
    <w:p>
      <w:pPr>
        <w:spacing w:after="0" w:line="7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program services and online properties are also subject to a variety of laws and regulations, including those relating to content regulation, user privacy and data protection, consumer protection, intellectual property, content restrictions, child protection and accessibility. The United States Congress and the FCC currently have under consideration, and may in the future adopt, new laws, regulations and policies regarding a wide variety of matters that could, directly or indirectly, affect our operations. In particular, the legal and regulatory framework governing AI remains unsettled, and developments in this area may have an adverse impact on our business.</w:t>
      </w:r>
    </w:p>
    <w:p>
      <w:pPr>
        <w:spacing w:after="0" w:line="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Regulatory investigations and enforcement actions could also impact our business operations. For example, we and other companies in the media, entertainment, and advertising technology industries are subject to government oversight by regulatory bodies with regard to our compliance with data privacy and security laws. Advocacy organizations have also filed complaints with data protection authorities against businesses with streaming apps and advertising technology, arguing that certain of these companies’ practices do not comply with the CCPA or other regulations. Any such investigations or enforcement actions arising out of these complaints or out of other circumstances may require us to alter our practices. Further, if we or the third parties that we work with, such as contract payment processing services, content and distribution partners, vendors, or developers, violate or are alleged to violate applicable privacy or security laws, laws concerning access to data, industry standards, our contractual obligations, or our policies, such violations and alleged violations may also put our users’ information at risk and could in turn harm our business and reputation and subject us to potential liability. Any of these consequences could cause our users, advertisers, or content partners to lose trust in us, which could harm our business. Furthermore, any failure on our part to comply with these laws may subject us to liability and reputational harm.</w:t>
      </w:r>
    </w:p>
    <w:p>
      <w:pPr>
        <w:spacing w:after="0" w:line="8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regulation of cable television operators, satellite carriers, and other video programming distributors is subject to the political process and has been in constant flux over the past two decades. Further changes in the law and regulatory requirements, including material ones, may be proposed or adopted in the future. We cannot assure you that our business will not be adversely affected by future legislation, new regulation or deregulation of us or of our competitors.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businesses are subject to risks of adverse regulation by foreign governments.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Programming businesses are subject to the regulations of regulators in the countries in which they operate as well as international bodies, such as the European Union ("E.U."). These regulations may include restrictions on the types of advertisements that can be sold on our networks, programming content requirements, requirements to make programming available on non-discriminatory terms, local levies or taxes applied to our networks and local content quotas. Consequently, our businesses must adapt their ownership and organizational structures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7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Existing or proposed legislation, regulations and frameworks could also significantly affect our business. For example, the E.U. GDPR imposes, among other things, stringent operational requirements for processors and controllers of personal data, including expansive disclosures about how personal information is to be used, and significant fines for non-compliance. Complying with these laws and regulations has been and could continue to be costly, could require us to change our business practices, or could limit or restrict aspects of our business in a manner adverse to our business operations. In particular, certain data privacy laws have required monitoring of, and changes to, our practices related to the collection, use, disclosure and storage of personal information. Many of these laws and regulations continue to evolve, and sometimes conflict among the countries in which we operate, and substantial uncertainty surrounds their scope and application. In addition, restrictions or increased requirements relating to cross-border data transfers and data localization may require changes to our systems, vendor relationships and business practices, including in connection with advertising, measurement and other digital operations, and may increase compliance costs. Our failure to comply with these laws and regulations could result in exposure to enforcement actions by foreign governments, as well as significant negative publicity and reputational damage.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Adverse changes in foreign rules and regulations could have a significant adverse impact on our profitability.</w:t>
      </w:r>
    </w:p>
    <w:p>
      <w:pPr>
        <w:spacing w:after="0" w:line="113"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Economic and financial problems in the United States or in other parts of the world have in the past adversely affected and could in the future adversely affect our results of operations.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business is affected by prevailing economic and financial conditions in the United States and other countries where our networks are distributed, including financial instability, a general decline in economic conditions (including as a result of a pandemic or other health emergency), disruptions to financial markets, inflation, recession, high unemployment or geopolitical events (including the war between Russia and Ukraine as well as the Israel-Hamas conflict), potential disruptions arising from 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U.S. federal government shutdown or related fiscal uncertainty, political uncertainty, or fears about such events occurring. The adverse impact on our businesses of actual or perceived declines in economic conditions or a failure of conditions to improve as anticipated will depend, in part, on their severity and duration, and our ability to mitigate these impacts on our businesses is limited. The worsening of global economic conditions has in the past adversely affected, and could in the future adversely affect, our business, financial condition or results of operations, and worsening of economic conditions in certain specific parts of the world could impact the expansion and success of our businesses in such areas. Furthermore, some foreign markets in which we operate may be more adversely affected by worsening economic conditions than the United States or other countries. Adverse economic conditions have resulted in and could in the future result in advertisers reducing their spending on advertising and negatively affect the ability of those with whom we do business to satisfy their obligations to us, as well as consumer discretionary spending. In particular, periods of elevated interest rates, tighter credit conditions and reduced liquidity in the capital markets may increase financial pressure on distributors, advertisers and other counterparties, and may result in delayed payments, disputes, renegotiations, increased credit losses, insolvencies or other failures to perform under contractual arrangements.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derive substantial revenues from advertisers, and these expenditures are sensitive to general economic conditions and consumer buying patterns.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 economic conditions have in the past adversely affected advertising rates and volume, which has resulted in a decrease in our advertising revenues.</w:t>
      </w:r>
    </w:p>
    <w:p>
      <w:pPr>
        <w:spacing w:after="0" w:line="9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Decreases in consumer discretionary spending in the U.S. and other countries where our networks are distributed have in the past affected and may in the future affect cable television and other video service subscriptions, in particular with respect to digital service tiers on which certain of our programming networks are carried. This could lead to a decrease in the number of subscribers receiving our programming from MVPDs, which could, in turn, have a negative impact on our viewing subscribers and subscription revenues. Similarly, a decrease in viewing subscribers could have a negative impact on the number of viewers actually watching the programs on our programming networks, thereby impacting the rates we are able to charge advertisers.</w:t>
      </w:r>
    </w:p>
    <w:p>
      <w:pPr>
        <w:spacing w:after="0" w:line="75"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current administration has introduced tariffs that impact a number of industries, including announcing an intention to impose tariffs on movies produced outside the United States. Such tariffs, if imposed, and similar tariffs imposed by other governments, could have a material adverse effect on our financial condition and results of operations.</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current administration has introduced tariffs that impact a number of industries, including announcing an intention to impose tariffs on movies produced outside the United States. The U.S. tariff environment remains highly dynamic and the timing, scope and manner in which any such measures may be adopted or implemented (if at all) remain uncertain. Tariffs charged by other countries, included retaliatory tariffs, are also expected to evolve. As a result, we cannot predict the breadth of tariffs and related costs that will ultimately impact the Company, but if tariffs are imposed on production of content, including films and series, such costs could be substantial and have a material adverse effect on our financial condition, results of operations and cash flows, and our expected financial results. Based on the ultimate scope, nature and duration of any tariffs implemented, we may take various mitigating actions, such as making changes to our content production plans, which may not fully offset the impact of tariffs. We may also need to make material changes to how and where we produce and source programming, which could require significant changes to production schedules and locales, including access to local production tax credits, any of which could be material.</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exchange rates have had and could have in the future an adverse effect on our 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 and could adversely affect our cash flows.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Specifically, we are exposed to foreign currency exchange rate risk to the extent that we enter into transactions denominated in currencies other than ours or our subsidiaries' respective functional currencies,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or realized (based upon period-end exchange rates) foreign currency transaction gains or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British pound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75"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upon cloud computing services to operate certain aspects of our business and any disruption of or interference with our use of these services would impact our operations and our business would be adversely impacted.</w:t>
      </w:r>
    </w:p>
    <w:p>
      <w:pPr>
        <w:spacing w:after="0" w:line="63"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Cloud computing services provide a distributed computing infrastructure platform for business operations. We have architected our software and computer systems so as to utilize data processing, storage capabilities and other services provided by third party cloud providers. Such third parties’ facilities are vulnerable to damage or interruption from natural disasters, cybersecurity attacks, terrorist attacks, power outages and similar events or acts of misconduct. Currently, we run the vast majority of our computing through these third parties' services. We have experienced, and we expect that in the future we will experience, interruptions, delays and outages in service and availability from our third-party cloud providers from time to time due to a variety of factors, including infrastructure changes, human or software errors, website hosting disruptions and capacity constraints. Given this, along with the fact that we cannot easily switch our third-party cloud operations to another cloud provider, without significant costs, or at all, any disruption of or interference with our use of third-party cloud providers would impact our operations and our business.</w:t>
      </w:r>
    </w:p>
    <w:p>
      <w:pPr>
        <w:spacing w:after="0" w:line="80"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business have in the past been, and could in the future be, materially adversely impacted by a pandemic or other health emergency.</w:t>
      </w:r>
    </w:p>
    <w:p>
      <w:pPr>
        <w:spacing w:after="0" w:line="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Pandemics, such as the COVID-19 pandemic, and public health emergencies have affected and may, in the future, adversely affect our businesses. During the COVID-19 pandemic, we experienced adverse advertising sales impacts and suspended content production, which led to delays in the creation and availability of substantially all of our programming. In the event of a future pandemic or other public health emergency, if significant portions of our workforce, including key personnel, are unable to work effectively because of illness, government actions or other restrictions, the impact on our</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businesses could be exacerbated. In addition, remote work arrangements heighten the operational risks, including cybersecurity risks, to which we are subject.</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cannot reasonably predict the ultimate impact of any future pandemic or public health emergency, including the extent of any adverse impact on our business, results of operations and financial condition, which will depend on, among other things, the duration and spread of the pandemic or public health emergency, the impact of governmental regulations that may be imposed in response, the effectiveness of actions taken to contain or mitigate the outbreak, the availability, safety and efficacy of vaccines, including against emerging variants of the infectious disease, and global economic conditions.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to the extent that a pandemic or other public health emergency adversely affects our operations and financial condition, it may also heighten other risks described in this section.</w:t>
      </w:r>
    </w:p>
    <w:p>
      <w:pPr>
        <w:spacing w:after="0" w:line="36"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achieving sustaining or improving operating expense reductions and might experience business disruptions associated with restructuring and cost reduction activities.</w:t>
      </w:r>
    </w:p>
    <w:p>
      <w:pPr>
        <w:spacing w:after="0" w:line="6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has been, and may in the future be, the subject of restructuring and cost reduction initiatives. We may not be successful in achieving the full cost reduction benefits we expect over the timeframe we expect, or at all, and the ongoing costs of implementing cost reduction and restructuring measures might be greater than anticipated. If these measures are not successful or sustainable, we may undertake additional restructuring and cost reduction efforts, which could result in future restructuring charges. Moreover, our ability to achieve our other strategic goals and business plans might be adversely affected, and we could experience business disruptions, if our restructuring efforts and cost reduction activities prove ineffective. These actions may also distract management from other business opportunities and adversely impact employee productivity and morale.</w:t>
      </w:r>
    </w:p>
    <w:p>
      <w:pPr>
        <w:spacing w:after="0" w:line="62" w:lineRule="exact"/>
        <w:rPr>
          <w:sz w:val="20"/>
          <w:szCs w:val="20"/>
          <w:color w:val="auto"/>
        </w:rPr>
      </w:pPr>
    </w:p>
    <w:p>
      <w:pPr>
        <w:ind w:left="4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6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6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1" w:lineRule="exact"/>
        <w:rPr>
          <w:rFonts w:ascii="Times New Roman" w:cs="Times New Roman" w:eastAsia="Times New Roman" w:hAnsi="Times New Roman"/>
          <w:sz w:val="18"/>
          <w:szCs w:val="18"/>
          <w:color w:val="auto"/>
        </w:rPr>
      </w:pPr>
    </w:p>
    <w:p>
      <w:pPr>
        <w:ind w:left="660" w:right="1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63" w:lineRule="exact"/>
        <w:rPr>
          <w:rFonts w:ascii="Times New Roman" w:cs="Times New Roman" w:eastAsia="Times New Roman" w:hAnsi="Times New Roman"/>
          <w:sz w:val="18"/>
          <w:szCs w:val="18"/>
          <w:color w:val="auto"/>
        </w:rPr>
      </w:pPr>
    </w:p>
    <w:p>
      <w:pPr>
        <w:ind w:left="660" w:right="4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additional tax liabilities.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subject to income taxes as well as non-income based taxes, such as payroll, sales, use, value-added, net worth, property and goods and services taxes, in both the United States and various foreign jurisdictions.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 (1) 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Although a portion of our revenue and operating income is generated outside the United States, we are subject to potential current U.S. income tax on this income since we are a U.S. corporation, resulting in a potentially higher effective tax rate for the Company. This includes (i)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and (ii) what is referred to as “global intangible low-taxed income,” ("GILTI"), which generally equals certain foreign earnings in excess of 10 percent of the foreign subsidiaries’ tangible business assets. On July 4, 2025, the One Big Beautiful Bill Act (the "OBBBA") was signed into law which made several modifications to the GILTI tax regime, now referred to as “net controlled foreign corporation tested income”, including, but not limited to, removing the 10 percent deduction related to a taxpayer’s tangible business assets. The changes are not effective until tax years beginning after December 31, 2025.</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While we may mitigate any potential negative impacts of the aforementioned regimes through claiming a foreign tax credit against our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if we incur losses in non-U.S. subsidiaries that are not available to offset U.S. taxable income (or otherwise are not currently deductible for U.S. tax purposes).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1" w:name="page32"/>
    <w:bookmarkEnd w:id="31"/>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the phased implementation of the Pillar Two Model Rules in 2024 and the minimum tax requirement has not had a material impact upon the Company's results of operations or financial position.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 significant amount of our book value consists of intangible assets that may not generate cash in the event of a voluntary or involuntary sale.</w:t>
      </w:r>
    </w:p>
    <w:p>
      <w:pPr>
        <w:spacing w:after="0" w:line="12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At December 31, 2025, our consolidated financial statements included approximately $3.9 billion of consolidated total assets, of which approximately $0.4 billion were classified as intangible assets. Intangible assets primarily include affiliation 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Debt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long-term debt and high leverage could adversely affect our business.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 significant amount of long-term debt. As of December 31, 2025, we had $1.8 billion principal amount of total long-term debt (excluding finance leases), comprised of $83 million of senior secured debt under our Credit Facility, $875 million of senior secured notes due 2029 (the "2029 Secured Notes"), $400 million of senior secured notes due 2032 (the "2032 Secured Notes"), $277 million of senior unsecured notes due 2029 and $144 million of convertible senior notes due 2029.</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substantial amount of debt could have important consequences. For example, it could:</w:t>
      </w:r>
    </w:p>
    <w:p>
      <w:pPr>
        <w:spacing w:after="0" w:line="50" w:lineRule="exact"/>
        <w:rPr>
          <w:sz w:val="20"/>
          <w:szCs w:val="20"/>
          <w:color w:val="auto"/>
        </w:rPr>
      </w:pPr>
    </w:p>
    <w:p>
      <w:pPr>
        <w:ind w:left="6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increase our vulnerability to general adverse economic and industry conditions because, during periods in which we experience lower earnings and cash flow, we will be required to devote a proportionally greater amount of our cash flow to paying interest and principal on our debt;</w:t>
      </w:r>
    </w:p>
    <w:p>
      <w:pPr>
        <w:spacing w:after="0" w:line="2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2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because our available cash flow after paying interest and principal payments on our debt may not be sufficient to make the capital and other expenditures necessary to address these changes;</w:t>
      </w:r>
    </w:p>
    <w:p>
      <w:pPr>
        <w:spacing w:after="0" w:line="23"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place us at a competitive disadvantage compared with our relatively less leveraged competitors that have more cash flow available to fund working capital, capital expenditures, acquisitions, share repurchases, dividend payments and general corporate requirements;</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4"/>
        </w:numPr>
        <w:rPr>
          <w:rFonts w:ascii="Arial" w:cs="Arial" w:eastAsia="Arial" w:hAnsi="Arial"/>
          <w:sz w:val="22"/>
          <w:szCs w:val="22"/>
          <w:color w:val="auto"/>
        </w:rPr>
      </w:pPr>
      <w:r>
        <w:rPr>
          <w:rFonts w:ascii="Times New Roman" w:cs="Times New Roman" w:eastAsia="Times New Roman" w:hAnsi="Times New Roman"/>
          <w:sz w:val="18"/>
          <w:szCs w:val="18"/>
          <w:color w:val="auto"/>
        </w:rPr>
        <w:t>limit our ability to borrow additional funds in the future to fund working capital, capital expenditures, acquisitions and general corporate requirements, even when necessary to maintain adequate liquidity;</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make it more difficult for us to satisfy our financial obligations, including obligations with respect to our outstanding indebtedness, or to refinance our indebtedness on terms acceptable to us or at all; and</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make it more difficult for us to satisfy financial ratio tests that are applicable under the agreements governing our outstanding indebtedness.</w:t>
      </w:r>
    </w:p>
    <w:p>
      <w:pPr>
        <w:spacing w:after="0" w:line="22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ability to make payments on, or repay or refinance, our debt, and to fund planned distributions and capital expenditures, will depend largely upon our future operating performance and our ability to borrow additional funds in the future. We may be unable to maintain a level of cash flows from operating activities sufficient to permit us to pay the principal, premium, if any, and interest on our indebtedness. Our future performance, to a certain extent, is subject to general economic, financial, competitive, regulatory and other factors that are beyond our control. Our leverage may make our results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 In addition, our ability to borrow funds in the future to make payments on our debt will depend on the satisfaction of the covenants in the Credit Facility and our other debt agreements, including the indentures governing our notes and other agreements we may enter into in the future.</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including the notes. We may not be able to effect any such alternative measures, if necessary, on commercially reasonable terms or at all and, even if successful, those alternative actions may not allow us to meet our scheduled debt service obligations. Agreements relating to our indebtedness, including the Credit Facility, may also restrict our ability to raise debt or equity capital to be used to repay other indebtedness when it becomes due. We may not be able to obtain proceeds in an amount sufficient to meet any debt service obligations then due.</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outstanding indebtedness.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the holders of our senior notes and convertible senior notes could declare all outstanding principal and interest to be due and payable, the lenders under the Credit Facility could terminate their commitments to loan money, lenders under, or holders of, our secured debt (including our 2029 Secured Notes, our 2032 Secured Notes and any borrowings outstanding under the Credit Facility) could, in certain situations, foreclose against the assets securing their borrowings, and we could be forced into bankruptcy or liquidation.</w:t>
      </w:r>
    </w:p>
    <w:p>
      <w:pPr>
        <w:spacing w:after="0" w:line="68" w:lineRule="exact"/>
        <w:rPr>
          <w:sz w:val="20"/>
          <w:szCs w:val="20"/>
          <w:color w:val="auto"/>
        </w:rPr>
      </w:pPr>
    </w:p>
    <w:p>
      <w:pPr>
        <w:ind w:left="4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refinance our indebtedness on favorable terms, or at all. Our inability to refinance our indebtedness could materially and adversely affect our liquidity and our ongoing results of operations.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will need to refinance our existing indebtedness as it matures, and we do not expect to generate sufficient cash from operations to repay at maturity our outstanding debt obligations. For example, we have $1.3 billion of notes due in 2029 that we will need to repay and/or refinance. As a result, we will be dependent upon our ability to access the capital and credit markets. Market conditions, including further changes in interest rates, as well as our financial condition at the time of a refinancing, may increase the risk that the terms of any refinancing will not be as favorable as the terms of the existing debt (including agreeing to more restrictive covenants on our business or needing to provide collateral securing the debt), or that we may not be able to refinance the existing debt at all. Failure to raise significant amounts of funding to repay these obligations at maturity on terms favorable to us, or at all, could adversely affect our business. If we are unable to raise such amounts, we would need to take other actions including reducing investments in new programming, selling assets, seeking strategic investments from third parties or reducing other discretionary uses of cash, any of which could adversely impact our business and financial condition. The Credit Facility and indentures governing our notes restrict, and market or business conditions may limit, our ability to do some of these things. See “The agreements governing our debt contain various covenants that impose restrictions on us that may affect our ability to operate our business.”</w:t>
      </w:r>
    </w:p>
    <w:p>
      <w:pPr>
        <w:spacing w:after="0" w:line="8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outstanding debt is based on variable rates of interest, which has resulted and could in the future result in higher interest expenses in the event of an increase in the interest rates.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a significant amount of our outstanding debt has fixed interest rates, borrowings under our Credit Facility bear interest at variable rates. As a result, increases in market interest rates have increased our interest expense and our debt service obligations. If interest rates were to further increase, this would further increase the amount of interest expense that we would have to pay for borrowings under the Credit Facility, and our net income and cash flows, including cash available for servicing our indebtedness, would correspondingly decrease.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contain various covenants that impose restrictions on us that may affect our ability to operate our business.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agreements governing the Credit Facility and the indentures governing our notes contain covenants that, among other things, limit our ability to:</w:t>
      </w:r>
    </w:p>
    <w:p>
      <w:pPr>
        <w:spacing w:after="0" w:line="2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or guarantee debt;</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redeem or repurchase stock;</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strategic transactions; and</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or merge with other companies.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3" w:name="page34"/>
    <w:bookmarkEnd w:id="33"/>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Credit Facility requires us to comply with a Cash Flow Ratio and an Interest Coverage Ratio, each as defined in the Credit Facility. Compliance with these covenants may limit our ability to take actions, including repurchasing our common stock or making investments, that might be to our advantage or to the advantage of our stockholders. The terms of any future indebtedness we may incur could include more restrictive covenants.</w:t>
      </w:r>
    </w:p>
    <w:p>
      <w:pPr>
        <w:spacing w:after="0" w:line="68"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Various risks, uncertainties and events beyond our control could affect our ability to comply with these covenants and maintain these financial ratios, and we cannot assure you that we will be able to maintain compliance with these covenants and financial ratios in the future. For example, higher programming expenditures, higher operating costs or lower revenues could lead to a default under certain financial covenants contained in the Credit Facility. In addition, because the calculations of the financial ratios are made as of certain dates, the financial ratios can fluctuate significantly from period to period as the amounts outstanding under the Credit Facility are dependent on the timing of cash flows related to operations, capital expenditures and securities offerings. If we fail to comply with these covenants, we cannot assure you that we will be able to obtain waivers from the lenders and/or amend the covenants, which could, among other things, impact our liquidity. Moreover, in connection with any future waivers or amendments to our indebtedness that we may obtain, our lenders may modify the terms of our such indebtedness or impose additional operating and financial restrictions on us.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 Any of these events could have a material adverse effect on our business, financial condition and results of operations.</w:t>
      </w:r>
    </w:p>
    <w:p>
      <w:pPr>
        <w:spacing w:after="0" w:line="85"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and our subsidiaries may incur substantial additional indebtedness in the future, including secured or convertible indebtedness. The terms of the Credit Facility and indentures governing our notes allow us to incur substantial amounts of additional debt, subject to certain limitations. If we incur secured indebtedness and such secured indebtedness is either accelerated or becomes subject to a bankruptcy, liquidation or reorganization, our assets would be used to satisfy obligations with respect to the indebtedness secured thereby before any payment could be made on the notes that are not similarly secured.</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as we have in the past, we may in the future refinance all or a portion of our debt, including our senior notes or borrowings under the Credit Facility, and obtain the ability to incur more debt as a result. If new debt is added to our current debt levels, the related risks we could face would be magnified.</w:t>
      </w:r>
    </w:p>
    <w:p>
      <w:pPr>
        <w:spacing w:after="0" w:line="64"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our debt securities by rating agencies may increase our future debt issuance costs and reduce our access to capital.</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debt ratings for our notes are below the "investment grade" category, which results in higher interest costs as well as a reduced pool of potential purchasers of our debt as some investors will not purchase debt securities that are not rated "investment grade". In addition, there can be no assurance that any rating assigned will remain for any given period of time or that a rating will not be lowered or withdrawn entirely by a rating agency, if in that rating agency's judgment, future circumstances, such as adverse changes to economic conditions that could impact an issuer's ability to meet its financial commitments, so warrant. A lowering or withdrawal of the ratings assigned to our debt securities may further increase our future debt issuance costs and reduce our access to capital.</w:t>
      </w:r>
    </w:p>
    <w:p>
      <w:pPr>
        <w:spacing w:after="0" w:line="75"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our 4.25% convertible senior notes due 2029 (the “Convertible Notes”) or to repurchase the Convertible Notes upon a fundamental change.</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Holders of our Convertible Notes will have the right to require us to repurchase their notes upon the occurrence of a fundamental change (as defined in the indenture governing the Convertible Notes) at a purchase price equal to 100% of the principal amount of the Convertible Notes to be repurchased, plus accrued and unpaid interest, if any, to, but not including, the fundamental change repurchase date. In addition, we will be required to make cash payments in respect of the Convertible Notes being converted. However, we may not have enough available cash or be able to obtain financing at the time we are required to make purchases of Convertible Notes surrendered therefor or Convertible Notes being converted. In addition, our ability to repurchase the Convertible Notes or to pay cash upon conversion of the Convertible Notes is limited by the agreements governing our existing indebtedness (including the Credit Facility) and may also be limited by law, by regulatory authority or by agreements that will govern our future indebtedness. Our failure to repurchase Convertible Notes at a time when the repurchase is required by the Convertible Notes Indenture or to pay cash payable on future conversions of the Convertible Notes as required by the Convertible Notes Indenture would constitute a default under the Convertible Notes Indenture. A default under the Convertible Notes Indenture or the fundamental change itself could also lead to a default under agreements governing our existing or future indebtedness (including the Credit Facility). If the repayment of the related indebtedness were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to be accelerated after any applicable notice or grace periods, we may not have sufficient funds to repay the indebtedness and repurchase the Convertible Notes or make cash payments upon conversion thereof.</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Notes, if triggered, may adversely affect our financial condition and operating results.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77"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fundamental change repurchase feature of the Convertible Notes may delay or prevent an otherwise beneficial attempt to effect a change of control of the Company.</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terms of the Convertible Notes require us to repurchase the Convertible Notes in the event of a fundamental change. A change of control of our company would trigger an option of the holders of the Convertible Notes, as applicable, to require us to repurchase the Convertible Notes. This may have the effect of delaying or preventing a change of control of our company that would otherwise be beneficial to investors in the Convertible Notes.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Controlled Ownership</w:t>
      </w:r>
    </w:p>
    <w:p>
      <w:pPr>
        <w:spacing w:after="0" w:line="117" w:lineRule="exact"/>
        <w:rPr>
          <w:sz w:val="20"/>
          <w:szCs w:val="20"/>
          <w:color w:val="auto"/>
        </w:rPr>
      </w:pPr>
    </w:p>
    <w:p>
      <w:pPr>
        <w:ind w:left="4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controlled by the Dolan family and trusts for their benefit, which may create certain conflicts of interest. In addition, as a result of their control, the Dolan family and trusts for their benefit have the ability to prevent or cause a change in control or approve, prevent or influence certain actions by the Company.</w:t>
      </w:r>
    </w:p>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two classes of common stock:</w:t>
      </w:r>
    </w:p>
    <w:p>
      <w:pPr>
        <w:spacing w:after="0" w:line="117" w:lineRule="exact"/>
        <w:rPr>
          <w:sz w:val="20"/>
          <w:szCs w:val="20"/>
          <w:color w:val="auto"/>
        </w:rPr>
      </w:pPr>
    </w:p>
    <w:p>
      <w:pPr>
        <w:ind w:left="660" w:right="1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which is entitled to one vote per share and is entitled collectively to elect a number of directors constituting at least 25% of our Board of Directors.</w:t>
      </w:r>
    </w:p>
    <w:p>
      <w:pPr>
        <w:spacing w:after="0" w:line="53"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which is generally entitled to ten votes per share and is entitled collectively to elect the remainder of our Board of Directors.</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of December 31, 2025, certain members of the Dolan family, including certain trusts for the benefit of members of the Dolan family (collectively "the Dolan Family Group"), collectively owned all of our Class B Common Stock, approximately 4% of our outstanding Class A Common Stock and approximately 79% of the total voting power of all our outstanding common stock (in each case, inclusive of RSUs vesting within 60 days of December 31, 2025) in matters other than the election of directors. Of that amount, certain Dolan family trusts (the “Excluded Trusts”) collectively own 83% of the outstanding Class B Common Stock. The trustees of the Excluded Trusts are members of the Dolan family. The members of the Dolan Family Group holding Class B Common Stock have executed a stockholders agreement (the "Stockholders Agreement") that has the effect of causing the voting power of holders of our Class B Common Stock (other than the Excluded Trusts) to be cast as a block with respect to all matters to be voted on by holders of Class B Common Stock.</w:t>
      </w:r>
    </w:p>
    <w:p>
      <w:pPr>
        <w:spacing w:after="0" w:line="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Shares of Class B Common Stock owned by Excluded Trusts will, on all matters, be voted on in accordance with the determination of the Excluded Trusts holding a majority of our Class B Common Stock, except in the case of a vote on a going-private transaction or a change in control transaction, in which case a vote of trusts holding two-thirds of our Class B Common Stock owned by Excluded Trusts is required.</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Under the Stockholders Agreement, the shares of Class B Common Stock owned by members of the Dolan Family Group (other than the Excluded Trusts) are to be voted, on all matters, in accordance with the determination of the Dolan Family Committee. The “Dolan Family Committee” consists of James L. Dolan, Thomas C. Dolan, Patrick F. Dolan, Kathleen M. Dolan, Marianne E. Dolan Weber and Deborah A. Dolan-Sweeney. The Dolan Family Committee generally acts by majority vote, except that approval of a going-private transaction must be approved by a two-thirds vote and approval of a change-in-control transaction must be approved by not less than all but one vote. Each member of the Dolan Family Committee has one vote. The Dolan Family Group, which includes the Excluded Trusts, is able to prevent a change in control of the Company and no person interested in acquiring us would be able to do so without obtaining the consent of the Dolan Family Group.</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Dolan Family Group (including the Excluded Trusts),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include the amendment of some provisions of our certificate of incorporation and the approval of fundamental corporate transactions.</w:t>
      </w:r>
    </w:p>
    <w:p>
      <w:pPr>
        <w:spacing w:after="0" w:line="117"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addition, the affirmative vote or consent of the holders of at least 66 2/3% of the outstanding shares of the Class B Common Stock, voting separately as a class, is required to approve:</w:t>
      </w:r>
    </w:p>
    <w:p>
      <w:pPr>
        <w:spacing w:after="0" w:line="5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or issuance of any additional shares of Class B Common Stock, and</w:t>
      </w:r>
    </w:p>
    <w:p>
      <w:pPr>
        <w:spacing w:after="0" w:line="6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alteration or repeal of any of the provisions of our certificate of incorporation that adversely affects the powers, preferences or rights of Class B Common Stock.</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result, the Dolan Family Group, which includes the Excluded Trusts, also has the power to prevent such issuance or amendment.</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the Dolan family and related entities on the other hand. This policy does not address all possible conflicts which may arise, and there can be no assurance that this policy will be effective in dealing with conflict scenarios.</w:t>
      </w:r>
    </w:p>
    <w:p>
      <w:pPr>
        <w:spacing w:after="0" w:line="68"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for the purposes of The NASDAQ Stock Market LLC ("NASDAQ"), which allows us not to comply with certain of the corporate governance rules of NASDAQ.</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Members of the Dolan Family Group have entered into the Stockholders Agreement, which relates to, among other things, the voting and transfer of their shares of our Class B Common Stock. As a result, we are a "controlled company" under the corporate governance rules of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w:t>
      </w:r>
    </w:p>
    <w:p>
      <w:pPr>
        <w:spacing w:after="0" w:line="77"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stock sales, including as a result of the exercise of registration rights by certain of our stockholders, could adversely affect the trading price of our Class A Common Stock.</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Certain parties have registration rights covering a portion of our shares. We have entered into registration rights agreements with the Dolan family, including the Dolan Siblings, certain Dolan family interests and the Dolan Family Foundation that provide them with "demand" and "piggyback" registration rights with respect to approximately 12.8 million shares of Class A Common Stock, including shares issuable upon conversion of shares of Class B Common Stock. Sales of a substantial number of shares of Class A Common Stock, including sales pursuant to these registration rights agreements, could adversely affect the market price of the Class A Common Stock and could impair our future ability to raise capital through an offering of our equity securities.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share certain executives and directors with Sphere Entertainment Co. ("Sphere Entertainment"), Madison Square Garden Sports Corp.</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("MSGS") and Madison Square Garden Entertainment Corp. ("MSGE"), which may give rise to conflicts.</w:t>
      </w:r>
    </w:p>
    <w:p>
      <w:pPr>
        <w:spacing w:after="0" w:line="9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We share two executives with MSGS, MSGE and Sphere Entertainment (each, an "Other Entity" and, collectively the "Other Entities"): Gregg G. Seibert, serves as a Vice Chairman of the Company and as a Vice Chairman of the Other Entities, and David Granville-Smith, serves as an Executive Vice President of the Company and as an Executive Vice President of MSGS and Sphere Entertainment. Each of the Other Entities and the Company are affiliates by virtue of being under common control of the Dolan family and Excluded Trusts. As a result, they will not be devoting their full time and attention to the Company's affairs. Five members of our Board of Directors, including our Chairman, are directors of MSGS, three members of our Board of Directors, including our Chairman, are directors of MSGE and five members of our Board of Directors, including our Chairman, are directors of Sphere Entertainment. In addition, the Company’s Chief Executive Officer, Kristin Dolan, also serves as a director of Sphere Entertainment. These directors and officers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"Transactions with Related Parties and Related Party Transaction Approval Policy" 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our latest proxy statement filed with the SEC for a description of our related party transaction approval policy that we have adopted to help address such potential conflicts that may arise.</w:t>
      </w:r>
    </w:p>
    <w:p>
      <w:pPr>
        <w:spacing w:after="0" w:line="5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articles of incorporation acknowledge that directors and officers of the Company may also be serving as directors, officers, employees, consultants or agents of MSGS, MSGE, Sphere Entertainment or their respective subsidiaries and that we may engage in material business transactions with such entities (the applicable provisions of the articles of incorporation, the "Overlap Provisions").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such individual directs a corporate opportunity (other than certain limited types of opportunities set forth in our articles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 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All companies utilizing technology are subject to the risk of breaches of or unauthorized access to their computer systems. The Company maintains a cyber risk management program designed to identify, assess, manage, mitigate, and respond to cybersecurity threats. Cybersecurity threats continue to evolve, including through the increasing use of artificial intelligence and machine learning techniques to automate or enhance phishing, social engineering, and other malicious activity. The Audit Committee of our Board of Directors and our management are actively involved in the oversight of our risk management program, of which cybersecurity represents an important component. We have established policies, standards, processes and practices for assessing, identifying and managing material risks from cybersecurity threats and incidents. Our policies, processes and procedures include, among other things, annual external penetration testing using an experienced third-party company; a cybersecurity incident response and recovery plan; periodic and ongoing security awareness training for employees; the use of several comprehensive vulnerability analysis systems to evaluate software vulnerabilities both internally and externally; cryptography and encryption; data erasure and media disposal, regular data backups and restoration processes; and mechanisms to detect and monitor unusual network activity. The Company also requires that all third-party vendors that have access to or handle sensitive information undergo a risk-based vendor security assessment and provide contractual assurances relating to their security responsibilities, controls, reporting, and roles and responsibilities with regard to cybersecurity. We also maintain controls and procedures that are designed to promptly escalate certain cybersecurity incidents so that decisions regarding public disclosure and reporting of such incidents can be made by management and our Board of Directors in a timely manner. There can be no guarantee that our policies and procedures will be properly followed in every instance or that those policies and procedures will be effective.</w:t>
      </w:r>
    </w:p>
    <w:p>
      <w:pPr>
        <w:spacing w:after="0" w:line="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cyber risk management program is based on recognized best practices and standards for cybersecurity and information technology, including the National Institute of Standards and Technology (“NIST”) Cybersecurity Framework. Our cybersecurity risks are identified and addressed through a comprehensive, cross- functional approach. The Company has established a cybersecurity committee consisting of members of senior management, including the Company’s Chief Information Security Officer (“CISO”). The Company’s CISO is primarily responsible for the implementation of defense capabilities and risk mitigation strategies. The Company’s CISO has over 25 years of information technology and cybersecurity experience. He holds the title of Senior Vice President of Technology Services and Chief Information Security Officer, has been in his role since 2021 and is supported by his direct reports and their teams. The cybersecurity committee also includes senior members from the Company’s legal, human resources, technology, communications and risk management departments. This committee meets on a periodic basis to review various cybersecurity and data privacy matters and is responsible for maintaining processes to assess, identify and manage material risks from cybersecurity threats. The cybersecurity committee provides quarterly updates to the Company’s General Counsel, Chief Financial Officer and Executive Vice President of Global Media Operations and Technology. In addition, the cybersecurity committee has established regional triage teams that are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responsible for responding to any cybersecurity incident and deciding if other members of the cybersecurity committee, Company employees or Company vendors should be involved in the Company’s response.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Audit Committee takes the lead on behalf of our Board of Directors in monitoring risk management, which includes overseeing the Company’s management of its cybersecurity and data privacy. The Audit Committee meets on a quarterly basis with our General Counsel, Chief Technology Officer and Chief Financial Officer, who provide quarterly reports concerning the Company’s information security and cybersecurity risks.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Although we have not been materially impacted by any cybersecurity incident to date, we have been and continue to be subject to cybersecurity threats in the normal course of our business, as discussed in Item 1A. Risk Factors, including in the risk factor entitled “We face continually evolving cybersecurity and other technology-related risks, which could result in the disclosure, theft, destruction, or misappropriation of, or access to, confidential information, disruption of our programming, damage to our brands and reputation, legal exposure and financial losses.”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we leased approximately 713,000 square feet of space in the United States under lease arrangements with remaining terms through 2033. Our lease arrangements currently include approximately 326,000 square feet of office space at 11 Penn Plaza, New York, NY 10001. Pursuant to a recent lease agreement, this space will be reduced to 178,000 square feet effective May 1, 2026, and the lease term will be extended through September 2032. This office space serves as our corporate headquarters and principal business location of our Company.</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lease arrangements also include approximately 67,000 square-feet of space for our broadcasting and technology operations in Bethpage, New York with a term through 2029. In addition, we lease other properties in New York, California, Georgia, Florida, Texas, Maryland and Illinois.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lease approximately 157,000 square feet of space outside of the U.S., including in Spain, Hungary and the U.K. that support our international operations.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our properties are adequate for our use.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On September 25, 2024, a hearing was held on the Plaintiffs’ appeals. On November 4, 2024, the appellate court issued a decision 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a sum of approximately $7.8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million. The arbitral panel's decision did not have a material impact on the Company's financial condition or results of operations.</w:t>
      </w:r>
    </w:p>
    <w:p>
      <w:pPr>
        <w:spacing w:after="0" w:line="11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Plaintiffs claim in the MFN Litigation that they are entitled to actual and compensatory damages in excess of $200 million. On December 15, 2022, the Company removed the MFN Litigation to the United States District Court for the Central District of California. On February 25, 2025, the Plaintiffs filed an amended complaint adding two claims for the alleged breach of the MFN provisions of their contracts based on certain agreements the Company entered into with another profit participant and a claim for breach of the implied covenant of good faith and fair dealing. On March 14, 2025, the Company filed its answer to the amended complaint. On November 5, 2025, the Company filed a motion for summary judgment seeking dismissal of all the claims in the MFN Litigation. The Plaintiffs’ opposition to the Company’s motion was filed on December 4, 2025 and the Company’s reply was filed on December 22, 2025. The parties are also completing limited remaining expert and fact discovery. As a result of a Court order extending the case deadlines, the trial for this matter, previously scheduled for March 26, 2026, has been rescheduled to April 21, 2026.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ind w:left="53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"AMCX." Our Class B Common Stock is not listed on any exchange. Our Class A Common Stock began trading on NASDAQ on July 1, 2011.</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Performance Graph</w:t>
      </w:r>
    </w:p>
    <w:p>
      <w:pPr>
        <w:spacing w:after="0" w:line="11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following graph compares the performance of the Company's Class A Common Stock with the performance of the Russell 2000 Index (the "Russell 2000") and a peer group (the "Peer Group Index") by measuring the changes in our Class A Common Stock prices from December 31, 2020 through December 31, 2025.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Warner Bros. Discovery, Inc., the Walt Disney Company, Fox Corporation, Lions Gate Entertainment Corporation, Nexstar Media Group, Inc., Roku, Inc., Paramount Skydance Corporation and Starz Entertainment Corp. (included from May 7, 2025, when trading began). The chart assumes $100 was invested on December 31, 2020 in each of: i) Company's Class A Common Stock, ii) the Russell 2000 and iii) in this Peer Group weighted by market capitalization.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936625</wp:posOffset>
            </wp:positionH>
            <wp:positionV relativeFrom="page">
              <wp:posOffset>577850</wp:posOffset>
            </wp:positionV>
            <wp:extent cx="5674995" cy="3206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67499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INDEXED RETURNS</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Company Name / Index</w:t>
            </w:r>
          </w:p>
        </w:tc>
        <w:tc>
          <w:tcPr>
            <w:tcW w:w="126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4"/>
                <w:szCs w:val="14"/>
                <w:b w:val="1"/>
                <w:bCs w:val="1"/>
                <w:color w:val="auto"/>
              </w:rPr>
              <w:t>Base Period</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12/31/25</w:t>
            </w:r>
          </w:p>
        </w:tc>
        <w:tc>
          <w:tcPr>
            <w:tcW w:w="0" w:type="dxa"/>
            <w:vAlign w:val="bottom"/>
          </w:tcPr>
          <w:p>
            <w:pPr>
              <w:spacing w:after="0"/>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43.81</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27.68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26.61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114.82</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91.35</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106.82</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119.14</w:t>
            </w: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134.40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47.10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75.65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February 4, 2026, there were 465 holders of record of our Class A Common Stock and 31 holders of record of our Class B Common Stock.</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that we repurchased during the fourth quarter of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Maximum Dollar Amount of</w:t>
            </w: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May Yet Be</w:t>
            </w:r>
          </w:p>
        </w:tc>
        <w:tc>
          <w:tcPr>
            <w:tcW w:w="0" w:type="dxa"/>
            <w:vAlign w:val="bottom"/>
          </w:tcPr>
          <w:p>
            <w:pPr>
              <w:spacing w:after="0"/>
              <w:rPr>
                <w:sz w:val="1"/>
                <w:szCs w:val="1"/>
                <w:color w:val="auto"/>
              </w:rPr>
            </w:pPr>
          </w:p>
        </w:tc>
      </w:tr>
      <w:tr>
        <w:trPr>
          <w:trHeight w:val="162"/>
        </w:trPr>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8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 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88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7"/>
              </w:rPr>
              <w:t>or Programs</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tcPr>
          <w:p>
            <w:pPr>
              <w:jc w:val="center"/>
              <w:ind w:right="15"/>
              <w:spacing w:after="0" w:line="216" w:lineRule="exact"/>
              <w:rPr>
                <w:sz w:val="20"/>
                <w:szCs w:val="20"/>
                <w:color w:val="auto"/>
              </w:rPr>
            </w:pPr>
            <w:r>
              <w:rPr>
                <w:rFonts w:ascii="Times New Roman" w:cs="Times New Roman" w:eastAsia="Times New Roman" w:hAnsi="Times New Roman"/>
                <w:sz w:val="16"/>
                <w:szCs w:val="16"/>
                <w:b w:val="1"/>
                <w:bCs w:val="1"/>
                <w:color w:val="auto"/>
                <w:w w:val="95"/>
              </w:rPr>
              <w:t>Program</w:t>
            </w:r>
            <w:r>
              <w:rPr>
                <w:rFonts w:ascii="Times New Roman" w:cs="Times New Roman" w:eastAsia="Times New Roman" w:hAnsi="Times New Roman"/>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to October 31, 2025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124,925,858</w:t>
            </w:r>
          </w:p>
        </w:tc>
        <w:tc>
          <w:tcPr>
            <w:tcW w:w="0" w:type="dxa"/>
            <w:vAlign w:val="bottom"/>
          </w:tcPr>
          <w:p>
            <w:pPr>
              <w:spacing w:after="0"/>
              <w:rPr>
                <w:sz w:val="1"/>
                <w:szCs w:val="1"/>
                <w:color w:val="auto"/>
              </w:rPr>
            </w:pPr>
          </w:p>
        </w:tc>
      </w:tr>
      <w:tr>
        <w:trPr>
          <w:trHeight w:val="229"/>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408,568</w:t>
            </w:r>
          </w:p>
        </w:tc>
        <w:tc>
          <w:tcPr>
            <w:tcW w:w="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408,568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121,610,489</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446,124</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117,390,414</w:t>
            </w:r>
          </w:p>
        </w:tc>
        <w:tc>
          <w:tcPr>
            <w:tcW w:w="0" w:type="dxa"/>
            <w:vAlign w:val="bottom"/>
          </w:tcPr>
          <w:p>
            <w:pPr>
              <w:spacing w:after="0"/>
              <w:rPr>
                <w:sz w:val="1"/>
                <w:szCs w:val="1"/>
                <w:color w:val="auto"/>
              </w:rPr>
            </w:pPr>
          </w:p>
        </w:tc>
      </w:tr>
      <w:tr>
        <w:trPr>
          <w:trHeight w:val="223"/>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854,692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17" w:lineRule="exact"/>
        <w:rPr>
          <w:sz w:val="20"/>
          <w:szCs w:val="20"/>
          <w:color w:val="auto"/>
        </w:rPr>
      </w:pPr>
    </w:p>
    <w:p>
      <w:pPr>
        <w:jc w:val="both"/>
        <w:ind w:left="340" w:hanging="332"/>
        <w:spacing w:after="0" w:line="258" w:lineRule="auto"/>
        <w:tabs>
          <w:tab w:leader="none" w:pos="2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termination date and may be suspended or discontinued at any time. For the year ended December 31, 2025, the Company repurchased 2.4 million shares of its Class A Common Stock at an average purchase price of $7.29 for aggregate consideration of $18.0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3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is a supplement to and should be read in conjunction with the accompanying consolidated financial statements and related notes. Our MD&amp;A is provided to enhance the understanding of our financial condition, changes in financial condition and results of our operations and is organized as follows:</w:t>
      </w:r>
    </w:p>
    <w:p>
      <w:pPr>
        <w:spacing w:after="0" w:line="6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Business Overview</w:t>
      </w:r>
      <w:r>
        <w:rPr>
          <w:rFonts w:ascii="Times New Roman" w:cs="Times New Roman" w:eastAsia="Times New Roman" w:hAnsi="Times New Roman"/>
          <w:sz w:val="18"/>
          <w:szCs w:val="18"/>
          <w:color w:val="auto"/>
        </w:rPr>
        <w:t>. This section provides a general description of our business and our operating segments, as well as other matters that we believe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in understanding our results of operations and financial condition and in anticipating future trends.</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Consolidated Results of Operations</w:t>
      </w:r>
      <w:r>
        <w:rPr>
          <w:rFonts w:ascii="Times New Roman" w:cs="Times New Roman" w:eastAsia="Times New Roman" w:hAnsi="Times New Roman"/>
          <w:sz w:val="18"/>
          <w:szCs w:val="18"/>
          <w:color w:val="auto"/>
        </w:rPr>
        <w:t>. This section provides an analysis of our results of operations for the years ended December 31,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discussion is presented on both a consolidated and segment basis. Our two segments are: (i) Domestic Operations and (ii) International. Analysis of our results of operations, on both a consolidated and segment basis, for the year ended December 31, 2023, including a comparison of 2024 to 2023, is included in our Annual Report on Form 10-K for the year ended December 31, 2024.</w:t>
      </w:r>
    </w:p>
    <w:p>
      <w:pPr>
        <w:spacing w:after="0" w:line="58" w:lineRule="exact"/>
        <w:rPr>
          <w:sz w:val="20"/>
          <w:szCs w:val="20"/>
          <w:color w:val="auto"/>
        </w:rPr>
      </w:pPr>
    </w:p>
    <w:p>
      <w:pPr>
        <w:jc w:val="both"/>
        <w:ind w:right="20" w:firstLine="324"/>
        <w:spacing w:after="0" w:line="246" w:lineRule="auto"/>
        <w:rPr>
          <w:sz w:val="20"/>
          <w:szCs w:val="20"/>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provides a discussion of our financial condition as of December 31, 2025 as well as an analysis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for the years ended December 31, 2025 and 2024. The discussion of our financial condition and liquidity also includes a summary of our primary sources of liquidity. Analysis of our cash flows for the year ended December 31, 2023 is included in our Annual Report on Form 10-K for the year ended December 31, 2024.</w:t>
      </w:r>
    </w:p>
    <w:p>
      <w:pPr>
        <w:spacing w:after="0" w:line="8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provides a discussion of our accounting policies considered to be important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understanding of our financial condition and results of operations, and which require significant judgment and estimates on the part of management in their application.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Highlights</w:t>
      </w:r>
    </w:p>
    <w:p>
      <w:pPr>
        <w:spacing w:after="0" w:line="143"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The tables presented below set forth our consolidated revenues, net, operating income (loss) and adjusted operating income ("AOI")</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for the periods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0" w:type="dxa"/>
            <w:vAlign w:val="bottom"/>
          </w:tcPr>
          <w:p>
            <w:pPr>
              <w:spacing w:after="0"/>
              <w:rPr>
                <w:sz w:val="1"/>
                <w:szCs w:val="1"/>
                <w:color w:val="auto"/>
              </w:rPr>
            </w:pPr>
          </w:p>
        </w:tc>
      </w:tr>
      <w:tr>
        <w:trPr>
          <w:trHeight w:val="224"/>
        </w:trPr>
        <w:tc>
          <w:tcPr>
            <w:tcW w:w="664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340" w:type="dxa"/>
            <w:vAlign w:val="bottom"/>
            <w:tcBorders>
              <w:bottom w:val="single" w:sz="8" w:color="auto"/>
            </w:tcBorders>
            <w:shd w:val="clear" w:color="auto" w:fill="CCEEFF"/>
          </w:tcPr>
          <w:p>
            <w:pPr>
              <w:jc w:val="right"/>
              <w:ind w:right="130"/>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2,311,801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line="199"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2,421,314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40" w:type="dxa"/>
            <w:vAlign w:val="bottom"/>
            <w:vMerge w:val="continue"/>
          </w:tcPr>
          <w:p>
            <w:pPr>
              <w:spacing w:after="0"/>
              <w:rPr>
                <w:sz w:val="15"/>
                <w:szCs w:val="15"/>
                <w:color w:val="auto"/>
              </w:rPr>
            </w:pPr>
          </w:p>
        </w:tc>
        <w:tc>
          <w:tcPr>
            <w:tcW w:w="340" w:type="dxa"/>
            <w:vAlign w:val="bottom"/>
            <w:tcBorders>
              <w:bottom w:val="single" w:sz="8" w:color="auto"/>
            </w:tcBorders>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133,322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(39,600)</w:t>
            </w:r>
          </w:p>
        </w:tc>
        <w:tc>
          <w:tcPr>
            <w:tcW w:w="80" w:type="dxa"/>
            <w:vAlign w:val="bottom"/>
          </w:tcPr>
          <w:p>
            <w:pPr>
              <w:spacing w:after="0"/>
              <w:rPr>
                <w:sz w:val="15"/>
                <w:szCs w:val="15"/>
                <w:color w:val="auto"/>
              </w:rPr>
            </w:pPr>
          </w:p>
        </w:tc>
        <w:tc>
          <w:tcPr>
            <w:tcW w:w="1560" w:type="dxa"/>
            <w:vAlign w:val="bottom"/>
          </w:tcPr>
          <w:p>
            <w:pPr>
              <w:jc w:val="right"/>
              <w:spacing w:after="0" w:line="177" w:lineRule="exact"/>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411,874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562,573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n/m - Absolute percentages greater than 100% and comparisons between positive and negative values or zero values are considered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-92710</wp:posOffset>
            </wp:positionV>
            <wp:extent cx="18688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80" w:lineRule="exact"/>
        <w:rPr>
          <w:sz w:val="20"/>
          <w:szCs w:val="20"/>
          <w:color w:val="auto"/>
        </w:rPr>
      </w:pPr>
    </w:p>
    <w:p>
      <w:pPr>
        <w:ind w:firstLine="8"/>
        <w:spacing w:after="0" w:line="302" w:lineRule="auto"/>
        <w:tabs>
          <w:tab w:leader="none" w:pos="211"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Income is a non-GAAP financial measure. See the "Non-GAAP Financial Measures" section in this MD&amp;A for additional information, including our definition and our use of this non-GAAP financial measure, and for a reconciliation to its most comparable GAAP financial measure.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manage our business through the following two operating segments:</w:t>
      </w:r>
    </w:p>
    <w:p>
      <w:pPr>
        <w:spacing w:after="0" w:line="115" w:lineRule="exact"/>
        <w:rPr>
          <w:sz w:val="20"/>
          <w:szCs w:val="20"/>
          <w:color w:val="auto"/>
        </w:rPr>
      </w:pPr>
    </w:p>
    <w:p>
      <w:pPr>
        <w:jc w:val="both"/>
        <w:ind w:left="660" w:hanging="328"/>
        <w:spacing w:after="0" w:line="257"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programming networks, our streaming services, our AMC Studios operation and our film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programming networks are AMC, We TV, BBCA, IFC, and SundanceTV. Our streaming services consist of AMC+ and our targeted subscription streaming services (Acorn TV, Shudder, Sundance Now, ALLBLK, HIDIVE and All Reality). Our AMC Studios operation produces original programming for our programming services and third parties and also licenses programming worldwide. Our film distribution business includes Independent Film Company, RLJE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AMCNI, our international programming businesses consisting of a portfolio of channels distributed around the world.</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Domestic Operations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Domestic Operations segment, we earn revenue principally from: (i) subscription revenues in connection with the distribution of our programming through our programming networks and streaming services, (ii) the sale of advertising, and (iii) the licensing of our original programming to distributors, including the distribution of programming of Independent Film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3" w:name="page44"/>
    <w:bookmarkEnd w:id="4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first quarter of 2025, the Company updated the definition of "aggregate paid subscribers" and the definitions of "affiliate revenues" and "streaming revenues". These changes have no effect on the Company's consolidated financial statements or results of operations, or operating segment results. The impact of these changes to historical affiliate revenues and streaming revenues is not material. The new definitions are as follows:</w:t>
      </w:r>
    </w:p>
    <w:p>
      <w:pPr>
        <w:spacing w:after="0" w:line="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Streaming subscriber (previously "aggregate paid subscriber"): </w:t>
      </w:r>
      <w:r>
        <w:rPr>
          <w:rFonts w:ascii="Times New Roman" w:cs="Times New Roman" w:eastAsia="Times New Roman" w:hAnsi="Times New Roman"/>
          <w:sz w:val="18"/>
          <w:szCs w:val="18"/>
          <w:color w:val="auto"/>
        </w:rPr>
        <w:t>A subscriber who registers on an a la carte basis and from whom we receive a fee,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our streaming services directly through our direct-to-consumer applications or indirectly through one of our streaming platform arrangements. This definitional change resulted in the exclusion of subscribers from our count who received access to our streaming services from distributors through a video package that also included access to our programming networks. Subscribers in this Annual Report on Form 10-K reflect our updated definition.</w:t>
      </w:r>
    </w:p>
    <w:p>
      <w:pPr>
        <w:spacing w:after="0" w:line="141"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The following table sets forth our streaming subscribers, presented under both the old definition of "aggregate paid subscriber" and the new definition of "streaming subscriber" as of each date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8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As originally reported </w:t>
            </w:r>
            <w:r>
              <w:rPr>
                <w:rFonts w:ascii="Times New Roman" w:cs="Times New Roman" w:eastAsia="Times New Roman" w:hAnsi="Times New Roman"/>
                <w:sz w:val="23"/>
                <w:szCs w:val="23"/>
                <w:color w:val="auto"/>
                <w:vertAlign w:val="superscript"/>
              </w:rPr>
              <w:t>(a)</w:t>
            </w: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12,388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11,443</w:t>
            </w:r>
          </w:p>
        </w:tc>
      </w:tr>
      <w:tr>
        <w:trPr>
          <w:trHeight w:val="229"/>
        </w:trPr>
        <w:tc>
          <w:tcPr>
            <w:tcW w:w="85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(b)</w:t>
            </w: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(1,306)</w:t>
            </w:r>
          </w:p>
        </w:tc>
      </w:tr>
      <w:tr>
        <w:trPr>
          <w:trHeight w:val="248"/>
        </w:trPr>
        <w:tc>
          <w:tcPr>
            <w:tcW w:w="85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Recast </w:t>
            </w:r>
            <w:r>
              <w:rPr>
                <w:rFonts w:ascii="Times New Roman" w:cs="Times New Roman" w:eastAsia="Times New Roman" w:hAnsi="Times New Roman"/>
                <w:sz w:val="23"/>
                <w:szCs w:val="23"/>
                <w:color w:val="auto"/>
                <w:vertAlign w:val="superscript"/>
              </w:rPr>
              <w:t>(c)</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10,137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right="20" w:hanging="7"/>
        <w:spacing w:after="0" w:line="290" w:lineRule="auto"/>
        <w:tabs>
          <w:tab w:leader="none" w:pos="654"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Originally reported as "aggregate paid subscribers". Prior to the first quarter of 2025, a paid subscription was defined as a subscription to a direct-to-consumer service or a subscription received through distributor arrangements, in which we received a fee for the distribution of our streaming services.</w:t>
      </w:r>
    </w:p>
    <w:p>
      <w:pPr>
        <w:ind w:left="420" w:right="240" w:hanging="7"/>
        <w:spacing w:after="0" w:line="280" w:lineRule="auto"/>
        <w:tabs>
          <w:tab w:leader="none" w:pos="6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Orange (Spain) and Philo customers at the end of the period presented that were provided access to our streaming services as part of video packages that also included access to our programming networks.</w:t>
      </w:r>
    </w:p>
    <w:p>
      <w:pPr>
        <w:spacing w:after="0" w:line="16" w:lineRule="exact"/>
        <w:rPr>
          <w:rFonts w:ascii="Times New Roman" w:cs="Times New Roman" w:eastAsia="Times New Roman" w:hAnsi="Times New Roman"/>
          <w:sz w:val="16"/>
          <w:szCs w:val="16"/>
          <w:color w:val="auto"/>
        </w:rPr>
      </w:pPr>
    </w:p>
    <w:p>
      <w:pPr>
        <w:ind w:left="640" w:hanging="227"/>
        <w:spacing w:after="0"/>
        <w:tabs>
          <w:tab w:leader="none" w:pos="6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new definition of "streaming subscribers".</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Affiliate revenues: </w:t>
      </w:r>
      <w:r>
        <w:rPr>
          <w:rFonts w:ascii="Times New Roman" w:cs="Times New Roman" w:eastAsia="Times New Roman" w:hAnsi="Times New Roman"/>
          <w:sz w:val="18"/>
          <w:szCs w:val="18"/>
          <w:color w:val="auto"/>
        </w:rPr>
        <w:t>Represents fees received from distributors for the rights to use the Company's programming under multi-year contracts,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"affiliation agreements." Affiliate revenues also include fees received from distributors who provide access to our streaming services to end users through a video package that also includes access to our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spacing w:after="0" w:line="12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Streaming revenues: </w:t>
      </w:r>
      <w:r>
        <w:rPr>
          <w:rFonts w:ascii="Times New Roman" w:cs="Times New Roman" w:eastAsia="Times New Roman" w:hAnsi="Times New Roman"/>
          <w:sz w:val="18"/>
          <w:szCs w:val="18"/>
          <w:color w:val="auto"/>
        </w:rPr>
        <w:t>Represents fees for our streaming services earned from our direct-to-consumer platforms as well as through streaming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with companies that sell our streaming services on our behalf.</w:t>
      </w:r>
    </w:p>
    <w:p>
      <w:pPr>
        <w:spacing w:after="0" w:line="1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Substantially all of our subscription revenues are based on a per subscriber fee. The subscription revenues we earn vary from period to period, distributor to distributor and also vary among our programming networks and streaming services. Subscription revenues are generally based on the impact of renewals of distributor agreements and upon the number of each distributor's subscribers who receive our programming, referred to as viewing subscribers. Subscription fees for our services are generally paid by distributors and consumers on a monthly basis. In negotiating for additional subscribers or extended carriage, we have agreed, in some instances, to make upfront payments to a distributor which we record as deferred carriage fees and which are amortized as a reduction of revenue over the period of the related affiliation agreement. We also may support the distributors' efforts to market our networks. We believe that these transactions generate a positive return on investment over the contract period.</w:t>
      </w:r>
    </w:p>
    <w:p>
      <w:pPr>
        <w:spacing w:after="0" w:line="8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on the timing of our original programming series and the popularity of our programming as measured by Nielsen. Our domestic programming networks have advertisers representing companies in a broad range of sectors, including the automotive, restaurants/food, health, technology and telecommunications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industries. We seek to increase our advertising revenues by increasing the rates we charge for such advertising, which is directly related to the overall distribution of our programming, penetration of our services on various digital platforms such as AVOD and FAST services, integration of our advanced advertising products, and the popularity (including within desirable demographic groups) of our services as measured by Nielsen.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Content licensing revenue is earned from the licensing of original programming for digital, foreign and home video distribution and is recognized upon availability or distribution by the licensee, and, to a lesser extent, is earned through the distribution of AMC Studios produced series to third parties. Content licensing revenues vary based on the timing and availability of programming to distributors.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contract for and produce high-quality, attractive programming and remain disciplined in our marketing spend in our efforts to acquire and retain higher lifetime value subscribers.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Content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 and encryption.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and viewership patterns, typically resulting in an accelerated amortization pattern and, to a lesser extent, program rights that are predominantly monetized individually are amortized based on the individual-film-forecast-computation method.</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as a group is less than their unamortized cost, we will write off the excess to technical and operating expenses in the consolidated statements of income (loss). Program rights with no future programming usefulness are substantively abandoned resulting in the write-off of remaining unamortized cost. There were no material program rights write-offs included in technical and operating expense for the year ended December 31, 2025. There were program rights write-offs of $20.0 million included in technical and operating expense for the year ended December 31, 2024 for programming that was substantively abandoned. For the year ended December 31, 2024, there were also $44.2 million of program write-offs recorded to restructuring and other related charges in connection with the Company's strategic programming assessments.</w:t>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"Critical Accounting Policies and Estimates" for a discussion of the amortization and write-off of program rights.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International segment, we earn revenue principally from subscription revenue in connection with the international distribution of programming and, to a lesser extent, the sale of advertising from our AMCNI programming networks. Subscription revenue consists of the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Content expenses and programming operating costs primarily comprise technical and operating expenses. Content expenses represent the largest expense of the International segment and primarily consist of amortization of acquired content. Program operating costs include costs such as origination, transmission, uplink and encryption of our linear AMCNI channels as well as content hosting and delivery costs at our various on-line content distribution initiatives. Other components of technical and operating expense include costs of dubbing and sub-titling of programs. Our programming efforts are not all commercially successful, which has in the past resulted and could in the future result in a write-off of program rights. If events or changes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circumstances indicate that the fair value of program rights predominantly monetized individually or a group is less than its unamortized cost, we will write off the excess to technical and operating expenses in the consolidated statements of income (loss). Program rights with no future programming usefulness are substantively abandoned, resulting in the write-off of remaining unamortized cost. There were no material programming write-offs included in technical and operating expense for the years ended December 31, 2025 and 2024. For the year ended December 31, 2025, $6.7 million of program write-offs were recorded to restructuring and other related charges, primarily related to the wind-down of a U.K. joint venture.</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Similar to our Domestic Operations businesses, the most significant business challenges we expect to encounter in our International business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Economic Conditions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performance is dependent, to a large extent, on general economic conditions, which can impact, among other things, our ability to manage our businesses effectively and our relative strength and leverage in the marketplace, with both suppliers and customers. Additionally, macroeconomic and geopolitical risks, particularly high inflation and interest rates, as well as potential or implemented tariffs and changes to the U.S. and other countries' trade policies, and uncertainty regarding further changes to any of the foregoing, may adversely impact our results of operations, cash flows and financial position or our ability to refinance our indebtedness on terms favorable to us, or at all.</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Capital and credit market disruptions, as well as other events such as pandemics or other health emergencies, inflation, tariffs and changes to the U.S. and other countries' trade policies, international conflict and recession, have in the past caused and could in the future cause market volatility and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operating segment's revenues, net and expenses. Where we have management control of an entity, we consolidate 100% of such entity in our consolidated statements of income (loss) notwithstanding that a third-party owns an interest in such entity. The noncontrolling owner's interest in the operating results of consolidated subsidiaries are reflected in net income or loss attributable to noncontrolling interests in our consolidated statements of income (loss).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2025 and 2024</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1,453,240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1,472,051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272,629</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 net</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1,132,593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781,329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2,460,914</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(166,186)</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9"/>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extinguishment of debt,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Miscellaneous,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7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income (loss) from operations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n/m - Absolute percentages greater than 100% and comparisons between positive and negative values or zero values are considered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Subscription revenues decreased 0.8% in our Domestic Operations segment primarily due to a decline in affiliate revenues from basic subscriber declines, partially offset by an increase in streaming revenues primarily due to the impact of price increases across our services. Subscription revenues decreased 4.3% in our International segment primarily due to the non-renewal of a distribution agreement in Spain in the fourth quarter of 2024, partially offset by the favorable impact of foreign currency translation. We expect linear subscriber declines to continue in our Domestic Operations segment, consistent with the declines across the cable ecosystem.</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Advertising revenues decreased 15.1% in our Domestic Operations segment primarily due to linear ratings declines and lower marketplace pricing. Advertising revenues decreased 9.8% in our International segment primarily due to the recognition of retroactive adjustments reported by a third party for $20.8 million in 2024 partially offset by the impact of higher pricing in the U.K. linear advertising markets. Despite the increase in our International segment in 2025 (excluding the impact of retroactive adjustments reported by a third party in 2024), we generally expect advertising revenue to continue to decline as the advertising market gravitates toward other distribution platforms.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7" w:name="page48"/>
    <w:bookmarkEnd w:id="4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Content licensing and other revenues increased primarily due to the timing and availability of deliveries in the period, including the sale of our music catalog during the second quarter of 2025 and revenues earned in connection with our role as executive producer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xml:space="preserve">, a series originally produced by AMC Studios for a third party. These increases were offset by the prior year beneficial impact of the sale of our rights and interests to </w:t>
      </w:r>
      <w:r>
        <w:rPr>
          <w:rFonts w:ascii="Times New Roman" w:cs="Times New Roman" w:eastAsia="Times New Roman" w:hAnsi="Times New Roman"/>
          <w:sz w:val="18"/>
          <w:szCs w:val="18"/>
          <w:i w:val="1"/>
          <w:iCs w:val="1"/>
          <w:color w:val="auto"/>
        </w:rPr>
        <w:t>Killing Eve</w:t>
      </w:r>
      <w:r>
        <w:rPr>
          <w:rFonts w:ascii="Times New Roman" w:cs="Times New Roman" w:eastAsia="Times New Roman" w:hAnsi="Times New Roman"/>
          <w:sz w:val="18"/>
          <w:szCs w:val="18"/>
          <w:color w:val="auto"/>
        </w:rPr>
        <w:t xml:space="preserve"> in the first quarter of 2024 and lower licensing sales from </w:t>
      </w:r>
      <w:r>
        <w:rPr>
          <w:rFonts w:ascii="Times New Roman" w:cs="Times New Roman" w:eastAsia="Times New Roman" w:hAnsi="Times New Roman"/>
          <w:sz w:val="18"/>
          <w:szCs w:val="18"/>
          <w:i w:val="1"/>
          <w:iCs w:val="1"/>
          <w:color w:val="auto"/>
        </w:rPr>
        <w:t>The Walking Dead Universe</w:t>
      </w:r>
      <w:r>
        <w:rPr>
          <w:rFonts w:ascii="Times New Roman" w:cs="Times New Roman" w:eastAsia="Times New Roman" w:hAnsi="Times New Roman"/>
          <w:sz w:val="18"/>
          <w:szCs w:val="18"/>
          <w:color w:val="auto"/>
        </w:rPr>
        <w:t xml:space="preserve"> portfolio of shows in 2025. We expect content licensing revenues to vary in 2026 based on the timing and availability of our programming to distributors.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Technical and operating expenses primarily consist of content expenses, which include the amortization of program rights, such as those for original programming, feature films and licensed series, and participation and residual costs. Technical and operating expenses also include other direct programming costs, such as distribution and production related costs and program delivery costs, such as transmission, encryption, hosting, and formatting.</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increased 0.4% in our Domestic Operations segment primarily due to higher residuals costs and higher other direct programming costs, partially offset by a decrease in program rights amortization. Technical and operating expenses (excluding depreciation and amortization) decreased 2.1% in our International segment primarily due to lower program rights amortization, partially offset by the unfavorable impact of foreign currency translation.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our operating segments primarily consist of sales, marketing, research and advertising expenses, employee related costs (excluding share-based compensation), costs of non-production facilities, and an allocation of certain corporate overhead costs. Selling, general and administrative expenses on a consolidated basis also include share-based compensation and executive management and administrative support services not allocated to our operating segments, such as executive salaries and benefits costs, costs of maintaining our corporate headquarters, facilities and common support functions.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and may continue to be significant changes in the level of our selling, general and administrative expenses due to the timing of promotions and marketing of original programming series.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6.6% in our Domestic Operations segment primarily due to higher marketing expenses, mainly driven by increased paid media spend for AMC+, and an increase in legal costs related to the MFN Litigation. Selling, general and administrative expenses increased 3.4% in our International segment primarily due to the unfavorable impact of foreign currency translation, partially offset by lower selling expenses, including commissions, and lower marketing costs.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overhead costs not allocated to our operating segments remained consistent with prior year, increasing 0.8% to $120.6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and other charges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2025</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Impairment and other charges of $97.8 million for the year ended December 31, 2025 primarily consisted of a $93.4 million goodwill impairment charge for the AMCNI reporting unit and a $4.4 million impairment charge for our indefinite-lived intangible assets related to SundanceTV trademarks.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2025, in connection with the preparation of our fourth quarter financial information, we performed our annual goodwill impairment test and concluded that the estimated fair value of the AMCNI reporting unit declined to less than its carrying amount. The decrease in the estimated fair value reflects current and expected trends across the media industry, including continued softness across the international television broadcasting markets resulting in lower expected future cash flows incorporated into the fourth quarter preparation of our budget and long-range plan, as well as a decrease in the valuation multiples used to estimate fair value using the market approach. As a result, we recognized an impairment charge of $93.4 million related to the AMCNI reporting unit.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2025, in connection with the preparation of our fourth quarter financial information, we performed our annual indefinite-lived intangible asset impairment test and concluded that the estimated fair value of the SundanceTV trademarks was less than their carrying amount. The decrease in the estimated fair value reflected current and expected trends across the media industry, including continued softness in the domestic linear marketplace. As a result, we recognized an impairment charge of $4.4 million related to the SundanceTV trademarks.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2024</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Impairment and other charges of $399.5 million for the year ended December 31, 2024 primarily consisted of a $268.7 million goodwill impairment charge for the Domestic Operations reporting unit, $102.0 million of goodwill impairment charges for the AMCNI reporting unit, and $29.2 million of long-lived asset impairment charges at BBCA.</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2024, in connection with the preparation of our fourth quarter financial information, we performed our annual goodwill impairment test and concluded that the estimated fair values of the Domestic Operations and AMCNI reporting units declined to less than their carrying amounts. The decrease in the estimated fair values reflected current and expected trends across the media industry, including continued softness in the domestic linear marketplace and across the international television broadcasting markets, resulting in lower expected future cash flows, as well as a decrease in the valuation multiples used to estimate fair values using the market approach for the Domestic Operations reporting unit. As a result, we recognized impairment charges of $268.7 million related to the Domestic Operations reporting unit and $34.0 million related to the AMCNI reporting unit.</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determined that a triggering event had occurred with respect to our decline in stock price, which required an interim goodwill impairment test to be performed. Accordingly, we performed quantitative assessments for all reporting units. Based on the valuations performed, we concluded that the estimated fair value of the AMCNI reporting unit declined to less than its carrying amount. As a result, we recognized an impairment charge of $68.0 million related to the AMCNI reporting unit.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during the second quarter of 2024, given continued market challenges and linear declines, we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$15.7 million was recorded for identifiable intangible assets and $13.5 million for other long-lived assets, which is included within the Domestic Operations operating segment.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Restructuring and other related charges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2025</w:t>
      </w:r>
    </w:p>
    <w:p>
      <w:pPr>
        <w:spacing w:after="0" w:line="10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Restructuring and other related charges were $26.5 million for the year ended December 31, 2025, $17.5 million of which related to our AMCNI Plan designed to achieve cost reductions and streamline operations including channel re-branding and a reduction of workforce in Southern Europe, the wind-down of a U.K. joint venture, and a voluntary buyout program for employees in Argentina.</w:t>
      </w:r>
    </w:p>
    <w:p>
      <w:pPr>
        <w:spacing w:after="0" w:line="20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also recognized $9.0 million of restructuring charges domestically, primarily comprised of $11.9 million of severance charges in connection with our voluntary buyout program for U.S. employees which is expected to result in modifications to the organizational structure and reduced employee costs. These charges were partially offset by a credit to restructuring expense in connection with the portion of office space that we previously vacated in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2024</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Restructuring and other related charges were $49.5 million for the year ended December 31, 2024, consisting of $44.2 million of content impairments and $5.3 million of severance and employee-related costs. Following the purchase of the remaining interest in BBCA in November 2024, the Company completed a strategic programming assessment and recorded a restructuring charge of $43.2 million pertaining to certain scripted original programming that no longer aligned with the channel's go-forward strategy. The remaining content impairments were recorded in connection with We TV shifting to a reduced originals strategy.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income</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increase in operating income was primarily attributable to reduced impairment and restructuring charges of $301.7 million and $22.9 million, respectively, partially offset by a decrease in revenues of $109.5 million and an increase in selling, general and administrative expenses of $37.0 million.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expense</w:t>
      </w:r>
    </w:p>
    <w:p>
      <w:pPr>
        <w:spacing w:after="0" w:line="10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increase in interest expense was primarily due to an increase in average interest rates associated with the July 2025 issuance of our 10.50% Senior Secured Notes due 2032 (the "2032 Secured Notes") and the April 2024 issuance of our 10.25% Senior Secured Notes due 2029 (the "2029 Secured Notes") to refinance our 4.25% Senior Notes due 2029 ("Senior Notes") and 4.75% Senior Notes due 2025, respectively, and the impact of a full year of interest expense for our 4.25% Convertible Senior Notes due 2029 (the "Convertible Notes") that were issued in June 2024, partially offset by the impact of lower outstanding balances under our Term Loan A Facility (as defined below) and Senior Notes.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 income</w:t>
      </w:r>
    </w:p>
    <w:p>
      <w:pPr>
        <w:spacing w:after="0" w:line="106"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decrease in interest income was primarily attributable to lower interest rates for our money market fund accounts, lower interest income recognized in correlation with the reduction in long-term content licensing receivables, and interest received in connection with retroactive adjustments reported by a third party during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 (loss) on extinguishment of debt,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2025</w:t>
      </w:r>
    </w:p>
    <w:p>
      <w:pPr>
        <w:spacing w:after="0" w:line="117"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In July 2025, we completed a cash tender offer to repurchase $600.0 million of our Senior Notes at a discount of $111.0 million, and retired the tendered Senior Notes. The discount, net of a $5.2 million write-off of unamortized discount and deferred financing costs associated with the Senior Notes along with $1.7 million of additional expenses associated with the tender offer, was recognized as a gain on extinguishment of debt in the consolidated statements of income (loss). During 2025, we also repurchased $108.3 million principal amount of our outstanding Senior Notes through open market repurchases, at discounts totaling $28.2 million, and retired the repurchased Senior Notes. We recorded $27.2 million in gains after reflecting the discounts, net of $1.0 million to write-off a portion of the unamortized discount and deferred financing costs associated with the Senior Notes.</w:t>
      </w:r>
    </w:p>
    <w:p>
      <w:pPr>
        <w:spacing w:after="0" w:line="72"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In October 2025, we entered into Amendment No. 5 ("Amendment No. 5") to the Second Amended and Restated Credit Agreement, dated as of July 28, 2017 (as amended to date and by Amendment No. 5, the "Credit Agreement"). We continue to maintain $175.0 million of commitments under the revolving credit facility under the Credit Agreement (the “Revolving Credit Facility”). Pursuant to Amendment No. 5, the maturity date of $111.8 million of such commitments was extended to the earlier of (i) October 29, 2030 and (ii) the date that is 90 days prior to the maturity date of any capital markets indebtedness of AMC Networks with an aggregate outstanding principal amount exceeding $50.0 million. The remaining $63.2 million of commitments under the Revolving Credit Facility retained their existing maturity date of April 9, 2028.</w:t>
      </w:r>
    </w:p>
    <w:p>
      <w:pPr>
        <w:spacing w:after="0" w:line="7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Additionally, we repurchased and permanently retired term loans held by certain lenders that consented to the maturity extension noted above, in an aggregate principal amount equal to $165.7 million, at a price equal to the principal amount thereof plus accrued and unpaid interest. The remaining $85.6 million principal amount, $2.8 million of which was subsequently repaid during the fourth quarter of 2025 in accordance with the revised contractual payment schedule, retained their existing maturity date of April 9, 2028.</w:t>
      </w:r>
    </w:p>
    <w:p>
      <w:pPr>
        <w:spacing w:after="0" w:line="8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connection with the partial prepayment of the Term Loan A Facility, we recorded a charge of $1.3 million to write off a portion of the unamortized discount and deferred financing costs associated with the Credit Agreement, which was recognized as a loss on extinguishment of debt in the consolidated statements of income (loss).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 ended December 31, 2024</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August 2024, we voluntarily prepaid $35.0 million of borrowings under the Term Loan A Facility, resulting in the recognition of a $0.4 million charge to write off a portion of the associated unamortized discount and deferred financing costs.</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June 2024, we repurchased $15.0 million of our outstanding Senior Notes through open market repurchases, at a discount of $4.9 million, and retired the repurchased notes. We recorded a $4.7 million gain which reflects the discount, net of $0.2 million to write off a portion of the unamortized discount and deferred financing costs associated with the Senior Notes.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2024, we completed a cash tender offer (the "Offer") to purchase any and all outstanding 4.75% Senior Notes due 2025 and redeemed all 4.75% Senior Notes due 2025 that remained outstanding after completion of the Offer at a price of 100.000% of their principal amount, plus accrued and unpaid interest to, but not including, the redemption date. In connection with the Offer and redemption, we recorded a charge of $3.1 million to write off the remaining unamortized discount and deferred financing costs associated with the 4.75% Senior Notes due 2025.</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2024, we entered into Amendment No. 3 to the Credit Agreement. In connection with Amendment No. 3, we made a $165.6 million partial prepayment of the Term Loan A Facility, bringing the total principal amount outstanding under the Term Loan A Facility to $425 million, and reduced the Revolving Credit Facility to $175 million. In connection with the partial prepayment of the Term Loan A Facility and reduction of the revolving loan commitments, we recorded a charge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0" w:name="page51"/>
    <w:bookmarkEnd w:id="5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$1.3 million to write off a portion of the unamortized discount and deferred financing costs associated with the Credit Agreement, which was recognized as a loss on extinguishment of debt in the consolidated statements of income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Miscellaneous, net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miscellaneous, net was primarily related to the impact of foreign currency fluctuations, increased earnings from equity-method investments, and the impact in the prior year of costs incurred in connection with the second quarter 2024 refinancing transactions.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10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 expense was $46.2 million for 2025 on income from operations before income taxes of $148.0 million, representing an effective tax rate of 31%. The effective tax rate differs from the federal statutory rate of 21% due primarily to (i) a tax benefit of $17.8 million with respect to a reversal of a deferred tax liability resulting from an ownership interest change of RLJ Entertainment, (ii) a tax benefit related to foreign operations of $15.1 million, (iii) tax expense of $20.4 million resulting from a net increase in valuation allowances primarily related to foreign deferred tax assets and (iv) tax expense of $11.0 million primarily related to a write-down of a state investment tax credit receivable. Other items resulting in variances from the federal statutory rate of 21% primarily consist of (i) state and local income tax expense of $7.1 million, (ii) tax expense of $6.8 million resulting from non-deductible goodwill impairment charges and (iii) tax expense of $5.1 million related to non-deductible compensation expense.</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Income tax expense was $43.5 million for 2024 on income (loss) from operations before income taxes of $(174.5) million, representing a negative effective tax rate. The effective tax rate differs from the federal statutory rate of 21% due primarily to (i) tax expense of $33.7 million related to a write-down of a state investment tax credit receivable, (ii) tax expense related to foreign operations of $18.9 million and (iii) tax expense of $16.0 million resulting from non-deductible goodwill impairment charges. Other items resulting in variances from the federal statutory rate of 21% primarily consist of</w:t>
      </w:r>
    </w:p>
    <w:p>
      <w:pPr>
        <w:spacing w:after="0" w:line="3" w:lineRule="exact"/>
        <w:rPr>
          <w:sz w:val="20"/>
          <w:szCs w:val="20"/>
          <w:color w:val="auto"/>
        </w:rPr>
      </w:pPr>
    </w:p>
    <w:p>
      <w:pPr>
        <w:jc w:val="both"/>
        <w:ind w:right="20" w:firstLine="8"/>
        <w:spacing w:after="0" w:line="255" w:lineRule="auto"/>
        <w:tabs>
          <w:tab w:leader="none" w:pos="2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expense of $8.1 million related to the expiration of foreign tax credits, (ii) tax expense of $4.5 million related to non-deductible compensation expense, (iii) state and local income tax expense of $1.2 million and (iv) a tax benefit of $2.2 million resulting from a net decrease in valuation allowances primarily related to foreign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We use segment adjusted operating income as the measure of profit or loss for our operating segments. See the "Non-GAAP Financial Measures" section below for our definition of Adjusted Operating Income and a reconciliation from Operating Income to Adjusted Operating Income on a consolidated basis. The segment financial information set forth below, including the discussion related to the individual line items, does not reflect inter-segment eliminations unless specifically indicated.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Domestic Operations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3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1,275,127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276,561</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1"/>
        </w:trPr>
        <w:tc>
          <w:tcPr>
            <w:tcW w:w="690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2,013,970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2,112,989</w:t>
            </w:r>
          </w:p>
        </w:tc>
        <w:tc>
          <w:tcPr>
            <w:tcW w:w="14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r>
              <w:rPr>
                <w:rFonts w:ascii="Times New Roman" w:cs="Times New Roman" w:eastAsia="Times New Roman" w:hAnsi="Times New Roman"/>
                <w:sz w:val="23"/>
                <w:szCs w:val="23"/>
                <w:color w:val="auto"/>
                <w:vertAlign w:val="superscript"/>
              </w:rPr>
              <w:t>(a)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line="20" w:lineRule="exact"/>
              <w:rPr>
                <w:sz w:val="1"/>
                <w:szCs w:val="1"/>
                <w:color w:val="auto"/>
              </w:rPr>
            </w:pPr>
          </w:p>
        </w:tc>
      </w:tr>
      <w:tr>
        <w:trPr>
          <w:trHeight w:val="203"/>
        </w:trPr>
        <w:tc>
          <w:tcPr>
            <w:tcW w:w="69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994,707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990,434</w:t>
            </w: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518,654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619,579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ind w:left="360" w:hanging="190"/>
        <w:spacing w:after="0"/>
        <w:tabs>
          <w:tab w:leader="none" w:pos="3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operating expenses excludes cloud computing amortization</w:t>
      </w:r>
    </w:p>
    <w:p>
      <w:pPr>
        <w:spacing w:after="0" w:line="32" w:lineRule="exact"/>
        <w:rPr>
          <w:rFonts w:ascii="Times New Roman" w:cs="Times New Roman" w:eastAsia="Times New Roman" w:hAnsi="Times New Roman"/>
          <w:sz w:val="14"/>
          <w:szCs w:val="14"/>
          <w:color w:val="auto"/>
        </w:rPr>
      </w:pPr>
    </w:p>
    <w:p>
      <w:pPr>
        <w:ind w:left="380" w:hanging="210"/>
        <w:spacing w:after="0"/>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general and administrative expenses excludes share-based compensation expenses and cloud computing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-215900</wp:posOffset>
            </wp:positionV>
            <wp:extent cx="18688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 revenues decreased due to a 12.5% decline in affiliate revenues, partially offset by a 12.3% increase in streaming revenues. Affiliate revenues decreased primarily due to basic subscriber declines, while streaming revenues increased primarily due to the impact of price increases across our services.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revenues include revenues related to the Company's streaming services of $677.0 million and $603.0 million for 2025 and 2024, respectively. Streaming subscribers were 10.4 million at December 31, 2025 and December 31, 2024.</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subscriber information for our domestic programming networks at December 31, 2025 and 2024:</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4180" w:type="dxa"/>
            <w:vAlign w:val="bottom"/>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Estimated U.S. Subscribers as measured by Nielsen</w:t>
            </w:r>
          </w:p>
        </w:tc>
        <w:tc>
          <w:tcPr>
            <w:tcW w:w="0" w:type="dxa"/>
            <w:vAlign w:val="bottom"/>
          </w:tcPr>
          <w:p>
            <w:pPr>
              <w:spacing w:after="0"/>
              <w:rPr>
                <w:sz w:val="1"/>
                <w:szCs w:val="1"/>
                <w:color w:val="auto"/>
              </w:rPr>
            </w:pPr>
          </w:p>
        </w:tc>
      </w:tr>
      <w:tr>
        <w:trPr>
          <w:trHeight w:val="23"/>
        </w:trPr>
        <w:tc>
          <w:tcPr>
            <w:tcW w:w="7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jc w:val="center"/>
              <w:ind w:left="50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right"/>
              <w:ind w:right="51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Programming Networks: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AMC</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54,600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59,800</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 TV</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53,900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0" w:type="dxa"/>
            <w:vAlign w:val="bottom"/>
          </w:tcPr>
          <w:p>
            <w:pPr>
              <w:spacing w:after="0"/>
              <w:rPr>
                <w:sz w:val="1"/>
                <w:szCs w:val="1"/>
                <w:color w:val="auto"/>
              </w:rPr>
            </w:pPr>
          </w:p>
        </w:tc>
      </w:tr>
      <w:tr>
        <w:trPr>
          <w:trHeight w:val="230"/>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BBCA</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50,900</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IFC</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47,200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51,700</w:t>
            </w:r>
          </w:p>
        </w:tc>
        <w:tc>
          <w:tcPr>
            <w:tcW w:w="0" w:type="dxa"/>
            <w:vAlign w:val="bottom"/>
          </w:tcPr>
          <w:p>
            <w:pPr>
              <w:spacing w:after="0"/>
              <w:rPr>
                <w:sz w:val="1"/>
                <w:szCs w:val="1"/>
                <w:color w:val="auto"/>
              </w:rPr>
            </w:pPr>
          </w:p>
        </w:tc>
      </w:tr>
      <w:tr>
        <w:trPr>
          <w:trHeight w:val="234"/>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SundanceTV</w:t>
            </w:r>
          </w:p>
        </w:tc>
        <w:tc>
          <w:tcPr>
            <w:tcW w:w="1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44,700</w:t>
            </w:r>
          </w:p>
        </w:tc>
        <w:tc>
          <w:tcPr>
            <w:tcW w:w="1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revenues decreased primarily due to linear ratings declines and lower marketplace pricing.</w:t>
      </w:r>
    </w:p>
    <w:p>
      <w:pPr>
        <w:spacing w:after="0" w:line="10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 xml:space="preserve">Content licensing and other revenues decreased primarily due to the timing and availability of deliveries in the period, including the prior year beneficial impact of the sale of our rights and interests to </w:t>
      </w:r>
      <w:r>
        <w:rPr>
          <w:rFonts w:ascii="Times New Roman" w:cs="Times New Roman" w:eastAsia="Times New Roman" w:hAnsi="Times New Roman"/>
          <w:sz w:val="18"/>
          <w:szCs w:val="18"/>
          <w:i w:val="1"/>
          <w:iCs w:val="1"/>
          <w:color w:val="auto"/>
        </w:rPr>
        <w:t>Killing Eve</w:t>
      </w:r>
      <w:r>
        <w:rPr>
          <w:rFonts w:ascii="Times New Roman" w:cs="Times New Roman" w:eastAsia="Times New Roman" w:hAnsi="Times New Roman"/>
          <w:sz w:val="18"/>
          <w:szCs w:val="18"/>
          <w:color w:val="auto"/>
        </w:rPr>
        <w:t xml:space="preserve"> in the first quarter of 2024 and lower licensing sales of shows from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Universe </w:t>
      </w:r>
      <w:r>
        <w:rPr>
          <w:rFonts w:ascii="Times New Roman" w:cs="Times New Roman" w:eastAsia="Times New Roman" w:hAnsi="Times New Roman"/>
          <w:sz w:val="18"/>
          <w:szCs w:val="18"/>
          <w:color w:val="auto"/>
        </w:rPr>
        <w:t>in the current year, partially offset by the sale of our music catalog during the second quarter of 2025 and additional revenues earned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connection with our role as executive producer of </w:t>
      </w:r>
      <w:r>
        <w:rPr>
          <w:rFonts w:ascii="Times New Roman" w:cs="Times New Roman" w:eastAsia="Times New Roman" w:hAnsi="Times New Roman"/>
          <w:sz w:val="18"/>
          <w:szCs w:val="18"/>
          <w:i w:val="1"/>
          <w:iCs w:val="1"/>
          <w:color w:val="auto"/>
        </w:rPr>
        <w:t>Silo</w:t>
      </w:r>
      <w:r>
        <w:rPr>
          <w:rFonts w:ascii="Times New Roman" w:cs="Times New Roman" w:eastAsia="Times New Roman" w:hAnsi="Times New Roman"/>
          <w:sz w:val="18"/>
          <w:szCs w:val="18"/>
          <w:color w:val="auto"/>
        </w:rPr>
        <w:t>, a series originally produced by AMC Studios for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Technical and operating expenses (excluding depreciation and amortization) increased primarily due to higher residuals costs and higher other direct programming costs, partially offset by a decrease in program rights amortization, including decreases for </w:t>
      </w:r>
      <w:r>
        <w:rPr>
          <w:rFonts w:ascii="Times New Roman" w:cs="Times New Roman" w:eastAsia="Times New Roman" w:hAnsi="Times New Roman"/>
          <w:sz w:val="18"/>
          <w:szCs w:val="18"/>
          <w:i w:val="1"/>
          <w:iCs w:val="1"/>
          <w:color w:val="auto"/>
        </w:rPr>
        <w:t>The Walking Dead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Fear the Walking Dead</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material write-offs included in program rights amortization expense in 2025. Program rights amortization expense included write-offs of $20.0 million for the year ended December 31, 2024 for programming that was substantively abandoned. Programming write-offs are based on management's periodic assessment of programming usefulness.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due to higher marketing expenses, mainly driven by increased paid media spend for AMC+, and an increase in legal costs related to the MFN Litigation.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attributable to the continued revenue declines in our linear businesses and higher marketing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International segment results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3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14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1"/>
        </w:trPr>
        <w:tc>
          <w:tcPr>
            <w:tcW w:w="6880" w:type="dxa"/>
            <w:vAlign w:val="bottom"/>
            <w:tcBorders>
              <w:bottom w:val="single" w:sz="8" w:color="CCEEFF"/>
            </w:tcBorders>
            <w:shd w:val="clear" w:color="auto" w:fill="CCEEFF"/>
          </w:tcPr>
          <w:p>
            <w:pPr>
              <w:ind w:left="680"/>
              <w:spacing w:after="0" w:line="196" w:lineRule="exact"/>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303,965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325,028</w:t>
            </w:r>
          </w:p>
        </w:tc>
        <w:tc>
          <w:tcPr>
            <w:tcW w:w="14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Technical and operating expenses (excluding depreciation and amortization)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line="20" w:lineRule="exact"/>
              <w:rPr>
                <w:sz w:val="1"/>
                <w:szCs w:val="1"/>
                <w:color w:val="auto"/>
              </w:rPr>
            </w:pPr>
          </w:p>
        </w:tc>
      </w:tr>
      <w:tr>
        <w:trPr>
          <w:trHeight w:val="203"/>
        </w:trPr>
        <w:tc>
          <w:tcPr>
            <w:tcW w:w="68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145,359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148,539</w:t>
            </w: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expenses</w:t>
            </w:r>
            <w:r>
              <w:rPr>
                <w:rFonts w:ascii="Times New Roman" w:cs="Times New Roman" w:eastAsia="Times New Roman" w:hAnsi="Times New Roman"/>
                <w:sz w:val="23"/>
                <w:szCs w:val="23"/>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3"/>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 Selling, general and administrative expenses excludes share-based compensation expenses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revenues decreased primarily due to the non-renewal of a distribution agreement in Spain in the fourth quarter of 2024, partially offset by the favorable impact of foreign currency translation.</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revenues decreased primarily due to the recognition of retroactive adjustments reported by a third party for $20.8 million in 2024 and the impact of the non-renewal of a distribution agreement in Spain in the fourth quarter of 2024, partially offset by the impact of higher pricing and higher digital and advanced advertising revenue in the U.K. and Ireland linear advertising markets and the favorable impact of foreign currency translation.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Technical and operating expenses (excluding depreciation and amortization)</w:t>
      </w:r>
    </w:p>
    <w:p>
      <w:pPr>
        <w:spacing w:after="0" w:line="1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Technical and operating expenses (excluding depreciation and amortization) decreased primarily due to lower program rights amortization, partially offset by the unfavorable impact of foreign currency translation.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general and administrative expenses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primarily due to the unfavorable impact of foreign currency translation, partially offset by lower selling expenses, including commissions, and lower marketing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adjusted operating income</w:t>
      </w:r>
    </w:p>
    <w:p>
      <w:pPr>
        <w:spacing w:after="0" w:line="1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decrease in segment adjusted operating income was primarily due to the recognition of retroactive adjustments reported by a third party for $20.8 million in 2024 and the impact of the non-renewal of a distribution agreement in Spain in the fourth quarter of 2024, partially offset by the impact of higher pricing in the U.K. and Ireland linear advertising markets.</w:t>
      </w:r>
    </w:p>
    <w:p>
      <w:pPr>
        <w:sectPr>
          <w:pgSz w:w="11900" w:h="16838" w:orient="portrait"/>
          <w:cols w:equalWidth="0" w:num="1">
            <w:col w:w="11240"/>
          </w:cols>
          <w:pgMar w:left="320" w:top="9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operations typically generate positive net cash flow from operating activities. However, each of our programming businesses has substantial programming acquisition and production expenditure requirements.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primary source of cash typically includes cash flow from operations. Sources of cash also include amounts available under our Revolving Credit Facility and, subject to market conditions, access to capital and credit markets. The Revolving Credit Facility was not drawn upon at December 31, 2025. The total undrawn revolver commitment is available to be drawn for our general corporate purposes.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See the "Debt Financing Agreements" section below for details of our debt transactions in 2025.</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October 2023, we entered into an agreement enabling us to sell certain customer receivables to a financial institution on a recurring basis for cash. The transferred receivables will be fully guaranteed by a bankruptcy-remote entity and the financial institution that purchases the receivables will have no recourse to our other assets in the event of non-payment by the customers. We can sell an indefinite amount of customer receivables under the agreement on a revolving basis, but the outstanding balance of unpaid customer receivables to the financial institution cannot exceed the initial program limit of $125.0 million at any given time. We have not yet sold any customer receivables under this agreement.</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principal uses of cash include the production, acquisition and promotion of programming, technology investments, debt service and payments for income taxes. We continue to invest in original programming, the funding of which generally occurs at least nine months in advance of a program's airing.</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November 26, 2025, we acquired the remaining 17% of RLJ Entertainment that we had not previously owned for $75.0 million in cash. As a result, the carrying amount of the noncontrolling interest was reduced to zero, reflecting our 100% ownership of RLJ Entertainment.</w:t>
      </w:r>
    </w:p>
    <w:p>
      <w:pPr>
        <w:spacing w:after="0" w:line="4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2025, $18.0 million of cash and cash equivalents, previously held by foreign subsidiaries, was repatriated to the United States. As of December 31, 2025, our cash and cash equivalents balance of $502.4 million, included $132.5 million held by foreign subsidiaries. Of this amount, $7.3 million is expected to be repatriated to the United States with the remaining amount continuing to be reinvested in foreign operations. Tax expense related to the repatriated amount, as well as the expected remaining amount to be repatriated, has been accrued for. The Company does not expect to incur any significant, additional taxes related to the remaining balance. On July 4, 2025, the OBBBA was signed into law, which resulted in cash tax savings for the year ended December 31, 2025.</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a combination of cash-on-hand, cash generated from operating activities, availability under our Revolving Credit Facility and our accounts receivable monetization program, and proceeds from the issuance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combined with cash-on-hand,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currently evaluating our liquidity profile in connection with our consideration of our funding and investment needs. Depending on market conditions, we may purchase, redeem, prepay, refinance, amend, exchange, extend or otherwise retire any amount of our outstanding indebtedness at any time and from time to time, in open market or privately negotiated transactions with the holders of such indebtedness or otherwise. We may decide not to proceed with any such transactions in light of market conditions or other relevant factors and, if we do proceed, the terms of any such transaction would be subject to market and other conditions.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a program to repurchase up to $1.5 billion of its outstanding shares of common stock. The Stock Repurchase Program has no pre-established termination date and may be suspended or discontinued at any time. For the year ended December 31, 2025, we repurchased 2.4 million shares of our Class A Common Stock at an average purchase price of $7.29 per share for aggregate consideration of $18.0 million. As of December 31, 2025, we had $117.4 million of authorization remaining for repurchase under the Stock Repurchase Program.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4" w:name="page55"/>
    <w:bookmarkEnd w:id="5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See Item 1A, "Risk Factors – Risks Relating to Our Debt" in this Annual Report. In addition, economic or market disruptions could lead to lower demand for our services, such as loss of subscribers and lower levels of advertising. These events would adversely impact our results of operations, cash flows and financial position.</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is a summary of cash flows provided by (used in) operating, investing and financing activities for the periods indicated:</w:t>
      </w:r>
    </w:p>
    <w:p>
      <w:pPr>
        <w:spacing w:after="0" w:line="187"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(40,376)</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(298,829)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225,016</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for 2025 and 2024 amounted to $305.7 million and $375.6 million, respectively.</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net cash provided by operating activities primarily resulted from $1,030.2 million of net income before amortization of program rights, net gain on extinguishment of debt, impairment charges, depreciation and amortization, and other non-cash items, partially offset by payments for program rights of $815.2 million. Changes in all other assets and liabilities during the year resulted in a net cash inflow of $90.7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2024, net cash provided by operating activities primarily resulted from $1,211.2 million of net income before amortization of program rights, impairment charges, depreciation and amortization, and other non-cash items, partially offset by payments for program rights of $932.3 million. Changes in all other assets and liabilities during the year resulted in a net cash inflow of $96.7 million.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for 2025 and 2024 was $34.2 million and $40.4 million, respectively.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and 2024, net cash used in investing activities primarily consisted of capital expenditures of $33.3 million and $44.8 million, respectively.</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for 2025 and 2024 was $570.3 million and $110.2 million, respectively.</w:t>
      </w:r>
    </w:p>
    <w:p>
      <w:pPr>
        <w:spacing w:after="0" w:line="11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2025, net cash used in financing activities primarily related to the tender offer for and repurchases of our Senior Notes of $569.1 million, principal payments on the Term Loan A Facility of $282.8 million, the purchase of the remaining 17% interest of RLJ Entertainment that we had not previously owned for $75.0 million, and the purchase of treasury stock for $18.0 million, partially offset by $394.5 million of proceeds from the issuance of our 2032 Secured Notes.</w:t>
      </w:r>
    </w:p>
    <w:p>
      <w:pPr>
        <w:spacing w:after="0" w:line="6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2024, net cash used in financing activities primarily related to long-term debt refinancing transactions, the Convertible Notes issuance, principal payments on the Term Loan A Facility, the purchase of the remaining 50.1% interest of the BBCA joint-venture that we had not previously owned for $42.0 million, and distributions to noncontrolling interests of $24.0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b w:val="1"/>
          <w:bCs w:val="1"/>
          <w:color w:val="auto"/>
        </w:rPr>
        <w:t>Debt Financing Agreements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principal amount of long-term debt consists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6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2"/>
        </w:trPr>
        <w:tc>
          <w:tcPr>
            <w:tcW w:w="752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Senior Secured Credit Facility:</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7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365,625</w:t>
            </w:r>
          </w:p>
        </w:tc>
      </w:tr>
      <w:tr>
        <w:trPr>
          <w:trHeight w:val="230"/>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7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10.25% Senior Secured Notes due January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r>
      <w:tr>
        <w:trPr>
          <w:trHeight w:val="230"/>
        </w:trPr>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February 2029</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985,010</w:t>
            </w:r>
          </w:p>
        </w:tc>
      </w:tr>
      <w:tr>
        <w:trPr>
          <w:trHeight w:val="229"/>
        </w:trPr>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4.25%</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February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r>
      <w:tr>
        <w:trPr>
          <w:trHeight w:val="229"/>
        </w:trPr>
        <w:tc>
          <w:tcPr>
            <w:tcW w:w="7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10.50% Senior Secured Notes due July 2032</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amount of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1,778,251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2,369,385</w:t>
            </w:r>
          </w:p>
        </w:tc>
      </w:tr>
      <w:tr>
        <w:trPr>
          <w:trHeight w:val="21"/>
        </w:trPr>
        <w:tc>
          <w:tcPr>
            <w:tcW w:w="8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hanging="490"/>
        <w:spacing w:after="0" w:line="250" w:lineRule="auto"/>
        <w:tabs>
          <w:tab w:leader="none" w:pos="57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principal amount of the debt, with maturities of the Term Loan A Facility of $82.8 million due April 2028. We also have commitments available under our undrawn $175.0 million Revolving Credit Facility. Total undrawn revolver commitments are available to be drawn for general corporate purposes of the Company.</w:t>
      </w:r>
    </w:p>
    <w:p>
      <w:pPr>
        <w:spacing w:after="0" w:line="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3, 2025, we issued $400.0 million aggregate principal amount of 2032 Secured Notes. We received net proceeds of $394.5 million, after deducting initial purchasers discounts. The 2032 Secured Notes are guaranteed by AMC Network Entertainment and AMC Networks' subsidiaries that guarantee the Credit Agreement. The proceeds from the issuance, together with cash-on-hand, were used to facilitate the completion of a cash tender offer on July 17, 2025 to purchase $600.0 million of our Senior Notes, at a discount of $111.0 million, and to voluntary prepay the remaining $70.0 million of borrowings under the Term Loan A consisting of the non-extended portion originally due in February 2026 on July 3, 2025.</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2025, we also repurchased $108.3 million principal amount of our Senior Notes through open market repurchases, at discounts of $28.2 million and retired the repurchased Senior Notes. Additionally, in May 2025 we voluntarily prepaid $20.0 million of borrowings under the Term Loan A Facility consisting of the non-extended portion originally due in February 2026.</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29, 2025, the Company entered into Amendment No. 5 to the Credit Agreement. We continue to maintain $175.0 million of commitments under the Revolving Credit Facility. Pursuant to Amendment No. 5, the maturity date of $111.8 million of such commitments was extended to the earlier of</w:t>
      </w:r>
    </w:p>
    <w:p>
      <w:pPr>
        <w:jc w:val="both"/>
        <w:ind w:firstLine="8"/>
        <w:spacing w:after="0" w:line="255" w:lineRule="auto"/>
        <w:tabs>
          <w:tab w:leader="none" w:pos="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29, 2030 and (ii) the date that is 90 days prior to the maturity date of any capital markets indebtedness of AMC Networks with an aggregate outstanding principal amount exceeding $50.0 million. The remaining $63.2 million of commitments under the Revolving Credit Facility retained their existing maturity date of April 9, 2028.</w:t>
      </w:r>
    </w:p>
    <w:p>
      <w:pPr>
        <w:spacing w:after="0" w:line="7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during 2025, the Company repurchased and permanently retired term loans held by certain lenders that consented to the maturity extension noted above, in an aggregate principal amount equal to $165.7 million, at a price equal to the principal amount thereof plus accrued and unpaid interest. The remaining $85.6 million principal amount, $2.8 million of which was subsequently repaid during the fourth quarter of 2025 in accordance with the revised contractual payment schedule, retained their existing maturity date of April 9, 2028. Amendment No. 5 also includes certain other modifications to covenants and other provisions of the Credit Agreement.</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Credit Agreement generally requires us and our restricted subsidiaries on a consolidated basis to comply with a maximum total net leverage ratio of 5.75:1.00 from April 9, 2024 through March 31, 2026, after which the maximum total net leverage ratio changes to 5.50:1.00. As of December 31, 2025, the total net leverage ratio was approximately 4.41:1.00. In addition, the Credit Agreement requires a minimum interest coverage ratio for us and our restricted subsidiaries on a consolidated basis, which prior to Amendment No. 5 was 2.00:1.00. Amendment No. 5 included a reduction in the minimum interest coverage ratio to 1.50:1.00, with a step-up to 1.75:1.00 for fiscal quarters ending on or after December 31, 2028. As of December 31, 2025, the minimum interest coverage ratio was approximately 2.01:1.00. All borrowings under the Credit Agreement are subject to the satisfaction of customary conditions, including the absence of a default and accuracy of representations and warranties.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AMC Networks was in compliance with all of its debt covenants as of December 31, 2025.</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our outstanding indebtedness, including its significant terms and provisions, is discussed in Note 9 to the accompanying consolidated financial statements included in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terms and conditions of the guarantees with respect to the outstanding notes for which AMC Networks is the issuer.</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 Guarantees</w:t>
      </w:r>
    </w:p>
    <w:p>
      <w:pPr>
        <w:spacing w:after="0" w:line="11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Debt of AMC Networks as of December 31, 2025 included $875.0 million of 2029 Secured Notes, $276.7 million of Senior Notes, $143.8 million of Convertible Notes and $400.0 million of 2032 Secured Notes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Summarized Financial Information</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Income Statement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1,759,868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28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127,610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176,938</w:t>
            </w:r>
          </w:p>
        </w:tc>
        <w:tc>
          <w:tcPr>
            <w:tcW w:w="100" w:type="dxa"/>
            <w:vAlign w:val="bottom"/>
          </w:tcPr>
          <w:p>
            <w:pPr>
              <w:spacing w:after="0"/>
              <w:rPr>
                <w:sz w:val="17"/>
                <w:szCs w:val="17"/>
                <w:color w:val="auto"/>
              </w:rPr>
            </w:pPr>
          </w:p>
        </w:tc>
        <w:tc>
          <w:tcPr>
            <w:tcW w:w="1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(199,080)</w:t>
            </w:r>
          </w:p>
        </w:tc>
        <w:tc>
          <w:tcPr>
            <w:tcW w:w="100" w:type="dxa"/>
            <w:vAlign w:val="bottom"/>
          </w:tcPr>
          <w:p>
            <w:pPr>
              <w:spacing w:after="0"/>
              <w:rPr>
                <w:sz w:val="17"/>
                <w:szCs w:val="17"/>
                <w:color w:val="auto"/>
              </w:rPr>
            </w:pPr>
          </w:p>
        </w:tc>
        <w:tc>
          <w:tcPr>
            <w:tcW w:w="10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140" w:type="dxa"/>
            <w:vAlign w:val="bottom"/>
          </w:tcPr>
          <w:p>
            <w:pPr>
              <w:spacing w:after="0"/>
              <w:rPr>
                <w:sz w:val="18"/>
                <w:szCs w:val="18"/>
                <w:color w:val="auto"/>
              </w:rPr>
            </w:pPr>
          </w:p>
        </w:tc>
        <w:tc>
          <w:tcPr>
            <w:tcW w:w="1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Parent 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Guarantor Subsidiaries</w:t>
            </w:r>
          </w:p>
        </w:tc>
        <w:tc>
          <w:tcPr>
            <w:tcW w:w="0" w:type="dxa"/>
            <w:vAlign w:val="bottom"/>
          </w:tcPr>
          <w:p>
            <w:pPr>
              <w:spacing w:after="0"/>
              <w:rPr>
                <w:sz w:val="1"/>
                <w:szCs w:val="1"/>
                <w:color w:val="auto"/>
              </w:rPr>
            </w:pPr>
          </w:p>
        </w:tc>
      </w:tr>
      <w:tr>
        <w:trPr>
          <w:trHeight w:val="211"/>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due from subsidiaries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90,643</w:t>
            </w:r>
          </w:p>
        </w:tc>
        <w:tc>
          <w:tcPr>
            <w:tcW w:w="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82,342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1,001,691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31,727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1,386,554</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2,987,716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2,690,262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3,467,276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2,718,427</w:t>
            </w:r>
          </w:p>
        </w:tc>
        <w:tc>
          <w:tcPr>
            <w:tcW w:w="0" w:type="dxa"/>
            <w:vAlign w:val="bottom"/>
          </w:tcPr>
          <w:p>
            <w:pPr>
              <w:spacing w:after="0"/>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 and equity:</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due to subsidiaries</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3,880</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80,983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548,661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168,903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473,418</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230,969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2,474,505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228,778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are required to make certain estimates and assumptions that affect the reported amounts of assets and liabilities at the date of the financial statements and the reported amounts of revenues and expenses during the periods presented. These estimates and assumptions can be subjective and complex and, consequently, actual results could differ materially from our estimates and assumptions. We base our estimates on historical experience, known or expected trends and other assumptions that we believe are reasonable under the circumstances.</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comprise the more significant judgments and estimates used in the preparation of our consolidated financial statements: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Program Rights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amortize capitalized film and television costs based on whether the content is predominantly monetized individually or as a group.</w:t>
      </w:r>
    </w:p>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Substantially all of our program rights are expected to be predominantly monetized on our networks and streaming services with other programming and are therefore considered monetized as a group. Licensed and owned original programming, including feature films and television series are amortized to technical and operating expense on a straight-line or accelerated basis based on viewership patterns on our streaming services and the projected program usage of the rights on our networks, over a period not to exceed the respective license periods.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projected program usage is based on the Company's current expectation of future exhibitions taking into account historical usage and viewership patterns of similar content. The Company periodically reviews estimates of its projected program usage and viewership patterns and revises its assumptions if necessary, which could impact the timing of amortization expense. Any adjustments to the assumptions are applied prospectively in the period of the change.</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For content that is predominantly monetized as a group, unamortized costs are tested for impairment whenever events or changes in circumstances indicate that the fair value of the group may be less than its unamortized costs. Groups are tested for impairment by comparing the present value of the discounted cash flows of the group to the aggregate unamortized costs of the group. If the unamortized costs exceed the present value of discounted cash flows, an impairment charge is recorded for the excess and allocated to individual titles within the group on a pro rata basis using the relative carrying value of the titles. Program rights with no future programming usefulness are substantially abandoned, resulting in the write-off of remaining unamortized cost.</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To a lesser extent, certain program rights are expected to be predominantly monetized individually. These program rights are amortized to technical and operating expense over their estimated useful lives, commencing upon the first usage, based on attributable revenue to date as a percentage of total projected attributable revenue ("ultimate revenue") under the individual-film-forecast-computation method.</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Ultimate revenues are estimated based on the levels of revenue generated from similar content in comparable markets, projected program usage, and the levels of historical and expected programming market acceptance. The Company periodically reviews its ultimate revenue estimates and revises its assumptions if necessary, which could impact the timing of amortization expense. Any adjustments are applied prospectively as of the beginning of the fiscal year of the change.</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content that is predominantly monetized on an individual basis, a television program or feature film is tested for impairment when events or circumstances indicate that its fair value may be less than its unamortized cost. Individual titles are tested for impairment by comparing the present value of the discounted cash flows of the title to the unamortized costs of the title. If the unamortized costs exceed the present value of discounted cash flows, an impairment charge is recorded for the excess. Program rights with no future programming usefulness are substantially abandoned, resulting in the write-off of remaining unamortized cost.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material write-offs included in technical and operating expense for the year ended December 31, 2025. Program rights write-offs of $20.7 million were included in technical and operating expense for the year ended December 31, 2024 for programming that was substantively abandoned. Refer to Note 4 for details on program write-offs recorded to restructuring expense for the years ended December 31, 2025 and 2024.</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Useful Lives of Affiliate Intangible Assets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carrying amount of our affiliate relationships acquired in business combinations as of December 31, 2025 was $130.6 million. Useful lives of affiliate relationships (ranging from 6 to 25 years) are initially determined based upon weighted average remaining terms of agreements in place with major distributors when purchase accounting is applied, plus an assumption for expected renewals. We periodically review our assumption for expected renewals based on recent experience and known or expected trends.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Goodwill is not amortized, but instead is tested for impairment at the reporting unit level annually as of December 1, or more frequently upon the occurrence of certain events or substantive changes in circumstances. The annual goodwill impairment test allows for the option to first assess qualitative factors to determine whether it is more likely than not that the fair value of a reporting unit is less than its carrying amount. If it is determined, on the basis of qualitative factors, that the fair value of a reporting unit is, more likely than not, less than its carrying value, the quantitative impairment test is required. The quantitative impairment test calculates any goodwill impairment as the difference between the carrying amount of a reporting unit and its fair value, but not to exceed the carrying amount of goodwill.</w:t>
      </w:r>
    </w:p>
    <w:p>
      <w:pPr>
        <w:spacing w:after="0" w:line="7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For our annual impairment test, we performed quantitative impairment tests for all reporting units. The impairment test for goodwill requires judgment related to the identification of reporting units, the assignment of assets and liabilities to reporting units including goodwill, and the determination of fair value of the reporting units. The quantitative impairment test evaluates whether the carrying value of a reporting unit exceeds its estimated fair value. We estimate the fair value of our reporting units based on the present value of future cash flows (“Discounted Cash Flow Method”) and the total enterprise value multiples of publicly traded comparable companies (“Market Comparables Method”). The Discounted Cash Flow Method requires us to make various assumptions regarding the timing and amount of future cash flows, including revenue growth rates, operating margins, and programming and working capital investments for a projection period, plus the terminal value of the business at the end of the projection period. The assumptions about future cash flows are based on internal forecasts, which incorporates our long-term business plans and historical trends and are subject to a greater degree of uncertainty in times of adverse economic conditions. The terminal value is estimated based on a perpetual growth rate, which is based on historical and projected inflation and economic indicators, as well as industry growth projections. A discount rate is determined for the reporting unit based on the risks of achieving the future cash flows, including risks applicable to the industry and market as a whole, as well as the capital structure of comparable entities. The Market Comparables Method incorporates revenue and earnings multiples from publicly traded companies with operations and other characteristics similar to each reporting unit. The selected multiples consider each reporting unit’s relative growth, profitability, size, and risk relative to the selected publicly traded companies.</w:t>
      </w:r>
    </w:p>
    <w:p>
      <w:pPr>
        <w:spacing w:after="0" w:line="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86,771</w:t>
            </w:r>
          </w:p>
        </w:tc>
      </w:tr>
      <w:tr>
        <w:trPr>
          <w:trHeight w:val="248"/>
        </w:trPr>
        <w:tc>
          <w:tcPr>
            <w:tcW w:w="9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166,809</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Based on our annual impairment test in 2025, we recorded an impairment charge of $93.4 million for our AMCNI reporting unit. For our Domestic Operations reporting unit, we concluded that the estimated fair value of the reporting unit exceeded its respective carrying value by 6%, and therefore no impairment charge was required. The fair value estimates for both reporting units are sensitive to assumptions regarding future growth rates and the weighted-average cost of capital ("WACC"). A decrease in the expected annual growth rate or an increase in the WACC would make it reasonably possible that the Company could record an impairment charge in future periods. See Note 7 to the accompanying consolidated financial statements included in this Annual Report on Form 10-K for additional details.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information regarding recently issued accounting pronouncements is discussed in Note 2 to the accompanying consolidated financial statements included in this Annual Report on Form 10-K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Internally, we use AOI and Free Cash Flow as the most important indicators of our business performance, and evaluate management's effectiveness with specific reference to these indicators.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evaluate segment performance based on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operating income to AOI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21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income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r>
      <w:tr>
        <w:trPr>
          <w:trHeight w:val="229"/>
        </w:trPr>
        <w:tc>
          <w:tcPr>
            <w:tcW w:w="7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w:t>
            </w:r>
          </w:p>
        </w:tc>
      </w:tr>
      <w:tr>
        <w:trPr>
          <w:trHeight w:val="230"/>
        </w:trPr>
        <w:tc>
          <w:tcPr>
            <w:tcW w:w="7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w:t>
            </w:r>
          </w:p>
        </w:tc>
      </w:tr>
      <w:tr>
        <w:trPr>
          <w:trHeight w:val="229"/>
        </w:trPr>
        <w:tc>
          <w:tcPr>
            <w:tcW w:w="7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399,513</w:t>
            </w:r>
          </w:p>
        </w:tc>
      </w:tr>
      <w:tr>
        <w:trPr>
          <w:trHeight w:val="229"/>
        </w:trPr>
        <w:tc>
          <w:tcPr>
            <w:tcW w:w="7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Restructuring and other related charges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r>
      <w:tr>
        <w:trPr>
          <w:trHeight w:val="230"/>
        </w:trPr>
        <w:tc>
          <w:tcPr>
            <w:tcW w:w="7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Cloud computing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13,452</w:t>
            </w:r>
          </w:p>
        </w:tc>
      </w:tr>
      <w:tr>
        <w:trPr>
          <w:trHeight w:val="229"/>
        </w:trPr>
        <w:tc>
          <w:tcPr>
            <w:tcW w:w="7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Majority owned equity investees AOI</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15,678</w:t>
            </w:r>
          </w:p>
        </w:tc>
      </w:tr>
      <w:tr>
        <w:trPr>
          <w:trHeight w:val="223"/>
        </w:trPr>
        <w:tc>
          <w:tcPr>
            <w:tcW w:w="7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411,874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562,573</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define Free Cash Flow, which is a non-GAAP financial measure, as net cash provided by operating activities less capital expenditures, all of which are reported in our Consolidated Statement of Cash Flows. 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our liquidity with other companies in our industry, although our measure of Free Cash Flow may not be directly comparable to similar measures reported by other companies.</w:t>
      </w: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7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99"/>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305,670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375,615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(44,775)</w:t>
            </w:r>
          </w:p>
        </w:tc>
        <w:tc>
          <w:tcPr>
            <w:tcW w:w="0" w:type="dxa"/>
            <w:vAlign w:val="bottom"/>
          </w:tcPr>
          <w:p>
            <w:pPr>
              <w:spacing w:after="0"/>
              <w:rPr>
                <w:sz w:val="1"/>
                <w:szCs w:val="1"/>
                <w:color w:val="auto"/>
              </w:rPr>
            </w:pPr>
          </w:p>
        </w:tc>
      </w:tr>
      <w:tr>
        <w:trPr>
          <w:trHeight w:val="316"/>
        </w:trPr>
        <w:tc>
          <w:tcPr>
            <w:tcW w:w="20" w:type="dxa"/>
            <w:vAlign w:val="bottom"/>
            <w:tcBorders>
              <w:bottom w:val="single" w:sz="8" w:color="CCEEFF"/>
            </w:tcBorders>
            <w:shd w:val="clear" w:color="auto" w:fill="CCEEFF"/>
          </w:tcPr>
          <w:p>
            <w:pPr>
              <w:spacing w:after="0"/>
              <w:rPr>
                <w:sz w:val="24"/>
                <w:szCs w:val="24"/>
                <w:color w:val="auto"/>
              </w:rPr>
            </w:pPr>
          </w:p>
        </w:tc>
        <w:tc>
          <w:tcPr>
            <w:tcW w:w="7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272,367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330,840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794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290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2900" w:type="dxa"/>
            <w:vAlign w:val="bottom"/>
            <w:tcBorders>
              <w:bottom w:val="single" w:sz="8" w:color="CCEEFF"/>
            </w:tcBorders>
          </w:tcPr>
          <w:p>
            <w:pPr>
              <w:spacing w:after="0"/>
              <w:rPr>
                <w:sz w:val="18"/>
                <w:szCs w:val="18"/>
                <w:color w:val="auto"/>
              </w:rPr>
            </w:pPr>
          </w:p>
        </w:tc>
        <w:tc>
          <w:tcPr>
            <w:tcW w:w="50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initiatives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(13,295)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(23,992)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Based on the level of interest rates prevailing at December 31, 2025, the fair value of our fixed rate debt of $1.73 billion was higher than its carrying value of $1.67 billion by $56.3 million. The fair value of these financial instruments is estimated based on reference to quoted market prices for these or comparable securities. A hypothetical 100 basis point decrease in interest rates prevailing at December 31, 2025 would increase the estimated fair value of our fixed rate debt by approximately $33.0 million to approximately $1.76 billion.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Interest Rate Risk</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2025, we have $1.78 billion of debt outstanding (excluding finance leases), of which $82.8 million is outstanding under our loan facility and is subject to variable interest rates. A hypothetical 100 basis point increase in interest rates prevailing at December 31, 2025 would increase our annual interest expense by approximately $0.8 million. The interest rate paid on approximately 95% of our debt (excluding finance leases) as of December 31, 2025 is fixed.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recognized foreign currency transaction gains (losses) of $13.3 million and $(7.0) million for the years ended December 31, 2025 and 2024, respectively, related to foreign currency transactions. Unrealized foreign currency transaction gains or losses are computed based on period-end exchange rates and are non-cash in nature until such time as the amounts are settled. Such amount is included in miscellaneous, net in the consolidated statements of income (loss).</w:t>
      </w:r>
    </w:p>
    <w:p>
      <w:pPr>
        <w:spacing w:after="0" w:line="7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Financial Statements required by this Item 8 appear beginning on page 70 of this Annual Report, and are incorporated by reference herein.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400" w:hanging="392"/>
        <w:spacing w:after="0"/>
        <w:tabs>
          <w:tab w:leader="none" w:pos="4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December 31, 2025, the Company's principal executive officer (our Chief Executive Officer) and principal financial officer (our Chief Financial Officer) concluded that the Company's disclosure controls and procedures are effective.</w:t>
      </w:r>
    </w:p>
    <w:p>
      <w:pPr>
        <w:spacing w:after="0" w:line="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Management's Report on Internal Control over Financial Reporting</w:t>
      </w:r>
    </w:p>
    <w:p>
      <w:pPr>
        <w:spacing w:after="0" w:line="121"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line="253" w:lineRule="auto"/>
        <w:tabs>
          <w:tab w:leader="none" w:pos="2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the principal executive officer (our Chief Executive Officer) and our principal financial officer (our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2025.</w:t>
      </w:r>
    </w:p>
    <w:p>
      <w:pPr>
        <w:spacing w:after="0" w:line="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color w:val="auto"/>
        </w:rPr>
        <w:t>Attestation Report of Independent Registered Public Accounting Firm</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December 31, 2025 has been audited by KPMG LLP, an independent registered public accounting firm, as stated in their attestation report appearing on page F-3.</w:t>
      </w:r>
    </w:p>
    <w:p>
      <w:pPr>
        <w:spacing w:after="0" w:line="5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Changes in Internal Control over Financial Reporting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Information relating to our directors, executive officers, corporate governance and insider trading policies and procedures will be included in our definitive Proxy Statement for our 2026 Annual Meeting of Stockholders, which will be filed within 120 days of the year ended December 31, 2025 (the "2026 Proxy Statement"), which is incorporated herein by reference.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relating to executive compensation will be included in the 2026 Proxy Statement, which is incorporated herein by reference.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the beneficial ownership of our common stock and related stockholder matters will be included in the 2026 Proxy Statement, which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certain relationships and related transactions and director independence will be included in the 2026 Proxy Statement, which is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Information relating to principal accountant fees and services will be included in the 2026 Proxy Statement,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3" w:name="page64"/>
    <w:bookmarkEnd w:id="6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Documents filed as part of the Form 10-K:</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items are filed as part of this Annual Report:</w:t>
      </w:r>
    </w:p>
    <w:p>
      <w:pPr>
        <w:spacing w:after="0" w:line="117" w:lineRule="exact"/>
        <w:rPr>
          <w:sz w:val="20"/>
          <w:szCs w:val="20"/>
          <w:color w:val="auto"/>
        </w:rPr>
      </w:pPr>
    </w:p>
    <w:p>
      <w:pPr>
        <w:ind w:left="560" w:hanging="309"/>
        <w:spacing w:after="0"/>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as indicated in the index set forth on page 70.</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 other than that listed above have been omitted, since they are either not applicable, not required or the information is included elsewhere herein.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64" w:name="page65"/>
    <w:bookmarkEnd w:id="64"/>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13335</wp:posOffset>
            </wp:positionV>
            <wp:extent cx="6172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3.1(ii)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4.1</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4.2</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4.9</w:t>
      </w: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4.10</w:t>
      </w: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4.11</w:t>
      </w: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4.12</w:t>
      </w:r>
    </w:p>
    <w:p>
      <w:pPr>
        <w:spacing w:after="0" w:line="2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br w:type="column"/>
      </w:r>
    </w:p>
    <w:p>
      <w:pPr>
        <w:ind w:left="3420"/>
        <w:spacing w:after="0"/>
        <w:rPr>
          <w:sz w:val="20"/>
          <w:szCs w:val="20"/>
          <w:color w:val="auto"/>
        </w:rPr>
      </w:pPr>
      <w:r>
        <w:rPr>
          <w:rFonts w:ascii="Times New Roman" w:cs="Times New Roman" w:eastAsia="Times New Roman" w:hAnsi="Times New Roman"/>
          <w:sz w:val="18"/>
          <w:szCs w:val="18"/>
          <w:u w:val="single" w:color="auto"/>
          <w:color w:val="auto"/>
        </w:rPr>
        <w:t>INDEX TO EXHIBITS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32385</wp:posOffset>
            </wp:positionV>
            <wp:extent cx="62750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20" w:lineRule="exact"/>
        <w:rPr>
          <w:sz w:val="20"/>
          <w:szCs w:val="20"/>
          <w:color w:val="auto"/>
        </w:rPr>
      </w:pPr>
    </w:p>
    <w:p>
      <w:pPr>
        <w:ind w:right="320"/>
        <w:spacing w:after="0" w:line="237" w:lineRule="auto"/>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u w:val="single" w:color="auto"/>
            <w:color w:val="0000FF"/>
          </w:rPr>
          <w:t>Plan of Conversion of AMC Networks Inc. (incorporated by reference to Exhibit 2.1 to the Company's Current Report on Form 8-K</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filed on June 6, 2025)</w:t>
        </w:r>
        <w:r>
          <w:rPr>
            <w:rFonts w:ascii="Times New Roman" w:cs="Times New Roman" w:eastAsia="Times New Roman" w:hAnsi="Times New Roman"/>
            <w:sz w:val="18"/>
            <w:szCs w:val="18"/>
            <w:color w:val="000000"/>
          </w:rPr>
          <w:t>.</w:t>
        </w:r>
      </w:hyperlink>
    </w:p>
    <w:p>
      <w:pPr>
        <w:spacing w:after="0" w:line="64" w:lineRule="exact"/>
        <w:rPr>
          <w:sz w:val="20"/>
          <w:szCs w:val="20"/>
          <w:color w:val="auto"/>
        </w:rPr>
      </w:pPr>
    </w:p>
    <w:p>
      <w:pPr>
        <w:ind w:right="60"/>
        <w:spacing w:after="0" w:line="237"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Articles of Incorporation of AMC Networks Inc. (incorporated by reference to Exhibit 3.1 to the Company's Current Report on Form 8-</w:t>
        </w:r>
      </w:hyperlink>
      <w:hyperlink r:id="rId106">
        <w:r>
          <w:rPr>
            <w:rFonts w:ascii="Times New Roman" w:cs="Times New Roman" w:eastAsia="Times New Roman" w:hAnsi="Times New Roman"/>
            <w:sz w:val="18"/>
            <w:szCs w:val="18"/>
            <w:u w:val="single" w:color="auto"/>
            <w:color w:val="0000FF"/>
          </w:rPr>
          <w:t>K filed on June 6, 2025).</w:t>
        </w:r>
      </w:hyperlink>
    </w:p>
    <w:p>
      <w:pPr>
        <w:spacing w:after="0" w:line="64" w:lineRule="exact"/>
        <w:rPr>
          <w:sz w:val="20"/>
          <w:szCs w:val="20"/>
          <w:color w:val="auto"/>
        </w:rPr>
      </w:pPr>
    </w:p>
    <w:p>
      <w:pPr>
        <w:ind w:right="460"/>
        <w:spacing w:after="0" w:line="237"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By-Laws of AMC Networks Inc. (incorporated by reference to Exhibit 3.2 to the Company's Current Report on Form 8-K filed on</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June 6, 2025).</w:t>
        </w:r>
      </w:hyperlink>
    </w:p>
    <w:p>
      <w:pPr>
        <w:spacing w:after="0" w:line="64" w:lineRule="exact"/>
        <w:rPr>
          <w:sz w:val="20"/>
          <w:szCs w:val="20"/>
          <w:color w:val="auto"/>
        </w:rPr>
      </w:pPr>
    </w:p>
    <w:p>
      <w:pPr>
        <w:ind w:right="500"/>
        <w:spacing w:after="0" w:line="237"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Form of Registration Rights Agreement between AMC Networks Inc. and The Charles F. Dolan Children Trusts (incorporated by</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reference to Exhibit 3.5 to the Company's Amendment No. 5 to Registration Statement on Form 10 filed on June 6, 2011).</w:t>
        </w:r>
      </w:hyperlink>
    </w:p>
    <w:p>
      <w:pPr>
        <w:spacing w:after="0" w:line="104" w:lineRule="exact"/>
        <w:rPr>
          <w:sz w:val="20"/>
          <w:szCs w:val="20"/>
          <w:color w:val="auto"/>
        </w:rPr>
      </w:pPr>
    </w:p>
    <w:p>
      <w:pPr>
        <w:ind w:right="260"/>
        <w:spacing w:after="0" w:line="237"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Form of Registration Rights Agreement between AMC Networks Inc. and The Dolan Family Affiliates (incorporated by reference to</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Exhibit 3.6 to the Company's Amendment No. 5 to Registration Statement on Form 10 filed on June 6, 2011).</w:t>
        </w:r>
      </w:hyperlink>
    </w:p>
    <w:p>
      <w:pPr>
        <w:spacing w:after="0" w:line="104"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Registration Rights Agreement, dated as of June 30, 2011, among AMC Networks Inc., the subsidiary guarantors named therein, Merrill</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Lynch, Pierce, Fenner &amp; Smith Incorporated and J.P. Morgan Securities LLC, as representatives of the several initial purchasers</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(incorporated by reference to Exhibit 99.2 to the Company's Current Report on Form 8-K filed on July 1, 2011).</w:t>
        </w:r>
      </w:hyperlink>
    </w:p>
    <w:p>
      <w:pPr>
        <w:spacing w:after="0" w:line="97" w:lineRule="exact"/>
        <w:rPr>
          <w:sz w:val="20"/>
          <w:szCs w:val="20"/>
          <w:color w:val="auto"/>
        </w:rPr>
      </w:pPr>
    </w:p>
    <w:p>
      <w:pPr>
        <w:spacing w:after="0" w:line="236" w:lineRule="auto"/>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7"/>
            <w:szCs w:val="17"/>
            <w:u w:val="single" w:color="auto"/>
            <w:color w:val="0000FF"/>
          </w:rPr>
          <w:t>Indenture, dated as of March 30, 2016, by and among AMC Networks Inc., as issuer, each of the guarantors party thereto and U.S. Bank</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National Association, as Trustee (incorporated by reference to Exhibit 4.1 to the Company's Current Report on Form 8-K filed on July</w:t>
        </w:r>
      </w:hyperlink>
    </w:p>
    <w:p>
      <w:pPr>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28, 2017).</w:t>
        </w:r>
      </w:hyperlink>
    </w:p>
    <w:p>
      <w:pPr>
        <w:spacing w:after="0" w:line="111" w:lineRule="exact"/>
        <w:rPr>
          <w:sz w:val="20"/>
          <w:szCs w:val="20"/>
          <w:color w:val="auto"/>
        </w:rPr>
      </w:pPr>
    </w:p>
    <w:p>
      <w:pPr>
        <w:jc w:val="both"/>
        <w:ind w:right="60"/>
        <w:spacing w:after="0" w:line="222"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Third Supplemental Indenture, dated as of February 8, 2021, to the Indenture, dated as of March 30, 2016, among AMC Networks Inc.,</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as issuer, each of the guarantors party thereto and U.S. Bank National Association, as Trustee, relating to AMC Networks Inc.’s 4.25%</w:t>
        </w:r>
      </w:hyperlink>
    </w:p>
    <w:p>
      <w:pPr>
        <w:spacing w:after="0" w:line="2" w:lineRule="exact"/>
        <w:rPr>
          <w:sz w:val="20"/>
          <w:szCs w:val="20"/>
          <w:color w:val="auto"/>
        </w:rPr>
      </w:pPr>
    </w:p>
    <w:p>
      <w:pPr>
        <w:ind w:right="340"/>
        <w:spacing w:after="0" w:line="226"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Senior Notes due 2029, and Form of Notes (incorporated by reference to Exhibit 4.2 to the Company's Current Report on Form 8-K</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filed on February 8, 2021).</w:t>
        </w:r>
      </w:hyperlink>
    </w:p>
    <w:p>
      <w:pPr>
        <w:spacing w:after="0" w:line="63" w:lineRule="exact"/>
        <w:rPr>
          <w:sz w:val="20"/>
          <w:szCs w:val="20"/>
          <w:color w:val="auto"/>
        </w:rPr>
      </w:pPr>
    </w:p>
    <w:p>
      <w:pPr>
        <w:jc w:val="both"/>
        <w:ind w:right="120"/>
        <w:spacing w:after="0" w:line="258"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Indenture, dated as of April 9, 2024, by and among AMC Networks Inc., as issuer, each of the guarantors party thereto and U.S. Bank</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Trust Company, National Association, as Trustee, relating to AMC Networks Inc.’s 10.25% Senior Secured Notes due 2029, and Form</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of Notes (incorporated by reference to Exhibit 4.1 to the Company's Current Report on Form 8-K filed on April 10, 2024).</w:t>
        </w:r>
      </w:hyperlink>
    </w:p>
    <w:p>
      <w:pPr>
        <w:spacing w:after="0" w:line="102" w:lineRule="exact"/>
        <w:rPr>
          <w:rFonts w:ascii="Times New Roman" w:cs="Times New Roman" w:eastAsia="Times New Roman" w:hAnsi="Times New Roman"/>
          <w:sz w:val="18"/>
          <w:szCs w:val="18"/>
          <w:u w:val="single" w:color="auto"/>
          <w:color w:val="0000FF"/>
        </w:rPr>
      </w:pPr>
    </w:p>
    <w:p>
      <w:pPr>
        <w:ind w:right="40"/>
        <w:spacing w:after="0" w:line="258"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Indenture, dated as of June 21, 2024, by and among AMC Networks, as issuer, each of the guarantors party thereto and U.S. Bank Trust</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Company, National Association, as Trustee, relating to AMC Networks Inc.’s 4.25% Convertible Senior Notes due 2029, and Form of</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Notes (incorporated by reference to Exhibit 4.1 to the Company's Current Report on Form 8-K filed on June 21, 2024).</w:t>
        </w:r>
      </w:hyperlink>
    </w:p>
    <w:p>
      <w:pPr>
        <w:spacing w:after="0" w:line="61" w:lineRule="exact"/>
        <w:rPr>
          <w:rFonts w:ascii="Times New Roman" w:cs="Times New Roman" w:eastAsia="Times New Roman" w:hAnsi="Times New Roman"/>
          <w:sz w:val="18"/>
          <w:szCs w:val="18"/>
          <w:u w:val="single" w:color="auto"/>
          <w:color w:val="0000FF"/>
        </w:rPr>
      </w:pPr>
    </w:p>
    <w:p>
      <w:pPr>
        <w:ind w:right="120"/>
        <w:spacing w:after="0" w:line="258"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Indenture, dated as of July 3, 2025, by and among AMC Networks Inc., as issuer, each of the guarantors party thereto and U.S. Bank</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Trust Company, National Association, as Trustee, relating to AMC Networks Inc.’s 10.50% Senior Secured Notes due 2032, and Form</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of Notes (incorporated by reference to Exhibit 4.1 to the Company's Current Report on Form 8-K filed on July 3, 2025).</w:t>
        </w:r>
      </w:hyperlink>
    </w:p>
    <w:p>
      <w:pPr>
        <w:spacing w:after="0" w:line="61" w:lineRule="exact"/>
        <w:rPr>
          <w:rFonts w:ascii="Times New Roman" w:cs="Times New Roman" w:eastAsia="Times New Roman" w:hAnsi="Times New Roman"/>
          <w:sz w:val="18"/>
          <w:szCs w:val="18"/>
          <w:u w:val="single" w:color="auto"/>
          <w:color w:val="0000FF"/>
        </w:rPr>
      </w:pPr>
    </w:p>
    <w:p>
      <w:pPr>
        <w:ind w:right="100"/>
        <w:spacing w:after="0" w:line="26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Description of AMC Networks Inc.'s Securities Registered under Section 12 of the Exchange Act (incorporated by reference to Exhibit</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4.10 to the Company's Annual Report on Form 10-K for the year ended December 31, 2020).</w:t>
        </w:r>
      </w:hyperlink>
    </w:p>
    <w:p>
      <w:pPr>
        <w:spacing w:after="0" w:line="54" w:lineRule="exact"/>
        <w:rPr>
          <w:sz w:val="20"/>
          <w:szCs w:val="20"/>
          <w:color w:val="auto"/>
        </w:rPr>
      </w:pPr>
    </w:p>
    <w:p>
      <w:pPr>
        <w:ind w:right="760"/>
        <w:spacing w:after="0" w:line="237"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Form of Standstill Agreement by and among AMC Networks Inc. and The Dolan Family Group (incorporated by reference to</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Exhibit 10.5 to the Company's Amendment No. 5 to Registration Statement on Form 10 filed on June 6, 2011).</w:t>
        </w:r>
      </w:hyperlink>
    </w:p>
    <w:p>
      <w:pPr>
        <w:spacing w:after="0" w:line="104" w:lineRule="exact"/>
        <w:rPr>
          <w:sz w:val="20"/>
          <w:szCs w:val="20"/>
          <w:color w:val="auto"/>
        </w:rPr>
      </w:pPr>
    </w:p>
    <w:p>
      <w:pPr>
        <w:jc w:val="both"/>
        <w:ind w:right="100"/>
        <w:spacing w:after="0" w:line="236" w:lineRule="auto"/>
        <w:rPr>
          <w:rFonts w:ascii="Times New Roman" w:cs="Times New Roman" w:eastAsia="Times New Roman" w:hAnsi="Times New Roman"/>
          <w:sz w:val="17"/>
          <w:szCs w:val="17"/>
          <w:u w:val="single" w:color="auto"/>
          <w:color w:val="0000FF"/>
        </w:rPr>
      </w:pPr>
      <w:hyperlink r:id="rId118">
        <w:r>
          <w:rPr>
            <w:rFonts w:ascii="Times New Roman" w:cs="Times New Roman" w:eastAsia="Times New Roman" w:hAnsi="Times New Roman"/>
            <w:sz w:val="17"/>
            <w:szCs w:val="17"/>
            <w:u w:val="single" w:color="auto"/>
            <w:color w:val="0000FF"/>
          </w:rPr>
          <w:t>Second Amended and Restated Credit Agreement, dated as of July 28, 2017, among AMC Networks and its subsidiary, AMC Network</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Entertainment LLC, as the initial borrowers, certain of AMC Networks’ subsidiaries, as restricted subsidiaries, JPMorgan Chase Bank,</w:t>
        </w:r>
      </w:hyperlink>
    </w:p>
    <w:p>
      <w:pPr>
        <w:ind w:right="200"/>
        <w:spacing w:after="0" w:line="226"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N.A., as Administrative Agent, Collateral Agent and an L/C Issuer and the lenders party thereto (incorporated by reference to Exhibit</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10.1 to the Company's Current Report on Form 8-K filed on July 28, 2017).</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0" w:space="620"/>
            <w:col w:w="9820"/>
          </w:cols>
          <w:pgMar w:left="600" w:top="891" w:right="399" w:bottom="1440" w:gutter="0" w:footer="0" w:header="0"/>
        </w:sectPr>
      </w:pPr>
    </w:p>
    <w:bookmarkStart w:id="65" w:name="page66"/>
    <w:bookmarkEnd w:id="65"/>
    <w:tbl>
      <w:tblPr>
        <w:tblLayout w:type="fixed"/>
        <w:tblInd w:w="6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Amendment No. 1, dated as of February 8, 2021, to the Second Amended and Restated Credit Agreement, dated as of July 28, 2017, in</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36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each case, among AMC Networks and its subsidiary, AMC Network Entertainment LLC, as the initial borrowers, certain of AMC</w:t>
              </w:r>
            </w:hyperlink>
          </w:p>
        </w:tc>
        <w:tc>
          <w:tcPr>
            <w:tcW w:w="360" w:type="dxa"/>
            <w:vAlign w:val="bottom"/>
            <w:tcBorders>
              <w:top w:val="single" w:sz="8" w:color="0000FF"/>
            </w:tcBorders>
            <w:gridSpan w:val="8"/>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right"/>
              <w:ind w:right="610"/>
              <w:spacing w:after="0" w:line="196" w:lineRule="exact"/>
              <w:rPr>
                <w:sz w:val="20"/>
                <w:szCs w:val="20"/>
                <w:color w:val="auto"/>
              </w:rPr>
            </w:pPr>
            <w:r>
              <w:rPr>
                <w:rFonts w:ascii="Times New Roman" w:cs="Times New Roman" w:eastAsia="Times New Roman" w:hAnsi="Times New Roman"/>
                <w:sz w:val="18"/>
                <w:szCs w:val="18"/>
                <w:color w:val="auto"/>
                <w:w w:val="88"/>
              </w:rPr>
              <w:t>10.3</w:t>
            </w:r>
          </w:p>
        </w:tc>
        <w:tc>
          <w:tcPr>
            <w:tcW w:w="9840" w:type="dxa"/>
            <w:vAlign w:val="bottom"/>
            <w:gridSpan w:val="20"/>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Networks’ subsidiaries, as restricted subsidiaries, Bank of America, N.A., as an L/C Issuer, the lenders party thereto and JPMorgan</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44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Chase Bank, N.A., as Administrative Agent, Collateral Agent and an L/C Issuer (incorporated by reference to Exhibit 10.1 to the</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280" w:type="dxa"/>
            <w:vAlign w:val="bottom"/>
            <w:tcBorders>
              <w:top w:val="single" w:sz="8" w:color="0000FF"/>
            </w:tcBorders>
            <w:gridSpan w:val="6"/>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Company’s Current Report on Form 8-K filed on February 8, 2021)</w:t>
              </w:r>
              <w:r>
                <w:rPr>
                  <w:rFonts w:ascii="Times New Roman" w:cs="Times New Roman" w:eastAsia="Times New Roman" w:hAnsi="Times New Roman"/>
                  <w:sz w:val="18"/>
                  <w:szCs w:val="18"/>
                  <w:color w:val="000000"/>
                </w:rPr>
                <w:t>.</w:t>
              </w:r>
            </w:hyperlink>
          </w:p>
        </w:tc>
        <w:tc>
          <w:tcPr>
            <w:tcW w:w="1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2, dated as of April 19, 2023, to the Second Amended and Restated Credit Agreement, dated as of July 28, 2017, as</w:t>
              </w:r>
            </w:hyperlink>
          </w:p>
        </w:tc>
        <w:tc>
          <w:tcPr>
            <w:tcW w:w="0" w:type="dxa"/>
            <w:vAlign w:val="bottom"/>
          </w:tcPr>
          <w:p>
            <w:pPr>
              <w:spacing w:after="0"/>
              <w:rPr>
                <w:sz w:val="1"/>
                <w:szCs w:val="1"/>
                <w:color w:val="auto"/>
              </w:rPr>
            </w:pPr>
          </w:p>
        </w:tc>
      </w:tr>
      <w:tr>
        <w:trPr>
          <w:trHeight w:val="156"/>
        </w:trPr>
        <w:tc>
          <w:tcPr>
            <w:tcW w:w="10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w w:val="88"/>
              </w:rPr>
              <w:t>10.4</w:t>
            </w:r>
          </w:p>
        </w:tc>
        <w:tc>
          <w:tcPr>
            <w:tcW w:w="956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amended by that certain Amendment No. 1 to the Second Amended and Restated Credit Agreement, dated as of February 8, 2021, by</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62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w w:val="98"/>
              </w:rPr>
            </w:pPr>
            <w:hyperlink r:id="rId121">
              <w:r>
                <w:rPr>
                  <w:rFonts w:ascii="Times New Roman" w:cs="Times New Roman" w:eastAsia="Times New Roman" w:hAnsi="Times New Roman"/>
                  <w:sz w:val="18"/>
                  <w:szCs w:val="18"/>
                  <w:color w:val="0000FF"/>
                  <w:w w:val="98"/>
                </w:rPr>
                <w:t>and among AMC Networks and its subsidiary, AMC Network Entertainment LLC, as the initial borrowers, certain of AMC Networks’</w:t>
              </w:r>
            </w:hyperlink>
          </w:p>
        </w:tc>
        <w:tc>
          <w:tcPr>
            <w:tcW w:w="8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700" w:type="dxa"/>
            <w:vAlign w:val="bottom"/>
            <w:gridSpan w:val="14"/>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subsidiaries, as restricted subsidiaries, the lenders party thereto and JPMorgan Chase Bank, N.A., as Administrative Agent and</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1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Collateral Agent (incorporated by reference to Exhibit 10.1 to the Company's Current Report on Form 8-K filed on April 24,</w:t>
              </w:r>
            </w:hyperlink>
          </w:p>
        </w:tc>
        <w:tc>
          <w:tcPr>
            <w:tcW w:w="480" w:type="dxa"/>
            <w:vAlign w:val="bottom"/>
            <w:gridSpan w:val="7"/>
          </w:tcPr>
          <w:p>
            <w:pPr>
              <w:jc w:val="right"/>
              <w:ind w:right="120"/>
              <w:spacing w:after="0" w:line="156" w:lineRule="exact"/>
              <w:rPr>
                <w:rFonts w:ascii="Times New Roman" w:cs="Times New Roman" w:eastAsia="Times New Roman" w:hAnsi="Times New Roman"/>
                <w:sz w:val="18"/>
                <w:szCs w:val="18"/>
                <w:color w:val="0000FF"/>
                <w:w w:val="73"/>
              </w:rPr>
            </w:pPr>
            <w:hyperlink r:id="rId121">
              <w:r>
                <w:rPr>
                  <w:rFonts w:ascii="Times New Roman" w:cs="Times New Roman" w:eastAsia="Times New Roman" w:hAnsi="Times New Roman"/>
                  <w:sz w:val="18"/>
                  <w:szCs w:val="18"/>
                  <w:color w:val="0000FF"/>
                  <w:w w:val="73"/>
                </w:rPr>
                <w:t>2023).</w:t>
              </w:r>
            </w:hyperlink>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4"/>
                <w:szCs w:val="24"/>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Amendment No. 3, dated as of April 9, 2024, to the Second Amended and Restated Credit Agreement, dated as of July 28, 2017, by and</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820" w:type="dxa"/>
            <w:vAlign w:val="bottom"/>
            <w:tcBorders>
              <w:top w:val="single" w:sz="8" w:color="0000FF"/>
            </w:tcBorders>
            <w:gridSpan w:val="19"/>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among AMC Networks and its subsidiary, AMC Network Entertainment LLC, as the initial borrowers, certain of AMC Networks’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jc w:val="right"/>
              <w:ind w:right="610"/>
              <w:spacing w:after="0" w:line="182" w:lineRule="exact"/>
              <w:rPr>
                <w:sz w:val="20"/>
                <w:szCs w:val="20"/>
                <w:color w:val="auto"/>
              </w:rPr>
            </w:pPr>
            <w:r>
              <w:rPr>
                <w:rFonts w:ascii="Times New Roman" w:cs="Times New Roman" w:eastAsia="Times New Roman" w:hAnsi="Times New Roman"/>
                <w:sz w:val="18"/>
                <w:szCs w:val="18"/>
                <w:color w:val="auto"/>
                <w:w w:val="88"/>
              </w:rPr>
              <w:t>10.5</w:t>
            </w:r>
          </w:p>
        </w:tc>
        <w:tc>
          <w:tcPr>
            <w:tcW w:w="960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subsidiaries, as restricted subsidiaries, Bank of America N.A., as an L/C Issuer, the lenders party thereto, and JPMorgan Chase Bank,</w:t>
              </w:r>
            </w:hyperlink>
          </w:p>
        </w:tc>
        <w:tc>
          <w:tcPr>
            <w:tcW w:w="1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840" w:type="dxa"/>
            <w:vAlign w:val="bottom"/>
            <w:gridSpan w:val="20"/>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N.A., as Administrative Agent, Collateral Agent and an L/C Issuer (incorporated by reference to Exhibit 10.1 to the Company’s Current</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978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Report on Form 8-K filed on April 10, 2024).</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00" w:type="dxa"/>
            <w:vAlign w:val="bottom"/>
          </w:tcPr>
          <w:p>
            <w:pPr>
              <w:spacing w:after="0"/>
              <w:rPr>
                <w:sz w:val="24"/>
                <w:szCs w:val="24"/>
                <w:color w:val="auto"/>
              </w:rPr>
            </w:pPr>
          </w:p>
        </w:tc>
        <w:tc>
          <w:tcPr>
            <w:tcW w:w="98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Amendment No. 4, dated as of September 26, 2024, to the Second Amended and Restated Credit Agreement, dated as of July 28, 2017,</w:t>
            </w:r>
          </w:p>
        </w:tc>
        <w:tc>
          <w:tcPr>
            <w:tcW w:w="0" w:type="dxa"/>
            <w:vAlign w:val="bottom"/>
          </w:tcPr>
          <w:p>
            <w:pPr>
              <w:spacing w:after="0"/>
              <w:rPr>
                <w:sz w:val="1"/>
                <w:szCs w:val="1"/>
                <w:color w:val="auto"/>
              </w:rPr>
            </w:pPr>
          </w:p>
        </w:tc>
      </w:tr>
      <w:tr>
        <w:trPr>
          <w:trHeight w:val="156"/>
        </w:trPr>
        <w:tc>
          <w:tcPr>
            <w:tcW w:w="10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w w:val="88"/>
              </w:rPr>
              <w:t>10.6</w:t>
            </w:r>
          </w:p>
        </w:tc>
        <w:tc>
          <w:tcPr>
            <w:tcW w:w="912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by and among AMC Networks and its subsidiary, AMC Network Entertainment LLC, as the initial borrowers, certain of AMC</w:t>
            </w:r>
          </w:p>
        </w:tc>
        <w:tc>
          <w:tcPr>
            <w:tcW w:w="64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00" w:type="dxa"/>
            <w:vAlign w:val="bottom"/>
            <w:vMerge w:val="continue"/>
          </w:tcPr>
          <w:p>
            <w:pPr>
              <w:spacing w:after="0"/>
              <w:rPr>
                <w:sz w:val="10"/>
                <w:szCs w:val="10"/>
                <w:color w:val="auto"/>
              </w:rPr>
            </w:pPr>
          </w:p>
        </w:tc>
        <w:tc>
          <w:tcPr>
            <w:tcW w:w="9840" w:type="dxa"/>
            <w:vAlign w:val="bottom"/>
            <w:gridSpan w:val="20"/>
            <w:vMerge w:val="restart"/>
          </w:tcPr>
          <w:p>
            <w:pPr>
              <w:spacing w:after="0" w:line="169" w:lineRule="exact"/>
              <w:rPr>
                <w:sz w:val="20"/>
                <w:szCs w:val="20"/>
                <w:color w:val="auto"/>
              </w:rPr>
            </w:pPr>
            <w:r>
              <w:rPr>
                <w:rFonts w:ascii="Times New Roman" w:cs="Times New Roman" w:eastAsia="Times New Roman" w:hAnsi="Times New Roman"/>
                <w:sz w:val="18"/>
                <w:szCs w:val="18"/>
                <w:color w:val="0000FF"/>
              </w:rPr>
              <w:t>Networks’ subsidiaries, as restricted subsidiaries, Bank of America N.A., as an L/C Issuer, the lenders party thereto, and JPMorgan</w:t>
            </w:r>
          </w:p>
        </w:tc>
        <w:tc>
          <w:tcPr>
            <w:tcW w:w="0" w:type="dxa"/>
            <w:vAlign w:val="bottom"/>
          </w:tcPr>
          <w:p>
            <w:pPr>
              <w:spacing w:after="0"/>
              <w:rPr>
                <w:sz w:val="1"/>
                <w:szCs w:val="1"/>
                <w:color w:val="auto"/>
              </w:rPr>
            </w:pPr>
          </w:p>
        </w:tc>
      </w:tr>
      <w:tr>
        <w:trPr>
          <w:trHeight w:val="54"/>
        </w:trPr>
        <w:tc>
          <w:tcPr>
            <w:tcW w:w="1000" w:type="dxa"/>
            <w:vAlign w:val="bottom"/>
          </w:tcPr>
          <w:p>
            <w:pPr>
              <w:spacing w:after="0"/>
              <w:rPr>
                <w:sz w:val="4"/>
                <w:szCs w:val="4"/>
                <w:color w:val="auto"/>
              </w:rPr>
            </w:pPr>
          </w:p>
        </w:tc>
        <w:tc>
          <w:tcPr>
            <w:tcW w:w="9840" w:type="dxa"/>
            <w:vAlign w:val="bottom"/>
            <w:gridSpan w:val="2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Chase Bank, N.A., as Administrative Agent, Collateral Agent and an L/C Issuer.</w:t>
            </w:r>
          </w:p>
        </w:tc>
        <w:tc>
          <w:tcPr>
            <w:tcW w:w="3640" w:type="dxa"/>
            <w:vAlign w:val="bottom"/>
            <w:tcBorders>
              <w:top w:val="single" w:sz="8" w:color="0000FF"/>
            </w:tcBorders>
            <w:gridSpan w:val="5"/>
          </w:tcPr>
          <w:p>
            <w:pPr>
              <w:spacing w:after="0"/>
              <w:rPr>
                <w:sz w:val="13"/>
                <w:szCs w:val="13"/>
                <w:color w:val="auto"/>
              </w:rPr>
            </w:pPr>
          </w:p>
        </w:tc>
        <w:tc>
          <w:tcPr>
            <w:tcW w:w="36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2"/>
                <w:szCs w:val="22"/>
                <w:color w:val="auto"/>
              </w:rPr>
            </w:pPr>
          </w:p>
        </w:tc>
        <w:tc>
          <w:tcPr>
            <w:tcW w:w="9840" w:type="dxa"/>
            <w:vAlign w:val="bottom"/>
            <w:gridSpan w:val="20"/>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Amendment No. 5, dated as of October 29, 2025, to the Second Amended and Restated Credit Agreement, dated as of July 28, 2017, by</w:t>
              </w:r>
            </w:hyperlink>
          </w:p>
        </w:tc>
        <w:tc>
          <w:tcPr>
            <w:tcW w:w="0" w:type="dxa"/>
            <w:vAlign w:val="bottom"/>
          </w:tcPr>
          <w:p>
            <w:pPr>
              <w:spacing w:after="0"/>
              <w:rPr>
                <w:sz w:val="1"/>
                <w:szCs w:val="1"/>
                <w:color w:val="auto"/>
              </w:rPr>
            </w:pPr>
          </w:p>
        </w:tc>
      </w:tr>
      <w:tr>
        <w:trPr>
          <w:trHeight w:val="156"/>
        </w:trPr>
        <w:tc>
          <w:tcPr>
            <w:tcW w:w="100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w w:val="88"/>
              </w:rPr>
              <w:t>10.7</w:t>
            </w:r>
          </w:p>
        </w:tc>
        <w:tc>
          <w:tcPr>
            <w:tcW w:w="98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and among AMC Networks and its subsidiary, AMC Network Entertainment LLC, as the initial borrowers, certain of AMC Networks’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vMerge w:val="continue"/>
          </w:tcPr>
          <w:p>
            <w:pPr>
              <w:spacing w:after="0"/>
              <w:rPr>
                <w:sz w:val="14"/>
                <w:szCs w:val="14"/>
                <w:color w:val="auto"/>
              </w:rPr>
            </w:pPr>
          </w:p>
        </w:tc>
        <w:tc>
          <w:tcPr>
            <w:tcW w:w="960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subsidiaries, as restricted subsidiaries, Bank of America N.A., as an L/C Issuer, the lenders party thereto, and JPMorgan Chase Bank,</w:t>
              </w:r>
            </w:hyperlink>
          </w:p>
        </w:tc>
        <w:tc>
          <w:tcPr>
            <w:tcW w:w="100" w:type="dxa"/>
            <w:vAlign w:val="bottom"/>
            <w:tcBorders>
              <w:top w:val="single" w:sz="8" w:color="0000FF"/>
            </w:tcBorders>
            <w:gridSpan w:val="2"/>
          </w:tcPr>
          <w:p>
            <w:pPr>
              <w:spacing w:after="0"/>
              <w:rPr>
                <w:sz w:val="14"/>
                <w:szCs w:val="14"/>
                <w:color w:val="auto"/>
              </w:rPr>
            </w:pPr>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840" w:type="dxa"/>
            <w:vAlign w:val="bottom"/>
            <w:gridSpan w:val="20"/>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N.A., as Administrative Agent, Collateral Agent and an L/C Issuer (incorporated by reference to Exhibit 10.1 to the Company’s Current</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Report on Form 8-K filed on October 30, 2025).</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ectPr>
          <w:pgSz w:w="11900" w:h="16838" w:orient="portrait"/>
          <w:cols w:equalWidth="0" w:num="1">
            <w:col w:w="10900"/>
          </w:cols>
          <w:pgMar w:left="620" w:top="932" w:right="379" w:bottom="1440" w:gutter="0" w:footer="0" w:header="0"/>
        </w:sectPr>
      </w:pPr>
    </w:p>
    <w:p>
      <w:pPr>
        <w:spacing w:after="0" w:line="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10.8</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10.10</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10.11</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10.13</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10.15</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10.16</w:t>
      </w:r>
    </w:p>
    <w:p>
      <w:pPr>
        <w:spacing w:after="0" w:line="20" w:lineRule="exact"/>
        <w:rPr>
          <w:sz w:val="20"/>
          <w:szCs w:val="20"/>
          <w:color w:val="auto"/>
        </w:rPr>
      </w:pPr>
      <w:r>
        <w:rPr>
          <w:sz w:val="20"/>
          <w:szCs w:val="20"/>
          <w:color w:val="auto"/>
        </w:rPr>
        <w:br w:type="column"/>
      </w:r>
    </w:p>
    <w:p>
      <w:pPr>
        <w:spacing w:after="0" w:line="237" w:lineRule="auto"/>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AMC Networks Inc. Amended and Restated 2011 Stock Plan For Non-Employee Directors (incorporated by reference to Annex B to the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Company’s Definitive Proxy Statement on Schedule 14A filed on August 26, 2024).</w:t>
        </w:r>
      </w:hyperlink>
    </w:p>
    <w:p>
      <w:pPr>
        <w:spacing w:after="0" w:line="64" w:lineRule="exact"/>
        <w:rPr>
          <w:sz w:val="20"/>
          <w:szCs w:val="20"/>
          <w:color w:val="auto"/>
        </w:rPr>
      </w:pPr>
    </w:p>
    <w:p>
      <w:pPr>
        <w:ind w:right="500"/>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AMC Networks Inc. Amended and Restated 2016 Employee Stock Plan (incorporated by reference to Annex B of the Company’s</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Definitive Proxy Statement on Schedule 14A filed on April 25, 2025)</w:t>
        </w:r>
      </w:hyperlink>
    </w:p>
    <w:p>
      <w:pPr>
        <w:spacing w:after="0" w:line="64"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Employment Agreement, dated August 4, 2022, by and between AMC Networks Inc. and Patrick O'Connell (incorporated by reference</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to Exhibit 10.2 to the Company's Quarterly Report on Form 10-Q for the quarter ended September 30, 2022).</w:t>
        </w:r>
      </w:hyperlink>
    </w:p>
    <w:p>
      <w:pPr>
        <w:spacing w:after="0" w:line="10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Form of AMC Networks Inc. Non-Employee Director Agreement (incorporated by reference to Exhibit 10.4 to the Company's Quarterly</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Report on Form 10-Q for the quarter ended June 30, 2012).</w:t>
        </w:r>
      </w:hyperlink>
    </w:p>
    <w:p>
      <w:pPr>
        <w:spacing w:after="0" w:line="104" w:lineRule="exact"/>
        <w:rPr>
          <w:sz w:val="20"/>
          <w:szCs w:val="20"/>
          <w:color w:val="auto"/>
        </w:rPr>
      </w:pPr>
    </w:p>
    <w:p>
      <w:pPr>
        <w:ind w:right="720"/>
        <w:spacing w:after="0" w:line="237" w:lineRule="auto"/>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Form of Restricted Stock Unit Award Agreement (incorporated by reference to Exhibit 10.22 on Form 10-K for the year ended</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December 31, 2017).</w:t>
        </w:r>
      </w:hyperlink>
    </w:p>
    <w:p>
      <w:pPr>
        <w:spacing w:after="0" w:line="64"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Form of Performance Cash Award Agreement (incorporated by reference to Exhibit 10.27 to the Company's Annual Report on Form 10-</w:t>
        </w:r>
      </w:hyperlink>
      <w:hyperlink r:id="rId129">
        <w:r>
          <w:rPr>
            <w:rFonts w:ascii="Times New Roman" w:cs="Times New Roman" w:eastAsia="Times New Roman" w:hAnsi="Times New Roman"/>
            <w:sz w:val="18"/>
            <w:szCs w:val="18"/>
            <w:u w:val="single" w:color="auto"/>
            <w:color w:val="0000FF"/>
          </w:rPr>
          <w:t>K for the year ended December 31, 2021).</w:t>
        </w:r>
      </w:hyperlink>
    </w:p>
    <w:p>
      <w:pPr>
        <w:spacing w:after="0" w:line="64" w:lineRule="exact"/>
        <w:rPr>
          <w:sz w:val="20"/>
          <w:szCs w:val="20"/>
          <w:color w:val="auto"/>
        </w:rPr>
      </w:pPr>
    </w:p>
    <w:p>
      <w:pPr>
        <w:ind w:right="440"/>
        <w:spacing w:after="0" w:line="237" w:lineRule="auto"/>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AMC Networks Inc. Executive Deferred Compensation Plan (incorporated by reference to Exhibit 10.29 to the Company's Annual</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Report on Form 10-K for the year ended December 31, 2021).</w:t>
        </w:r>
      </w:hyperlink>
    </w:p>
    <w:p>
      <w:pPr>
        <w:spacing w:after="0" w:line="118"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Amended &amp; Restated Employment Agreement dated September 2, 2022, between AMC Networks Inc. and Kim Kelleher (incorporated</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by reference to Exhibit 10.2 to the Company’s Quarterly Report on Form 10-Q for the quarter ended June 30, 2023).</w:t>
        </w:r>
      </w:hyperlink>
    </w:p>
    <w:p>
      <w:pPr>
        <w:spacing w:after="0" w:line="64" w:lineRule="exact"/>
        <w:rPr>
          <w:sz w:val="20"/>
          <w:szCs w:val="20"/>
          <w:color w:val="auto"/>
        </w:rPr>
      </w:pPr>
    </w:p>
    <w:p>
      <w:pPr>
        <w:ind w:right="200"/>
        <w:spacing w:after="0" w:line="237"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Employment Agreement dated August 15, 2023, between AMC Networks Inc. and Michael J. Sherin III (incorporated by reference to</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Exhibit 10.1 to the Company’s Quarterly Report on Form 10-Q for the quarter ended September 30, 2023).</w:t>
        </w:r>
      </w:hyperlink>
    </w:p>
    <w:p>
      <w:pPr>
        <w:spacing w:after="0" w:line="200" w:lineRule="exact"/>
        <w:rPr>
          <w:sz w:val="20"/>
          <w:szCs w:val="20"/>
          <w:color w:val="auto"/>
        </w:rPr>
      </w:pPr>
    </w:p>
    <w:p>
      <w:pPr>
        <w:sectPr>
          <w:pgSz w:w="11900" w:h="16838" w:orient="portrait"/>
          <w:cols w:equalWidth="0" w:num="2">
            <w:col w:w="400" w:space="660"/>
            <w:col w:w="9840"/>
          </w:cols>
          <w:pgMar w:left="620" w:top="932" w:right="37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20" w:top="932" w:right="379" w:bottom="1440" w:gutter="0" w:footer="0" w:header="0"/>
          <w:type w:val="continuous"/>
        </w:sectPr>
      </w:pPr>
    </w:p>
    <w:bookmarkStart w:id="66" w:name="page67"/>
    <w:bookmarkEnd w:id="66"/>
    <w:tbl>
      <w:tblPr>
        <w:tblLayout w:type="fixed"/>
        <w:tblInd w:w="292" w:type="dxa"/>
        <w:tblCellMar>
          <w:top w:w="0" w:type="dxa"/>
          <w:left w:w="0" w:type="dxa"/>
          <w:bottom w:w="0" w:type="dxa"/>
          <w:right w:w="0" w:type="dxa"/>
        </w:tblCellMar>
      </w:tblPr>
      <w:tr>
        <w:trPr>
          <w:trHeight w:val="207"/>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10.17</w:t>
            </w:r>
          </w:p>
        </w:tc>
        <w:tc>
          <w:tcPr>
            <w:tcW w:w="9840" w:type="dxa"/>
            <w:vAlign w:val="bottom"/>
            <w:gridSpan w:val="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Employment Agreement, dated November, 2024, by and between AMC Networks Inc. and Salvatore Romanello (incorporated by</w:t>
              </w:r>
            </w:hyperlink>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8300" w:type="dxa"/>
            <w:vAlign w:val="bottom"/>
            <w:tcBorders>
              <w:top w:val="single" w:sz="8" w:color="0000FF"/>
            </w:tcBorders>
            <w:gridSpan w:val="3"/>
            <w:vMerge w:val="restart"/>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reference to Exhibit 10.1 to the Company’s Quarterly Report on Form 10-Q for the quarter ended March 31, 2025).</w:t>
              </w:r>
            </w:hyperlink>
          </w:p>
        </w:tc>
        <w:tc>
          <w:tcPr>
            <w:tcW w:w="1040" w:type="dxa"/>
            <w:vAlign w:val="bottom"/>
            <w:tcBorders>
              <w:top w:val="single" w:sz="8" w:color="0000FF"/>
            </w:tcBorders>
            <w:gridSpan w:val="2"/>
            <w:vMerge w:val="restart"/>
          </w:tcPr>
          <w:p>
            <w:pPr>
              <w:spacing w:after="0"/>
              <w:rPr>
                <w:sz w:val="10"/>
                <w:szCs w:val="10"/>
                <w:color w:val="auto"/>
              </w:rPr>
            </w:pPr>
          </w:p>
        </w:tc>
        <w:tc>
          <w:tcPr>
            <w:tcW w:w="50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8300" w:type="dxa"/>
            <w:vAlign w:val="bottom"/>
            <w:tcBorders>
              <w:bottom w:val="single" w:sz="8" w:color="0000FF"/>
            </w:tcBorders>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5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10.18</w:t>
            </w:r>
          </w:p>
        </w:tc>
        <w:tc>
          <w:tcPr>
            <w:tcW w:w="96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Employment Agreement, dated October 9, 2025, by and between AMC Networks Inc. and Kristin Dolan (incorporated by reference to</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7700" w:type="dxa"/>
            <w:vAlign w:val="bottom"/>
            <w:gridSpan w:val="2"/>
            <w:vMerge w:val="restart"/>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Exhibit 10.1 to the Company’s Quarterly Report on Form 10-Q for the quarter ended September 30, 2025).</w:t>
              </w:r>
            </w:hyperlink>
          </w:p>
        </w:tc>
        <w:tc>
          <w:tcPr>
            <w:tcW w:w="2140" w:type="dxa"/>
            <w:vAlign w:val="bottom"/>
            <w:gridSpan w:val="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7700" w:type="dxa"/>
            <w:vAlign w:val="bottom"/>
            <w:tcBorders>
              <w:bottom w:val="single" w:sz="8" w:color="0000FF"/>
            </w:tcBorders>
            <w:gridSpan w:val="2"/>
            <w:vMerge w:val="continue"/>
          </w:tcPr>
          <w:p>
            <w:pPr>
              <w:spacing w:after="0"/>
              <w:rPr>
                <w:sz w:val="3"/>
                <w:szCs w:val="3"/>
                <w:color w:val="auto"/>
              </w:rPr>
            </w:pPr>
          </w:p>
        </w:tc>
        <w:tc>
          <w:tcPr>
            <w:tcW w:w="21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10.19</w:t>
            </w:r>
          </w:p>
        </w:tc>
        <w:tc>
          <w:tcPr>
            <w:tcW w:w="9840" w:type="dxa"/>
            <w:vAlign w:val="bottom"/>
            <w:gridSpan w:val="8"/>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Renewal Cash Performance Award Agreement, dated October 9, 2025, by and between AMC Networks Inc. and Kristin Dolan</w:t>
              </w:r>
            </w:hyperlink>
          </w:p>
        </w:tc>
        <w:tc>
          <w:tcPr>
            <w:tcW w:w="0" w:type="dxa"/>
            <w:vAlign w:val="bottom"/>
          </w:tcPr>
          <w:p>
            <w:pPr>
              <w:spacing w:after="0"/>
              <w:rPr>
                <w:sz w:val="1"/>
                <w:szCs w:val="1"/>
                <w:color w:val="auto"/>
              </w:rPr>
            </w:pPr>
          </w:p>
        </w:tc>
      </w:tr>
      <w:tr>
        <w:trPr>
          <w:trHeight w:val="20"/>
        </w:trPr>
        <w:tc>
          <w:tcPr>
            <w:tcW w:w="1060" w:type="dxa"/>
            <w:vAlign w:val="bottom"/>
            <w:vMerge w:val="continue"/>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9840" w:type="dxa"/>
            <w:vAlign w:val="bottom"/>
            <w:gridSpan w:val="8"/>
            <w:vMerge w:val="restart"/>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(incorporated by reference to Exhibit 10.2 to the Company’s Quarterly Report on Form 10-Q for the quarter ended September 30, 2025).</w:t>
              </w:r>
            </w:hyperlink>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9840" w:type="dxa"/>
            <w:vAlign w:val="bottom"/>
            <w:tcBorders>
              <w:bottom w:val="single" w:sz="8" w:color="0000FF"/>
            </w:tcBorders>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6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w w:val="93"/>
              </w:rPr>
              <w:t>10.20</w:t>
            </w:r>
          </w:p>
        </w:tc>
        <w:tc>
          <w:tcPr>
            <w:tcW w:w="96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Employment Agreement, dated November 18, 2025, between AMC Networks Inc. and Dan McDermott (incorporated by reference to</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6340" w:type="dxa"/>
            <w:vAlign w:val="bottom"/>
            <w:vMerge w:val="restart"/>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Exhibit 10.1 to the Company’s Current Report on Form 8-K dated November 20, 2025).</w:t>
              </w:r>
            </w:hyperlink>
          </w:p>
        </w:tc>
        <w:tc>
          <w:tcPr>
            <w:tcW w:w="3500" w:type="dxa"/>
            <w:vAlign w:val="bottom"/>
            <w:gridSpan w:val="7"/>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1060" w:type="dxa"/>
            <w:vAlign w:val="bottom"/>
          </w:tcPr>
          <w:p>
            <w:pPr>
              <w:spacing w:after="0"/>
              <w:rPr>
                <w:sz w:val="3"/>
                <w:szCs w:val="3"/>
                <w:color w:val="auto"/>
              </w:rPr>
            </w:pPr>
          </w:p>
        </w:tc>
        <w:tc>
          <w:tcPr>
            <w:tcW w:w="6340" w:type="dxa"/>
            <w:vAlign w:val="bottom"/>
            <w:tcBorders>
              <w:bottom w:val="single" w:sz="8" w:color="0000FF"/>
            </w:tcBorders>
            <w:vMerge w:val="continue"/>
          </w:tcPr>
          <w:p>
            <w:pPr>
              <w:spacing w:after="0"/>
              <w:rPr>
                <w:sz w:val="3"/>
                <w:szCs w:val="3"/>
                <w:color w:val="auto"/>
              </w:rPr>
            </w:pPr>
          </w:p>
        </w:tc>
        <w:tc>
          <w:tcPr>
            <w:tcW w:w="350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ectPr>
          <w:pgSz w:w="11900" w:h="16838" w:orient="portrait"/>
          <w:cols w:equalWidth="0" w:num="1">
            <w:col w:w="11212"/>
          </w:cols>
          <w:pgMar w:left="328" w:top="918" w:right="359" w:bottom="1440" w:gutter="0" w:footer="0" w:header="0"/>
        </w:sectPr>
      </w:pPr>
    </w:p>
    <w:p>
      <w:pPr>
        <w:spacing w:after="0" w:line="94"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color w:val="auto"/>
        </w:rPr>
        <w:t>19</w:t>
      </w:r>
    </w:p>
    <w:p>
      <w:pPr>
        <w:spacing w:after="0" w:line="171"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color w:val="auto"/>
        </w:rPr>
        <w:t>21</w:t>
      </w:r>
    </w:p>
    <w:p>
      <w:pPr>
        <w:spacing w:after="0" w:line="131"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color w:val="auto"/>
        </w:rPr>
        <w:t>22</w:t>
      </w:r>
    </w:p>
    <w:p>
      <w:pPr>
        <w:spacing w:after="0" w:line="90"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br w:type="column"/>
      </w:r>
    </w:p>
    <w:p>
      <w:pPr>
        <w:ind w:right="60"/>
        <w:spacing w:after="0" w:line="237"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AMC Networks Inc. Insider Trading Policy (incorporated by reference to Exhibit 19 to the Company's Annual Report on Form 10-K for</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the year ended December 31, 2024).</w:t>
        </w:r>
      </w:hyperlink>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the Registrant.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List of Guarantor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Power of Attorney (included on the signature page to this Annual Report on Form 10-K).</w:t>
      </w:r>
    </w:p>
    <w:p>
      <w:pPr>
        <w:spacing w:after="0" w:line="104" w:lineRule="exact"/>
        <w:rPr>
          <w:sz w:val="20"/>
          <w:szCs w:val="20"/>
          <w:color w:val="auto"/>
        </w:rPr>
      </w:pPr>
    </w:p>
    <w:p>
      <w:pPr>
        <w:sectPr>
          <w:pgSz w:w="11900" w:h="16838" w:orient="portrait"/>
          <w:cols w:equalWidth="0" w:num="2">
            <w:col w:w="632" w:space="720"/>
            <w:col w:w="9860"/>
          </w:cols>
          <w:pgMar w:left="328" w:top="918" w:right="359" w:bottom="1440" w:gutter="0" w:footer="0" w:header="0"/>
          <w:type w:val="continuous"/>
        </w:sectPr>
      </w:pPr>
    </w:p>
    <w:tbl>
      <w:tblPr>
        <w:tblLayout w:type="fixed"/>
        <w:tblInd w:w="352" w:type="dxa"/>
        <w:tblCellMar>
          <w:top w:w="0" w:type="dxa"/>
          <w:left w:w="0" w:type="dxa"/>
          <w:bottom w:w="0" w:type="dxa"/>
          <w:right w:w="0" w:type="dxa"/>
        </w:tblCellMar>
      </w:tblPr>
      <w:tr>
        <w:trPr>
          <w:trHeight w:val="207"/>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31.1</w:t>
            </w:r>
          </w:p>
        </w:tc>
        <w:tc>
          <w:tcPr>
            <w:tcW w:w="520" w:type="dxa"/>
            <w:vAlign w:val="bottom"/>
          </w:tcPr>
          <w:p>
            <w:pPr>
              <w:spacing w:after="0"/>
              <w:rPr>
                <w:sz w:val="17"/>
                <w:szCs w:val="17"/>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31.2</w:t>
            </w:r>
          </w:p>
        </w:tc>
        <w:tc>
          <w:tcPr>
            <w:tcW w:w="520" w:type="dxa"/>
            <w:vAlign w:val="bottom"/>
          </w:tcPr>
          <w:p>
            <w:pPr>
              <w:spacing w:after="0"/>
              <w:rPr>
                <w:sz w:val="24"/>
                <w:szCs w:val="24"/>
                <w:color w:val="auto"/>
              </w:rPr>
            </w:pPr>
          </w:p>
        </w:tc>
        <w:tc>
          <w:tcPr>
            <w:tcW w:w="71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32</w:t>
            </w:r>
          </w:p>
        </w:tc>
        <w:tc>
          <w:tcPr>
            <w:tcW w:w="5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Certifications of Chief Executive Officer and Chief Financial Officer pursuant to Section 906 of the Sarbanes-Oxley Act of 2002, 18</w:t>
            </w:r>
          </w:p>
        </w:tc>
        <w:tc>
          <w:tcPr>
            <w:tcW w:w="0" w:type="dxa"/>
            <w:vAlign w:val="bottom"/>
          </w:tcPr>
          <w:p>
            <w:pPr>
              <w:spacing w:after="0"/>
              <w:rPr>
                <w:sz w:val="1"/>
                <w:szCs w:val="1"/>
                <w:color w:val="auto"/>
              </w:rPr>
            </w:pPr>
          </w:p>
        </w:tc>
      </w:tr>
      <w:tr>
        <w:trPr>
          <w:trHeight w:val="115"/>
        </w:trPr>
        <w:tc>
          <w:tcPr>
            <w:tcW w:w="4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9540" w:type="dxa"/>
            <w:vAlign w:val="bottom"/>
            <w:gridSpan w:val="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w:t>
            </w: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1352" w:right="300" w:hanging="943"/>
        <w:spacing w:after="0" w:line="181" w:lineRule="auto"/>
        <w:tabs>
          <w:tab w:leader="none" w:pos="1352" w:val="left"/>
        </w:tabs>
        <w:numPr>
          <w:ilvl w:val="0"/>
          <w:numId w:val="39"/>
        </w:numPr>
        <w:rPr>
          <w:rFonts w:ascii="Times New Roman" w:cs="Times New Roman" w:eastAsia="Times New Roman" w:hAnsi="Times New Roman"/>
          <w:sz w:val="16"/>
          <w:szCs w:val="16"/>
          <w:u w:val="single" w:color="auto"/>
          <w:color w:val="0000FF"/>
        </w:rPr>
      </w:pPr>
      <w:hyperlink r:id="rId139">
        <w:r>
          <w:rPr>
            <w:rFonts w:ascii="Times New Roman" w:cs="Times New Roman" w:eastAsia="Times New Roman" w:hAnsi="Times New Roman"/>
            <w:sz w:val="16"/>
            <w:szCs w:val="16"/>
            <w:u w:val="single" w:color="auto"/>
            <w:color w:val="0000FF"/>
          </w:rPr>
          <w:t>Accounting Policy for Clawbacks of Erroneously Awarded Compensation (incorporated by reference to Exhibit 97 to the Company's</w:t>
        </w:r>
      </w:hyperlink>
      <w:r>
        <w:rPr>
          <w:rFonts w:ascii="Times New Roman" w:cs="Times New Roman" w:eastAsia="Times New Roman" w:hAnsi="Times New Roman"/>
          <w:sz w:val="16"/>
          <w:szCs w:val="16"/>
          <w:u w:val="single" w:color="auto"/>
          <w:color w:val="0000FF"/>
        </w:rPr>
        <w:t xml:space="preserve"> </w:t>
      </w:r>
      <w:hyperlink r:id="rId139">
        <w:r>
          <w:rPr>
            <w:rFonts w:ascii="Times New Roman" w:cs="Times New Roman" w:eastAsia="Times New Roman" w:hAnsi="Times New Roman"/>
            <w:sz w:val="16"/>
            <w:szCs w:val="16"/>
            <w:u w:val="single" w:color="auto"/>
            <w:color w:val="0000FF"/>
          </w:rPr>
          <w:t>Annual Report on Form 10-K for the year ended December 31, 2023).</w:t>
        </w:r>
      </w:hyperlink>
    </w:p>
    <w:p>
      <w:pPr>
        <w:spacing w:after="0" w:line="105" w:lineRule="exact"/>
        <w:rPr>
          <w:rFonts w:ascii="Times New Roman" w:cs="Times New Roman" w:eastAsia="Times New Roman" w:hAnsi="Times New Roman"/>
          <w:sz w:val="31"/>
          <w:szCs w:val="31"/>
          <w:color w:val="auto"/>
          <w:vertAlign w:val="subscript"/>
        </w:rPr>
      </w:pPr>
    </w:p>
    <w:tbl>
      <w:tblPr>
        <w:tblLayout w:type="fixed"/>
        <w:tblInd w:w="172" w:type="dxa"/>
        <w:tblCellMar>
          <w:top w:w="0" w:type="dxa"/>
          <w:left w:w="0" w:type="dxa"/>
          <w:bottom w:w="0" w:type="dxa"/>
          <w:right w:w="0" w:type="dxa"/>
        </w:tblCellMar>
      </w:tblP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XBRL Taxonomy Extension Presentation Linkbase Document.</w:t>
            </w:r>
          </w:p>
        </w:tc>
      </w:tr>
    </w:tbl>
    <w:p>
      <w:pPr>
        <w:spacing w:after="0" w:line="200" w:lineRule="exact"/>
        <w:rPr>
          <w:rFonts w:ascii="Times New Roman" w:cs="Times New Roman" w:eastAsia="Times New Roman" w:hAnsi="Times New Roman"/>
          <w:sz w:val="31"/>
          <w:szCs w:val="31"/>
          <w:color w:val="auto"/>
          <w:vertAlign w:val="subscript"/>
        </w:rPr>
      </w:pPr>
    </w:p>
    <w:p>
      <w:pPr>
        <w:spacing w:after="0" w:line="227" w:lineRule="exact"/>
        <w:rPr>
          <w:rFonts w:ascii="Times New Roman" w:cs="Times New Roman" w:eastAsia="Times New Roman" w:hAnsi="Times New Roman"/>
          <w:sz w:val="31"/>
          <w:szCs w:val="31"/>
          <w:color w:val="auto"/>
          <w:vertAlign w:val="subscript"/>
        </w:rPr>
      </w:pPr>
    </w:p>
    <w:p>
      <w:pPr>
        <w:ind w:left="-8" w:firstLine="8"/>
        <w:spacing w:after="0" w:line="266" w:lineRule="auto"/>
        <w:tabs>
          <w:tab w:leader="none" w:pos="12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spacing w:after="0" w:line="200" w:lineRule="exact"/>
        <w:rPr>
          <w:rFonts w:ascii="Times New Roman" w:cs="Times New Roman" w:eastAsia="Times New Roman" w:hAnsi="Times New Roman"/>
          <w:sz w:val="31"/>
          <w:szCs w:val="31"/>
          <w:color w:val="auto"/>
          <w:vertAlign w:val="subscript"/>
        </w:rPr>
      </w:pPr>
    </w:p>
    <w:p>
      <w:pPr>
        <w:spacing w:after="0" w:line="200" w:lineRule="exact"/>
        <w:rPr>
          <w:rFonts w:ascii="Times New Roman" w:cs="Times New Roman" w:eastAsia="Times New Roman" w:hAnsi="Times New Roman"/>
          <w:sz w:val="31"/>
          <w:szCs w:val="31"/>
          <w:color w:val="auto"/>
          <w:vertAlign w:val="subscript"/>
        </w:rPr>
      </w:pPr>
    </w:p>
    <w:p>
      <w:pPr>
        <w:spacing w:after="0" w:line="200" w:lineRule="exact"/>
        <w:rPr>
          <w:rFonts w:ascii="Times New Roman" w:cs="Times New Roman" w:eastAsia="Times New Roman" w:hAnsi="Times New Roman"/>
          <w:sz w:val="31"/>
          <w:szCs w:val="31"/>
          <w:color w:val="auto"/>
          <w:vertAlign w:val="subscript"/>
        </w:rPr>
      </w:pPr>
    </w:p>
    <w:p>
      <w:pPr>
        <w:spacing w:after="0" w:line="264" w:lineRule="exact"/>
        <w:rPr>
          <w:rFonts w:ascii="Times New Roman" w:cs="Times New Roman" w:eastAsia="Times New Roman" w:hAnsi="Times New Roman"/>
          <w:sz w:val="31"/>
          <w:szCs w:val="31"/>
          <w:color w:val="auto"/>
          <w:vertAlign w:val="subscript"/>
        </w:rPr>
      </w:pPr>
    </w:p>
    <w:p>
      <w:pPr>
        <w:jc w:val="center"/>
        <w:ind w:right="-11"/>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1"/>
          <w:szCs w:val="31"/>
          <w:color w:val="auto"/>
          <w:vertAlign w:val="subscript"/>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18" w:right="359" w:bottom="1440" w:gutter="0" w:footer="0" w:header="0"/>
          <w:type w:val="continuous"/>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784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234"/>
        </w:trPr>
        <w:tc>
          <w:tcPr>
            <w:tcW w:w="3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POWER OF ATTORNEY</w:t>
      </w:r>
    </w:p>
    <w:p>
      <w:pPr>
        <w:spacing w:after="0" w:line="11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constitutes and appoints Kristin A. Dolan and Patrick O'Connell,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68" w:name="page69"/>
    <w:bookmarkEnd w:id="68"/>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5400" w:type="dxa"/>
            <w:vAlign w:val="bottom"/>
            <w:gridSpan w:val="3"/>
          </w:tcPr>
          <w:p>
            <w:pPr>
              <w:ind w:left="2900"/>
              <w:spacing w:after="0"/>
              <w:rPr>
                <w:sz w:val="20"/>
                <w:szCs w:val="20"/>
                <w:color w:val="auto"/>
              </w:rPr>
            </w:pPr>
            <w:r>
              <w:rPr>
                <w:rFonts w:ascii="Times New Roman" w:cs="Times New Roman" w:eastAsia="Times New Roman" w:hAnsi="Times New Roman"/>
                <w:sz w:val="14"/>
                <w:szCs w:val="14"/>
                <w:color w:val="auto"/>
              </w:rPr>
              <w:t>Title</w:t>
            </w:r>
          </w:p>
        </w:tc>
        <w:tc>
          <w:tcPr>
            <w:tcW w:w="1480" w:type="dxa"/>
            <w:vAlign w:val="bottom"/>
          </w:tcPr>
          <w:p>
            <w:pPr>
              <w:spacing w:after="0"/>
              <w:rPr>
                <w:sz w:val="13"/>
                <w:szCs w:val="13"/>
                <w:color w:val="auto"/>
              </w:rPr>
            </w:pPr>
          </w:p>
        </w:tc>
        <w:tc>
          <w:tcPr>
            <w:tcW w:w="7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8"/>
              </w:rPr>
              <w:t>Date</w:t>
            </w:r>
          </w:p>
        </w:tc>
      </w:tr>
      <w:tr>
        <w:trPr>
          <w:trHeight w:val="20"/>
        </w:trPr>
        <w:tc>
          <w:tcPr>
            <w:tcW w:w="1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33"/>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/s/ Kristin A. Dolan</w:t>
            </w: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Executive Officer</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J. Sherin III</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J. Sherin III</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James L. Dolan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James L.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Matthew Blank</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Matthew Blank</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Joseph M. Cohen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Joseph M. Cohen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Christopher J. Cox</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Christopher J. Cox</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41"/>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Aidan Dolan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Aidan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54"/>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Thomas C. Dolan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C. Dolan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Stephen C. Mills</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Stephen C. Mills</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Debra G. Perelman</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Debra G. Perelman</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Brian G. Sweeney</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Brian G. Sweeney</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Vincent Tese</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Vincent Tese</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95"/>
        </w:trPr>
        <w:tc>
          <w:tcPr>
            <w:tcW w:w="3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Carl E. Vogel</w:t>
            </w:r>
          </w:p>
        </w:tc>
        <w:tc>
          <w:tcPr>
            <w:tcW w:w="54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February 11, 2026</w:t>
            </w:r>
          </w:p>
        </w:tc>
      </w:tr>
      <w:tr>
        <w:trPr>
          <w:trHeight w:val="228"/>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Carl E. Vogel</w:t>
            </w:r>
          </w:p>
        </w:tc>
        <w:tc>
          <w:tcPr>
            <w:tcW w:w="2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135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type w:val="continuous"/>
        </w:sectPr>
      </w:pPr>
    </w:p>
    <w:bookmarkStart w:id="69" w:name="page70"/>
    <w:bookmarkEnd w:id="69"/>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as of December 31, 2025 and 2024 and for the years ended December 31, 2025, 2024 and 2023</w:t>
            </w:r>
          </w:p>
        </w:tc>
        <w:tc>
          <w:tcPr>
            <w:tcW w:w="260" w:type="dxa"/>
            <w:vAlign w:val="bottom"/>
          </w:tcPr>
          <w:p>
            <w:pPr>
              <w:spacing w:after="0"/>
              <w:rPr>
                <w:sz w:val="20"/>
                <w:szCs w:val="20"/>
                <w:color w:val="auto"/>
              </w:rPr>
            </w:pPr>
          </w:p>
        </w:tc>
      </w:tr>
      <w:tr>
        <w:trPr>
          <w:trHeight w:val="297"/>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ID:185)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F-1</w:t>
            </w:r>
          </w:p>
        </w:tc>
      </w:tr>
      <w:tr>
        <w:trPr>
          <w:trHeight w:val="209"/>
        </w:trPr>
        <w:tc>
          <w:tcPr>
            <w:tcW w:w="4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6340" w:type="dxa"/>
            <w:vAlign w:val="bottom"/>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10"/>
        </w:trPr>
        <w:tc>
          <w:tcPr>
            <w:tcW w:w="42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6380" w:type="dxa"/>
            <w:vAlign w:val="bottom"/>
            <w:gridSpan w:val="2"/>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9"/>
        </w:trPr>
        <w:tc>
          <w:tcPr>
            <w:tcW w:w="3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7080" w:type="dxa"/>
            <w:vAlign w:val="bottom"/>
            <w:gridSpan w:val="3"/>
          </w:tcPr>
          <w:p>
            <w:pPr>
              <w:spacing w:after="0"/>
              <w:rPr>
                <w:sz w:val="18"/>
                <w:szCs w:val="18"/>
                <w:color w:val="auto"/>
              </w:rPr>
            </w:pPr>
          </w:p>
        </w:tc>
        <w:tc>
          <w:tcPr>
            <w:tcW w:w="2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F-8</w:t>
            </w:r>
          </w:p>
        </w:tc>
      </w:tr>
      <w:tr>
        <w:trPr>
          <w:trHeight w:val="20"/>
        </w:trPr>
        <w:tc>
          <w:tcPr>
            <w:tcW w:w="28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F-9</w:t>
            </w:r>
          </w:p>
        </w:tc>
      </w:tr>
      <w:tr>
        <w:trPr>
          <w:trHeight w:val="20"/>
        </w:trPr>
        <w:tc>
          <w:tcPr>
            <w:tcW w:w="31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209"/>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II—Valuation and Qualifying Accounts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0000FF"/>
                <w:w w:val="95"/>
              </w:rPr>
              <w:t>S-1</w:t>
            </w:r>
          </w:p>
        </w:tc>
      </w:tr>
      <w:tr>
        <w:trPr>
          <w:trHeight w:val="20"/>
        </w:trPr>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60" w:top="887" w:right="6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AMC Networks Inc. and subsidiaries (the Company) as of December 31, 2025 and 2024, the related consolidated statements of income (loss), comprehensive income (loss), stockholders’ equity, and cash flows for each of the years in the three-year period ended December 31, 2025, and the related notes and financial statement schedule II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11, 2026, expressed an unqualified opinion on the effectiveness of the Company’s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Assessment of the carrying value of goodwill in the Domestic Operations and AMC Networks International (AMCNI) reporting units</w:t>
      </w:r>
    </w:p>
    <w:p>
      <w:pPr>
        <w:spacing w:after="0" w:line="119" w:lineRule="exact"/>
        <w:rPr>
          <w:sz w:val="20"/>
          <w:szCs w:val="20"/>
          <w:color w:val="auto"/>
        </w:rPr>
      </w:pPr>
    </w:p>
    <w:p>
      <w:pPr>
        <w:ind w:left="340" w:right="80"/>
        <w:spacing w:after="0" w:line="274" w:lineRule="auto"/>
        <w:rPr>
          <w:sz w:val="20"/>
          <w:szCs w:val="20"/>
          <w:color w:val="auto"/>
        </w:rPr>
      </w:pPr>
      <w:r>
        <w:rPr>
          <w:rFonts w:ascii="Times New Roman" w:cs="Times New Roman" w:eastAsia="Times New Roman" w:hAnsi="Times New Roman"/>
          <w:sz w:val="17"/>
          <w:szCs w:val="17"/>
          <w:color w:val="auto"/>
        </w:rPr>
        <w:t>As discussed in Note 7 to the consolidated financial statements, the Company’s goodwill balances for the Domestic Operations and the International segments as of December 31, 2025, were $80.0 million and $86.8 million, respectively. The Company performs goodwill impairment testing at the reporting unit level on an annual basis during the fourth quarter of each year as of December 1, and whenever events and changes in circumstances indicate that the carrying value of a reporting unit might exceed its fair value. The Company determined that the estimated fair value of the Domestic Operations reporting unit exceeded its carrying value as of December 31, 2025. The Company recognized an impairment charge of $93.4 million for the year ended December 31, 2025, to reduce the carrying value of the AMCNI reporting unit, included within the International segment, to fair value.</w:t>
      </w:r>
    </w:p>
    <w:p>
      <w:pPr>
        <w:spacing w:after="0" w:line="65" w:lineRule="exact"/>
        <w:rPr>
          <w:sz w:val="20"/>
          <w:szCs w:val="20"/>
          <w:color w:val="auto"/>
        </w:rPr>
      </w:pPr>
    </w:p>
    <w:p>
      <w:pPr>
        <w:ind w:left="340" w:right="540"/>
        <w:spacing w:after="0" w:line="282" w:lineRule="auto"/>
        <w:rPr>
          <w:sz w:val="20"/>
          <w:szCs w:val="20"/>
          <w:color w:val="auto"/>
        </w:rPr>
      </w:pPr>
      <w:r>
        <w:rPr>
          <w:rFonts w:ascii="Times New Roman" w:cs="Times New Roman" w:eastAsia="Times New Roman" w:hAnsi="Times New Roman"/>
          <w:sz w:val="18"/>
          <w:szCs w:val="18"/>
          <w:color w:val="auto"/>
        </w:rPr>
        <w:t>We identified the assessment of the carrying value of goodwill in the Domestic Operations and AMCNI reporting units as a critical audit matter. Revenue growth rates and the discount rates used by the Company to estimate the fair value of these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1" w:name="page72"/>
    <w:bookmarkEnd w:id="71"/>
    <w:p>
      <w:pPr>
        <w:ind w:left="340" w:right="360"/>
        <w:spacing w:after="0" w:line="282" w:lineRule="auto"/>
        <w:rPr>
          <w:sz w:val="20"/>
          <w:szCs w:val="20"/>
          <w:color w:val="auto"/>
        </w:rPr>
      </w:pPr>
      <w:r>
        <w:rPr>
          <w:rFonts w:ascii="Times New Roman" w:cs="Times New Roman" w:eastAsia="Times New Roman" w:hAnsi="Times New Roman"/>
          <w:sz w:val="18"/>
          <w:szCs w:val="18"/>
          <w:color w:val="auto"/>
        </w:rPr>
        <w:t>reporting units involved especially challenging auditor judgment as changes to these assumptions could have had a significant impact on such fair values.</w:t>
      </w:r>
    </w:p>
    <w:p>
      <w:pPr>
        <w:spacing w:after="0" w:line="54"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impairment assessment, including controls over the selection of the revenue growth rates and the discount rates used to estimate the fair value of the reporting units. We evaluated the Company’s forecasted reporting unit revenue growth rate assumptions by comparing the assumptions to the reporting unit’s historical revenue growth rates, to projected revenue growth rates for guideline companies, and to relevant third-party industry reports. We compared the Company’s historical revenue forecasts to actual results to assess the Company’s ability to accurately forecast revenues. We involved valuation professionals with specialized skills and knowledge who assisted in:</w:t>
      </w:r>
    </w:p>
    <w:p>
      <w:pPr>
        <w:spacing w:after="0" w:line="79" w:lineRule="exact"/>
        <w:rPr>
          <w:sz w:val="20"/>
          <w:szCs w:val="20"/>
          <w:color w:val="auto"/>
        </w:rPr>
      </w:pPr>
    </w:p>
    <w:p>
      <w:pPr>
        <w:ind w:left="340" w:right="240" w:hanging="8"/>
        <w:spacing w:after="0" w:line="282" w:lineRule="auto"/>
        <w:tabs>
          <w:tab w:leader="none" w:pos="4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developing a discount rate range using publicly available market data for comparable entities and comparing it to the discount rates used by management;</w:t>
      </w:r>
    </w:p>
    <w:p>
      <w:pPr>
        <w:spacing w:after="0" w:line="40" w:lineRule="exact"/>
        <w:rPr>
          <w:rFonts w:ascii="Times New Roman" w:cs="Times New Roman" w:eastAsia="Times New Roman" w:hAnsi="Times New Roman"/>
          <w:sz w:val="18"/>
          <w:szCs w:val="18"/>
          <w:color w:val="auto"/>
        </w:rPr>
      </w:pPr>
    </w:p>
    <w:p>
      <w:pPr>
        <w:ind w:left="340" w:right="480" w:hanging="8"/>
        <w:spacing w:after="0" w:line="266" w:lineRule="auto"/>
        <w:tabs>
          <w:tab w:leader="none" w:pos="4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estimated range of the reporting unit fair value using the reporting units’ cash flow projections and the independently developed discount rate range and comparing the result to the Company’s fair value estimate.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AMC Networks Inc.:</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have audited AMC Networks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(loss), comprehensive income (loss), stockholders’ equity, and cash flows for each of the years in the three-year period ended December 31, 2025, and the related notes, and financial statement schedule II (collectively, the consolidated financial statements), and our report, dated February 11, 2026, expressed an unqualified opinion on those consolidated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9"/>
        </w:trPr>
        <w:tc>
          <w:tcPr>
            <w:tcW w:w="8240" w:type="dxa"/>
            <w:vAlign w:val="bottom"/>
          </w:tcPr>
          <w:p>
            <w:pPr>
              <w:jc w:val="center"/>
              <w:ind w:left="2859"/>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4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40" w:type="dxa"/>
            <w:vAlign w:val="bottom"/>
          </w:tcPr>
          <w:p>
            <w:pPr>
              <w:jc w:val="center"/>
              <w:ind w:left="283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784,649</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trade (less allowance for doubtful accounts of $11,523 and $9,468)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575,263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623,898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262,257</w:t>
            </w:r>
          </w:p>
        </w:tc>
        <w:tc>
          <w:tcPr>
            <w:tcW w:w="0" w:type="dxa"/>
            <w:vAlign w:val="bottom"/>
          </w:tcPr>
          <w:p>
            <w:pPr>
              <w:spacing w:after="0"/>
              <w:rPr>
                <w:sz w:val="1"/>
                <w:szCs w:val="1"/>
                <w:color w:val="auto"/>
              </w:rPr>
            </w:pPr>
          </w:p>
        </w:tc>
      </w:tr>
      <w:tr>
        <w:trPr>
          <w:trHeight w:val="207"/>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1,280,609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1,670,804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$409,991 and $458,396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143,036</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1,763,084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1,713,952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216,478</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246,304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58,390</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335,272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300,074</w:t>
            </w:r>
          </w:p>
        </w:tc>
        <w:tc>
          <w:tcPr>
            <w:tcW w:w="0" w:type="dxa"/>
            <w:vAlign w:val="bottom"/>
          </w:tcPr>
          <w:p>
            <w:pPr>
              <w:spacing w:after="0"/>
              <w:rPr>
                <w:sz w:val="1"/>
                <w:szCs w:val="1"/>
                <w:color w:val="auto"/>
              </w:rPr>
            </w:pPr>
          </w:p>
        </w:tc>
      </w:tr>
      <w:tr>
        <w:trPr>
          <w:trHeight w:val="212"/>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3,936,881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4,362,221</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4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88,570</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323,029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290,718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program rights obligations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221,603</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Current portion of lease obligations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32,439</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702,668</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1,741,225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2,328,719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Lease obligations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121,302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60,334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2,923,132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3,422,080</w:t>
            </w:r>
          </w:p>
        </w:tc>
        <w:tc>
          <w:tcPr>
            <w:tcW w:w="0" w:type="dxa"/>
            <w:vAlign w:val="bottom"/>
          </w:tcPr>
          <w:p>
            <w:pPr>
              <w:spacing w:after="0"/>
              <w:rPr>
                <w:sz w:val="1"/>
                <w:szCs w:val="1"/>
                <w:color w:val="auto"/>
              </w:rPr>
            </w:pPr>
          </w:p>
        </w:tc>
      </w:tr>
      <w:tr>
        <w:trPr>
          <w:trHeight w:val="19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55,881</w:t>
            </w:r>
          </w:p>
        </w:tc>
        <w:tc>
          <w:tcPr>
            <w:tcW w:w="0" w:type="dxa"/>
            <w:vAlign w:val="bottom"/>
          </w:tcPr>
          <w:p>
            <w:pPr>
              <w:spacing w:after="0"/>
              <w:rPr>
                <w:sz w:val="1"/>
                <w:szCs w:val="1"/>
                <w:color w:val="auto"/>
              </w:rPr>
            </w:pPr>
          </w:p>
        </w:tc>
      </w:tr>
      <w:tr>
        <w:trPr>
          <w:trHeight w:val="19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Class A Common Stock, $0.01 par value, 360,000 shares authorized: 66,730 and 66,730 shares issued and 31,215 and 32,636</w:t>
            </w:r>
          </w:p>
        </w:tc>
        <w:tc>
          <w:tcPr>
            <w:tcW w:w="3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3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Class B Common Stock, $0.01 par value, 90,000 shares authorized: 11,484 shares issued and outstanding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$0.01 par value, 45,000 shares authorized: none issued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Paid-in capital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429,902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437,860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earnings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2,176,124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2,092,229</w:t>
            </w:r>
          </w:p>
        </w:tc>
        <w:tc>
          <w:tcPr>
            <w:tcW w:w="0" w:type="dxa"/>
            <w:vAlign w:val="bottom"/>
          </w:tcPr>
          <w:p>
            <w:pPr>
              <w:spacing w:after="0"/>
              <w:rPr>
                <w:sz w:val="1"/>
                <w:szCs w:val="1"/>
                <w:color w:val="auto"/>
              </w:rPr>
            </w:pPr>
          </w:p>
        </w:tc>
      </w:tr>
      <w:tr>
        <w:trPr>
          <w:trHeight w:val="213"/>
        </w:trPr>
        <w:tc>
          <w:tcPr>
            <w:tcW w:w="8240" w:type="dxa"/>
            <w:vAlign w:val="bottom"/>
          </w:tcPr>
          <w:p>
            <w:pPr>
              <w:spacing w:after="0"/>
              <w:rPr>
                <w:sz w:val="20"/>
                <w:szCs w:val="20"/>
                <w:color w:val="auto"/>
              </w:rPr>
            </w:pPr>
            <w:r>
              <w:rPr>
                <w:rFonts w:ascii="Times New Roman" w:cs="Times New Roman" w:eastAsia="Times New Roman" w:hAnsi="Times New Roman"/>
                <w:sz w:val="16"/>
                <w:szCs w:val="16"/>
                <w:color w:val="auto"/>
              </w:rPr>
              <w:t>Treasury stock, at cost (35,516 and 34,094 shares Class A Common Stock, respectively)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(1,406,027)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(1,408,307)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(266,969)</w:t>
            </w:r>
          </w:p>
        </w:tc>
        <w:tc>
          <w:tcPr>
            <w:tcW w:w="0" w:type="dxa"/>
            <w:vAlign w:val="bottom"/>
          </w:tcPr>
          <w:p>
            <w:pPr>
              <w:spacing w:after="0"/>
              <w:rPr>
                <w:sz w:val="1"/>
                <w:szCs w:val="1"/>
                <w:color w:val="auto"/>
              </w:rPr>
            </w:pPr>
          </w:p>
        </w:tc>
      </w:tr>
      <w:tr>
        <w:trPr>
          <w:trHeight w:val="207"/>
        </w:trPr>
        <w:tc>
          <w:tcPr>
            <w:tcW w:w="8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AMC Networks stockholders' equity</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981,871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855,595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1,013,749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884,260</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3,936,881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4,362,221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72"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9"/>
        </w:trPr>
        <w:tc>
          <w:tcPr>
            <w:tcW w:w="8100" w:type="dxa"/>
            <w:vAlign w:val="bottom"/>
            <w:gridSpan w:val="4"/>
          </w:tcPr>
          <w:p>
            <w:pPr>
              <w:jc w:val="center"/>
              <w:ind w:left="3031"/>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8100" w:type="dxa"/>
            <w:vAlign w:val="bottom"/>
            <w:gridSpan w:val="4"/>
          </w:tcPr>
          <w:p>
            <w:pPr>
              <w:jc w:val="center"/>
              <w:ind w:left="3031"/>
              <w:spacing w:after="0"/>
              <w:rPr>
                <w:sz w:val="20"/>
                <w:szCs w:val="20"/>
                <w:color w:val="auto"/>
              </w:rPr>
            </w:pPr>
            <w:r>
              <w:rPr>
                <w:rFonts w:ascii="Times New Roman" w:cs="Times New Roman" w:eastAsia="Times New Roman" w:hAnsi="Times New Roman"/>
                <w:sz w:val="16"/>
                <w:szCs w:val="16"/>
                <w:b w:val="1"/>
                <w:bCs w:val="1"/>
                <w:color w:val="auto"/>
              </w:rPr>
              <w:t>CONSOLIDATED STATEMENTS OF INCOME (LOSS)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2"/>
        </w:trPr>
        <w:tc>
          <w:tcPr>
            <w:tcW w:w="7040" w:type="dxa"/>
            <w:vAlign w:val="bottom"/>
            <w:gridSpan w:val="2"/>
          </w:tcPr>
          <w:p>
            <w:pPr>
              <w:jc w:val="center"/>
              <w:ind w:left="4031"/>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3"/>
        </w:trPr>
        <w:tc>
          <w:tcPr>
            <w:tcW w:w="65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Technical and operating (excluding 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1,327,500</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764,087</w:t>
            </w: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r>
      <w:tr>
        <w:trPr>
          <w:trHeight w:val="223"/>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2,323,465</w:t>
            </w:r>
          </w:p>
        </w:tc>
      </w:tr>
      <w:tr>
        <w:trPr>
          <w:trHeight w:val="223"/>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income (loss)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388,412</w:t>
            </w:r>
          </w:p>
        </w:tc>
      </w:tr>
      <w:tr>
        <w:trPr>
          <w:trHeight w:val="20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(152,703)</w:t>
            </w:r>
          </w:p>
        </w:tc>
      </w:tr>
      <w:tr>
        <w:trPr>
          <w:trHeight w:val="229"/>
        </w:trPr>
        <w:tc>
          <w:tcPr>
            <w:tcW w:w="6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37,018</w:t>
            </w: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extinguishment of debt, net</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Miscellaneous, net</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w:t>
            </w:r>
          </w:p>
        </w:tc>
      </w:tr>
      <w:tr>
        <w:trPr>
          <w:trHeight w:val="223"/>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296,006</w:t>
            </w:r>
          </w:p>
        </w:tc>
      </w:tr>
      <w:tr>
        <w:trPr>
          <w:trHeight w:val="229"/>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201,400</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14,064</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AMC Networks' stockholders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215,464</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9"/>
        </w:trPr>
        <w:tc>
          <w:tcPr>
            <w:tcW w:w="6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Networks' stockholders: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162"/>
        </w:trPr>
        <w:tc>
          <w:tcPr>
            <w:tcW w:w="65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43,991</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3" w:right="359" w:bottom="1440" w:gutter="0" w:footer="0" w:header="0"/>
        </w:sectPr>
      </w:pPr>
    </w:p>
    <w:bookmarkStart w:id="75" w:name="page76"/>
    <w:bookmarkEnd w:id="75"/>
    <w:p>
      <w:pPr>
        <w:ind w:left="39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6"/>
          <w:szCs w:val="16"/>
          <w:b w:val="1"/>
          <w:bCs w:val="1"/>
          <w:color w:val="auto"/>
        </w:rPr>
        <w:t>MC NETWORKS INC. AND SUBSIDIARIES</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(217,987)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201,400</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5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8,248</w:t>
            </w:r>
          </w:p>
        </w:tc>
      </w:tr>
      <w:tr>
        <w:trPr>
          <w:trHeight w:val="229"/>
        </w:trPr>
        <w:tc>
          <w:tcPr>
            <w:tcW w:w="65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8,173</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209,573</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AMC Networks'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222,431</w:t>
            </w:r>
          </w:p>
        </w:tc>
      </w:tr>
      <w:tr>
        <w:trPr>
          <w:trHeight w:val="21"/>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AMC NETWORKS INC. AND SUBSIDIARIES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20" w:type="dxa"/>
            <w:vAlign w:val="bottom"/>
          </w:tcPr>
          <w:p>
            <w:pPr>
              <w:spacing w:after="0"/>
              <w:rPr>
                <w:sz w:val="12"/>
                <w:szCs w:val="12"/>
                <w:color w:val="auto"/>
              </w:rPr>
            </w:pPr>
          </w:p>
        </w:tc>
        <w:tc>
          <w:tcPr>
            <w:tcW w:w="6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Total AMC</w:t>
            </w:r>
          </w:p>
        </w:tc>
        <w:tc>
          <w:tcPr>
            <w:tcW w:w="12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Non-</w:t>
            </w:r>
          </w:p>
        </w:tc>
        <w:tc>
          <w:tcPr>
            <w:tcW w:w="180" w:type="dxa"/>
            <w:vAlign w:val="bottom"/>
          </w:tcPr>
          <w:p>
            <w:pPr>
              <w:spacing w:after="0"/>
              <w:rPr>
                <w:sz w:val="12"/>
                <w:szCs w:val="12"/>
                <w:color w:val="auto"/>
              </w:rPr>
            </w:pPr>
          </w:p>
        </w:tc>
        <w:tc>
          <w:tcPr>
            <w:tcW w:w="76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20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Networks</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redeemable</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74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0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98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00" w:type="dxa"/>
            <w:vAlign w:val="bottom"/>
          </w:tcPr>
          <w:p>
            <w:pPr>
              <w:spacing w:after="0"/>
              <w:rPr>
                <w:sz w:val="15"/>
                <w:szCs w:val="15"/>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80" w:type="dxa"/>
            <w:vAlign w:val="bottom"/>
          </w:tcPr>
          <w:p>
            <w:pPr>
              <w:spacing w:after="0"/>
              <w:rPr>
                <w:sz w:val="15"/>
                <w:szCs w:val="15"/>
                <w:color w:val="auto"/>
              </w:rPr>
            </w:pPr>
          </w:p>
        </w:tc>
        <w:tc>
          <w:tcPr>
            <w:tcW w:w="76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1"/>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$ 360,251</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$ 2,105,641</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$(1,419,882)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(239,798)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806,988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46,825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853,813</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Net income attributable to AMC Networks’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215,464</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215,464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215,464</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Net loss attributable to non-redeemable</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(12,285)</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noncontrolling interest, net of tax</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(3,568)</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members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(6,283)</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8,173</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25,903</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25,903</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share issuance under employee stock plans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(7,277)</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(7,271)</w:t>
            </w:r>
          </w:p>
        </w:tc>
        <w:tc>
          <w:tcPr>
            <w:tcW w:w="0" w:type="dxa"/>
            <w:vAlign w:val="bottom"/>
          </w:tcPr>
          <w:p>
            <w:pPr>
              <w:spacing w:after="0"/>
              <w:rPr>
                <w:sz w:val="1"/>
                <w:szCs w:val="1"/>
                <w:color w:val="auto"/>
              </w:rPr>
            </w:pPr>
          </w:p>
        </w:tc>
      </w:tr>
      <w:tr>
        <w:trPr>
          <w:trHeight w:val="198"/>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2023</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378,877</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2,321,105</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(1,419,882)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(232,831)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1,048,051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25,895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1,073,946</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Net loss attributable to AMC Networks’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(226,546)</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(226,546)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(226,546)</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Net income attributable to non-redeemable</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15,641</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Redeemable noncontrolling interest adjustment to</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redemption fair value</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(22,594)</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(22,594)</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noncontrolling interest, net of tax</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69,397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69,397</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members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(11,953)</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(35,056)</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26,051</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26,051</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issued under employee stock plans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(9,245)</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(2,330)</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Tax withholding associated with shares issued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under employee stock plans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(4,626)</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(4,626)</w:t>
            </w:r>
          </w:p>
        </w:tc>
        <w:tc>
          <w:tcPr>
            <w:tcW w:w="0" w:type="dxa"/>
            <w:vAlign w:val="bottom"/>
          </w:tcPr>
          <w:p>
            <w:pPr>
              <w:spacing w:after="0"/>
              <w:rPr>
                <w:sz w:val="1"/>
                <w:szCs w:val="1"/>
                <w:color w:val="auto"/>
              </w:rPr>
            </w:pPr>
          </w:p>
        </w:tc>
      </w:tr>
      <w:tr>
        <w:trPr>
          <w:trHeight w:val="20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2024</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437,860</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2,092,229</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(1,408,307)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(266,969)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855,595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28,665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884,260</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Net income attributable to AMC Networks’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stockholders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89,400</w:t>
            </w:r>
          </w:p>
        </w:tc>
        <w:tc>
          <w:tcPr>
            <w:tcW w:w="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89,400</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Net income attributable to non-redeemable</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7,753</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line="159" w:lineRule="exact"/>
              <w:rPr>
                <w:sz w:val="20"/>
                <w:szCs w:val="20"/>
                <w:color w:val="auto"/>
              </w:rPr>
            </w:pPr>
            <w:r>
              <w:rPr>
                <w:rFonts w:ascii="Times New Roman" w:cs="Times New Roman" w:eastAsia="Times New Roman" w:hAnsi="Times New Roman"/>
                <w:sz w:val="15"/>
                <w:szCs w:val="15"/>
                <w:color w:val="auto"/>
              </w:rPr>
              <w:t>Redeemable noncontrolling interest adjustment to</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redemption fair value</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noncontrolling interest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(13,792)</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(13,792)</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Distributions to noncontrolling members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(7,271)</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50,790</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 expenses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25,330</w:t>
            </w: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25,330</w:t>
            </w: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acquired</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(17,969)</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Common stock issued under employee stock plans</w:t>
            </w:r>
          </w:p>
        </w:tc>
        <w:tc>
          <w:tcPr>
            <w:tcW w:w="10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(14,744)</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(5,505)</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0"/>
        </w:trPr>
        <w:tc>
          <w:tcPr>
            <w:tcW w:w="32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Tax withholding associated with shares issued</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under employee stock plans</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(4,044)</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(4,044)</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December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w w:val="99"/>
              </w:rPr>
              <w:t>$</w:t>
            </w:r>
            <w:r>
              <w:rPr>
                <w:rFonts w:ascii="Times New Roman" w:cs="Times New Roman" w:eastAsia="Times New Roman" w:hAnsi="Times New Roman"/>
                <w:sz w:val="15"/>
                <w:szCs w:val="15"/>
                <w:color w:val="auto"/>
                <w:w w:val="99"/>
              </w:rPr>
              <w:t xml:space="preserve"> 429,902</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$ 2,176,124</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(1,406,027)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(218,910)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981,871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31,878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1,013,749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9"/>
        </w:trPr>
        <w:tc>
          <w:tcPr>
            <w:tcW w:w="7540" w:type="dxa"/>
            <w:vAlign w:val="bottom"/>
          </w:tcPr>
          <w:p>
            <w:pPr>
              <w:jc w:val="center"/>
              <w:ind w:left="3639"/>
              <w:spacing w:after="0"/>
              <w:rPr>
                <w:sz w:val="20"/>
                <w:szCs w:val="20"/>
                <w:color w:val="auto"/>
              </w:rPr>
            </w:pPr>
            <w:r>
              <w:rPr>
                <w:rFonts w:ascii="Times New Roman" w:cs="Times New Roman" w:eastAsia="Times New Roman" w:hAnsi="Times New Roman"/>
                <w:sz w:val="16"/>
                <w:szCs w:val="16"/>
                <w:b w:val="1"/>
                <w:bCs w:val="1"/>
                <w:color w:val="auto"/>
              </w:rPr>
              <w:t>AMC NETWORKS INC. AND SUBSIDIARIES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3"/>
        </w:trPr>
        <w:tc>
          <w:tcPr>
            <w:tcW w:w="7540" w:type="dxa"/>
            <w:vAlign w:val="bottom"/>
          </w:tcPr>
          <w:p>
            <w:pPr>
              <w:jc w:val="center"/>
              <w:ind w:left="36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2"/>
        </w:trPr>
        <w:tc>
          <w:tcPr>
            <w:tcW w:w="7540" w:type="dxa"/>
            <w:vAlign w:val="bottom"/>
          </w:tcPr>
          <w:p>
            <w:pPr>
              <w:jc w:val="center"/>
              <w:ind w:left="36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3"/>
        </w:trPr>
        <w:tc>
          <w:tcPr>
            <w:tcW w:w="75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 including noncontrolling interests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101,772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201,400</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107,402</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impairment and other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87,089</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Share-based compensation expenses related to equity classified awards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25,665</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restructuring and other related charges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15,147</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Amortization and write-offs of program rights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889,394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906,158</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deferred carriage fees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21,341</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Unrealized foreign currency transaction (gain) loss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deferred financing costs and discounts on indebtedness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7,574</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49,736</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 trade (including amounts due from related parties,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34,332</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103,258</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Program rights and obligations,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(1,079,910)</w:t>
            </w:r>
          </w:p>
        </w:tc>
      </w:tr>
      <w:tr>
        <w:trPr>
          <w:trHeight w:val="219"/>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(60,671)</w:t>
            </w:r>
          </w:p>
        </w:tc>
      </w:tr>
      <w:tr>
        <w:trPr>
          <w:trHeight w:val="213"/>
        </w:trPr>
        <w:tc>
          <w:tcPr>
            <w:tcW w:w="75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carriage fees,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(17,826)</w:t>
            </w:r>
          </w:p>
        </w:tc>
      </w:tr>
      <w:tr>
        <w:trPr>
          <w:trHeight w:val="232"/>
        </w:trPr>
        <w:tc>
          <w:tcPr>
            <w:tcW w:w="7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xml:space="preserve">Accounts payable, accrued </w:t>
            </w:r>
            <w:r>
              <w:rPr>
                <w:rFonts w:ascii="Times New Roman" w:cs="Times New Roman" w:eastAsia="Times New Roman" w:hAnsi="Times New Roman"/>
                <w:sz w:val="17"/>
                <w:szCs w:val="17"/>
                <w:color w:val="auto"/>
              </w:rPr>
              <w:t>liabilities</w:t>
            </w:r>
            <w:r>
              <w:rPr>
                <w:rFonts w:ascii="Times New Roman" w:cs="Times New Roman" w:eastAsia="Times New Roman" w:hAnsi="Times New Roman"/>
                <w:sz w:val="16"/>
                <w:szCs w:val="16"/>
                <w:color w:val="auto"/>
              </w:rPr>
              <w:t xml:space="preserve"> and other liabilities</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20,096</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(196,761)</w:t>
            </w:r>
          </w:p>
        </w:tc>
      </w:tr>
      <w:tr>
        <w:trPr>
          <w:trHeight w:val="207"/>
        </w:trPr>
        <w:tc>
          <w:tcPr>
            <w:tcW w:w="75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305,670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375,615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203,919</w:t>
            </w:r>
          </w:p>
        </w:tc>
      </w:tr>
      <w:tr>
        <w:trPr>
          <w:trHeight w:val="19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(35,207)</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8,565</w:t>
            </w:r>
          </w:p>
        </w:tc>
      </w:tr>
      <w:tr>
        <w:trPr>
          <w:trHeight w:val="213"/>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2,320</w:t>
            </w:r>
          </w:p>
        </w:tc>
      </w:tr>
      <w:tr>
        <w:trPr>
          <w:trHeight w:val="212"/>
        </w:trPr>
        <w:tc>
          <w:tcPr>
            <w:tcW w:w="75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(24,322)</w:t>
            </w:r>
          </w:p>
        </w:tc>
      </w:tr>
      <w:tr>
        <w:trPr>
          <w:trHeight w:val="19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10.50% Senior Secured Notes due 2032,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10.25% Senior Secured Notes due 2029, net</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862,969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the issuance of 4.25% Convertible Senior Notes due 2029, net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Tender, redemption, and repurchase of 4.75% Senior Notes due 2025</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(774,729)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(24,631)</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Tender and repurchase of 4.25% Senior Notes due 2029</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Redemption of 5.00% Senior Notes due 2024</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Term Loan A Facility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(33,750)</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Deemed repurchases of restricted stock units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r>
      <w:tr>
        <w:trPr>
          <w:trHeight w:val="213"/>
        </w:trPr>
        <w:tc>
          <w:tcPr>
            <w:tcW w:w="7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 of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9"/>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(72,876)</w:t>
            </w:r>
          </w:p>
        </w:tc>
      </w:tr>
      <w:tr>
        <w:trPr>
          <w:trHeight w:val="207"/>
        </w:trPr>
        <w:tc>
          <w:tcPr>
            <w:tcW w:w="754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(570,288)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(110,223)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(544,435)</w:t>
            </w: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 from operations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(364,838)</w:t>
            </w:r>
          </w:p>
        </w:tc>
      </w:tr>
      <w:tr>
        <w:trPr>
          <w:trHeight w:val="213"/>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r>
      <w:tr>
        <w:trPr>
          <w:trHeight w:val="216"/>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784,649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930,002</w:t>
            </w:r>
          </w:p>
        </w:tc>
      </w:tr>
      <w:tr>
        <w:trPr>
          <w:trHeight w:val="21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502,379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784,649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570,576</w:t>
            </w:r>
          </w:p>
        </w:tc>
      </w:tr>
      <w:tr>
        <w:trPr>
          <w:trHeight w:val="21"/>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0"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AMC Networks Inc. ("AMC Networks") and its subsidiaries (collectively referred to as the "Company," "we," "us," or "our") own and operate entertainment businesses and assets. The Company is comprised of two operating segments:</w:t>
      </w:r>
    </w:p>
    <w:p>
      <w:pPr>
        <w:spacing w:after="0" w:line="52" w:lineRule="exact"/>
        <w:rPr>
          <w:sz w:val="20"/>
          <w:szCs w:val="20"/>
          <w:color w:val="auto"/>
        </w:rPr>
      </w:pPr>
    </w:p>
    <w:p>
      <w:pPr>
        <w:jc w:val="both"/>
        <w:ind w:left="660" w:hanging="328"/>
        <w:spacing w:after="0" w:line="257"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Operations: </w:t>
      </w:r>
      <w:r>
        <w:rPr>
          <w:rFonts w:ascii="Times New Roman" w:cs="Times New Roman" w:eastAsia="Times New Roman" w:hAnsi="Times New Roman"/>
          <w:sz w:val="18"/>
          <w:szCs w:val="18"/>
          <w:color w:val="auto"/>
        </w:rPr>
        <w:t>Consists of our five programming networks, our streaming services, our AMC Studios operation and our film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programming networks are AMC, We TV, BBC America ("BBCA"), IFC, and SundanceTV. Our streaming services consist of AMC+ and our targeted subscription streaming services (Acorn TV, Shudder, Sundance Now, ALLBLK, HIDIVE and All Reality). Our AMC Studios operation produces original programming for our programming services and third parties and also licenses programming worldwide. Our film distribution business includes Independent Film Company, RLJ Entertainment Films ("RLJE Films") and Shudder. The operating segment also includes AMC Networks Broadcasting &amp; Technology, our technical services business, which primarily services the programming networks.</w:t>
      </w:r>
    </w:p>
    <w:p>
      <w:pPr>
        <w:spacing w:after="0" w:line="7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 Consists of AMC Networks International ("AMCNI"), our international programming businesses consisting of a portfolio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distributed around the world.</w:t>
      </w:r>
    </w:p>
    <w:p>
      <w:pPr>
        <w:spacing w:after="0" w:line="52" w:lineRule="exact"/>
        <w:rPr>
          <w:rFonts w:ascii="Times New Roman" w:cs="Times New Roman" w:eastAsia="Times New Roman" w:hAnsi="Times New Roman"/>
          <w:sz w:val="18"/>
          <w:szCs w:val="18"/>
          <w:b w:val="1"/>
          <w:bCs w:val="1"/>
          <w:i w:val="1"/>
          <w:iCs w:val="1"/>
          <w:color w:val="auto"/>
        </w:rPr>
      </w:pPr>
    </w:p>
    <w:p>
      <w:pPr>
        <w:jc w:val="both"/>
        <w:ind w:left="6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January 2024, the Company updated the name of its previously titled "International and Other" operating segment to "International" due to the divestiture of the 25/7 Media production services business on December 29, 2023, which was the sole component of the operating segment that comprised “Other.” This update did not constitute a change in segment reporting, but rather an update in name only. Prior period segment information contained in this report for the "International" operating segment includes the results of the 25/7 Media production services business through the date of divestiture.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AMC Networks and its subsidiaries in which a controlling financial interest is maintained or variable interest entities ("VIEs") in which the Company has determined it is the primary beneficiary. All intercompany transactions and balances have been eliminated in consolidation.</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reclassifications were made to the prior period amounts to conform to the current period presentation.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primarily earns revenue from (i) the distribution of its programming services, through distributors and directly to consumers, (ii) advertising, and (iii) content licensing and other services. 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The Company’s revenue recognition policies associated with each major source of revenue from contracts with customers are described in Note 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and Operating Expenses</w:t>
      </w:r>
    </w:p>
    <w:p>
      <w:pPr>
        <w:spacing w:after="0" w:line="1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Technical and operating expenses primarily consist of content expenses, such as amortization of program rights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 and encryption.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Advertising costs are charged to expense when incurred and are included in selling, general and administrative expenses in the consolidated statements of income (loss). Advertising costs were $287.2 million, $273.8 million and $241.5 million for the years ended December 31, 2025,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the cost of employee services received in exchange for an award of equity-based instruments based on the grant date fair value of the award, net of actual forfeitures.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expenses are included in selling, general and administrative expenses in the consolidated statements of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in the consolidated statements of stockholders' equity.</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foreign currency transaction gains (losses) of $13.3 million, $(7.0) million and $8.4 million for the years ended December 31, 2025, 2024 and 2023, respectively, which are included in miscellaneous, net in the consolidated statements of income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Trade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adequacy of valuation allowances for uncollectible accounts receivable using a forward looking expected loss model by evaluating the collectability of outstanding receivables and general factors such as length of time individual receivables are past due, historical collection experience, and the economic and competitive environment.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Rights to programming, including feature films and episodic series, acquired under license agreements are recorded as program rights and program obligations on the consolidated balance sheets at the contract value when the license period has begun, the cost of the program is known, and the program is available for airing. Owned original programming costs are recorded as program rights on the consolidated balance sheets as production costs are incurred.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amortize capitalized film and television costs based on whether the content is predominantly monetized individually or as a group.</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program rights are expected to be predominantly monetized on our networks and streaming services with other programming and are therefore considered monetized as a group. Licensed and owned original programming, including feature films and television series are amortized to technical and operating expense on a straight-line or accelerated basis based on viewership patterns on our streaming services and the projected program usage of the rights on our networks, over a period not to exceed the respective license periods.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projected program usage is based on the Company's current expectation of future exhibitions taking into account historical usage and viewership patterns of similar content. The Company periodically reviews estimates of its projected program usage and viewership patterns and revises its assumptions if necessary, which could impact the timing of amortization expense. Any adjustments to the assumptions are applied prospectively in the period of the change.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content that is predominantly monetized as a group, unamortized costs are tested for impairment whenever events or changes in circumstances indicate that the fair value of the group may be less than its unamortized costs. Groups are tested for impairment by comparing the present value of the discounted cash flows of the group to the aggregate unamortized costs of the group. If the unamortized costs exceed the present value of discounted cash flows, an impairment charge is recorded for the excess and allocated to individual titles within the group on a pro rata basis using the relative carrying value of the titles. Program rights with no future programming usefulness are substantially abandoned, resulting in the write-off of remaining unamortized cost.</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a lesser extent, certain program rights are expected to be predominantly monetized individually. These program rights are amortized to technical and operating expense over their estimated useful lives, commencing upon the first usage, based on attributable revenue to date as a percentage of total projected attributable revenue ("ultimate revenue") under the individual-film-forecast-computation method.</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Ultimate revenues are estimated based on the levels of revenue generated from similar content in comparable markets, projected program usage, and the levels of historical and expected programming market acceptance. The Company periodically reviews its ultimate revenue estimates and revises its assumptions if necessary, which could impact the timing of amortization expense. Any adjustments are applied prospectively as of the beginning of the fiscal year of the change.</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content that is predominantly monetized on an individual basis, a television program or feature film is tested for impairment when events or circumstances indicate that its fair value may be less than its unamortized cost. Individual titles are tested for impairment by comparing the present value of the discounted cash flows of the title to the unamortized costs of the title. If the unamortized costs exceed the present value of discounted cash flows, an impairment charge is recorded for the excess. Program rights with no future programming usefulness are substantially abandoned, resulting in the write-off of remaining unamortized cost.</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may qualify for tax incentives through eligible spend on productions. These tax incentives generally provide for refundable or transferable tax credits upon meeting established levels of qualified production spending within a participating jurisdiction and may be received prior to or after completion of a production. Production tax incentives are included in prepaid and other current assets or other assets in the consolidated balance sheets, based on the timing of expected receipt, with a corresponding reduction to the cost basis of the Company’s programming assets when collection becomes probable, and reduces program rights amortization over the life of the title. Receivables related to tax incentives earned on production spend as of December 31, 2025 consisted of $125.3 million recorded in Prepaid expenses and other current assets and $95.0 million recorded in Other assets. Receivables related to tax incentives earned on production spend as of December 31, 2024 were $182.0 million recorded in Prepaid expenses and other current assets and $42.4 million recorded in Other assets.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holds several investments in and loans to non-consolidated entities which are included in Other assets in the consolidated balance sheets.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Investments in which the Company has the ability to exercise significant influence but does not control and is not the primary beneficiary are equity method investments.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and expenses incurred on behalf of investees as well as payments from equity method investees such as dividends and distributions are recorded as adjustments to investment balances. The Company applies the cumulative earnings approach</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determining the cash flow presentation of cash distributions received from equity method investees. Distributions received are included in the consolidated statements of cash flows as operating activities, unless the cumulative distributions (less distributions received in prior periods that were determined to be returns of investment) exceed the Company's portion of the cumulative equity in the net earnings of the equity method investment, in which case the excess distributions are deemed to be returns of the investment and are classified as investing activities in the consolidated statements of cash flows. The Company evaluates its equity method investments for impairment whenever events or changes in circumstances indicate that the carrying amounts of such investments may not be recoverable. Equity method investments were $94.8 million and $81.8 million at December 31, 2025 and 2024, respectively.</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Investments in equity securities (excluding equity method investments) with readily determinable fair values are accounted for at fair value. Gains and losses related to equity securities are recorded in earnings as a component of miscellaneous, net, in the consolidated statements of income (loss). The Company did not have any equity securities with readily determinable fair values as of December 31, 2025 or 2024.</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miscellaneous, net in the consolidated statements of income (loss). Investments in non-marketable equity securities were $45.4 million and $43.9 million at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Equipment under finance leases is recorded at the present value of the total minimum lease payments. Depreciation is calculated on a straight-line basis over the estimated useful lives of the assets or, with respect to equipment under finance leases and leasehold improvements, amortized over the shorter of the lease term or the assets' useful lives and reported in depreciation and amortization in the consolidated statements of income (loss).</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Amortizable intangible assets established in connection with business combinations primarily consist of affiliate and customer relationships, advertiser relationships and trade names. Amortizable intangible assets are amortized on a straight-line basis over their respective estimated useful lives.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circumstances indicate that the carrying amount of an asset group may not be recoverable. If the sum of the expected cash flows, undiscounted and without interest, is less than the carrying amount of the asset group, an impairment loss is recognized as the amount by which the carrying amount of the asset group exceeds its fair value. See Note 7 for further discussion regarding impairment tests of long-lived assets.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the quantitative impairment test. If it is determined, on the basis of qualitative factors, that the fair value of a reporting unit is, more likely than not, less than its carrying value, the quantitative impairment test is required. The quantitative impairment test consists of a comparison of the estimated fair value of the reporting unit with its carrying value. If the carrying value exceeds its fair value, an impairment loss is recognized in an amount equal to that excess, but not to exceed the carrying amount of goodwill.</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Indefinite-lived intangible assets established in connection with business combinations consist of trademarks. The annual indefinite-lived intangible asset impairment test allows for the option to first assess qualitative factors to determine whether it is more likely than not that the fair value is less than its carrying amount. If it is determined, on the basis of qualitative factors, that the fair value is, more likely than not, less than its carrying value, the quantitative impairment test is required.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quantitative impairment test consists of a comparison of the estimated fair value of the intangible asset with its carrying value. If the carrying value exceeds its fair value, an impairment loss is recognized in an amount equal to that excess.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7 for further discussion regarding impairment tests of goodwill and indefinite-lived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Carriage Fees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carriage fees, included in other assets in the consolidated balance sheets, represent amounts principally paid to multichannel video programming distributors to obtain additional subscribers and/or guarantee carriage of certain programming services and are amortized as a reduction of revenue over the period of the related affiliation arrangement.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derivative financial instruments are recorded as either assets or liabilities in the consolidated balance sheets based on their fair values.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11 for a further discussion of the Company's derivative financial instruments.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and uses the deferral method to recognize the income tax benefit from investment tax credits. Global intangible low-taxed income (“GILTI”) tax is treated as a period expense. Interest and penalties, if any, associated with uncertain tax positions are included in income tax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 See Note 14 for further discussion regarding commitments and contingencies.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2025, two customers accounted for 13% and 10% of accounts receivable (short and long-term), and as of December 31, 2024, one customer accounted for 13% of accounts receivable (short and long-term).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in the Company's consolidated balance sheets at the greater of their initial carrying amount, increased or decreased for contributions, distributions and the noncontrolling interest's share of net income or loss, or an amount reflecting the accretion of changes in the redemption value to the earliest redemption date.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Net income (loss) per basic share is based upon net income (loss) attributable to AMC Networks' stockholders divided by the weighted average number of shares of Class A Common Stock and Class B Common Stock outstanding during the period. Net income (loss) per diluted share reflects the dilutive effects, if any, of AMC Networks' outstanding equity-based awards and the assumed conversion of the 4.25% Convertible Senior Notes due 2029 (the "Convertible Notes") issued in June 2024.</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20" w:type="dxa"/>
            <w:vAlign w:val="bottom"/>
            <w:tcBorders>
              <w:bottom w:val="single" w:sz="8" w:color="auto"/>
            </w:tcBorders>
          </w:tcPr>
          <w:p>
            <w:pPr>
              <w:spacing w:after="0"/>
              <w:rPr>
                <w:sz w:val="18"/>
                <w:szCs w:val="18"/>
                <w:color w:val="auto"/>
              </w:rPr>
            </w:pPr>
          </w:p>
        </w:tc>
      </w:tr>
      <w:tr>
        <w:trPr>
          <w:trHeight w:val="211"/>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71"/>
        </w:trPr>
        <w:tc>
          <w:tcPr>
            <w:tcW w:w="62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Net income (loss) attributable to AMC Networks' stockholders used for basic net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89,400</w:t>
            </w:r>
          </w:p>
        </w:tc>
        <w:tc>
          <w:tcPr>
            <w:tcW w:w="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215,464</w:t>
            </w: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 Convertible Notes interest expense, net of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5"/>
        </w:trPr>
        <w:tc>
          <w:tcPr>
            <w:tcW w:w="62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attributable to AMC Networks' stockholders used for diluted net</w:t>
            </w:r>
          </w:p>
        </w:tc>
        <w:tc>
          <w:tcPr>
            <w:tcW w:w="3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93,982</w:t>
            </w:r>
          </w:p>
        </w:tc>
        <w:tc>
          <w:tcPr>
            <w:tcW w:w="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43,827</w:t>
            </w: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Notes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attributable to AMC Networks' stockholders: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5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5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no restricted stock units have been excluded from the diluted weighted average common shares outstanding due to their impact being anti-dilutive.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all 3.4 million of our restricted stock units and the weighted average impact of 11.3 million common shares related to the assumed conversion of the Company's Convertible Notes were excluded from the calculation of diluted net income (loss) per share because their inclusion would have been anti-dilutive since we reported a net loss.</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0.5 million of restricted stock units have been excluded from the diluted weighted average common shares outstanding, as their impact would have been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 AMC Networks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at least 25% of the Company's Board of Directors. AMC Networks Class B stockholders have the right to elect the remaining members of the Company's Board of Directors. In addition, the members of the Dolan Family Group are parties to a stockholders agreement (the "Stockholders Agreement") that has the effect of causing the voting power of certain holders of our Class B Common Stock to be cast as a block on all matters to be voted on by holders of Class B Common Stock. Under the Stockholders Agreement, the shares of Class B Common Stock owned by members of the Dolan Family Group are to be voted on all matters in accordance with the determination of the Dolan Family Committee. However, the decisions of the Dolan Family Committee are non-binding with respect to the Class B Common Stock owned by certain Dolan family trusts which collectively own 83% of the outstanding Class B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previously authorized a program to repurchase up to $1.5 billion of its outstanding shares of Class A Common Stock (the "Stock Repurchase Program"). The Stock Repurchase Program has no pre-established termination date and may be suspended or discontinued at any time. For the year ended December 31, 2025, the Company repurchased 2.4 million shares of its Class A Common Stock at an average purchase price of $7.29 for aggregate consideration of $18.0 million. For the years ended December 31, 2024 and 2023, the Company did not repurchase any shares of its Class 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Common Stock. As of December 31, 2025, the Company had $117.4 million of authorization remaining for repurchase under the Stock Repurchase Program.</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common stock share activity for all years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40" w:type="dxa"/>
            <w:vAlign w:val="bottom"/>
          </w:tcPr>
          <w:p>
            <w:pPr>
              <w:spacing w:after="0"/>
              <w:rPr>
                <w:sz w:val="18"/>
                <w:szCs w:val="18"/>
                <w:color w:val="auto"/>
              </w:rPr>
            </w:pPr>
          </w:p>
        </w:tc>
        <w:tc>
          <w:tcPr>
            <w:tcW w:w="3160" w:type="dxa"/>
            <w:vAlign w:val="bottom"/>
            <w:tcBorders>
              <w:bottom w:val="single" w:sz="8" w:color="auto"/>
            </w:tcBorders>
            <w:gridSpan w:val="3"/>
          </w:tcPr>
          <w:p>
            <w:pPr>
              <w:jc w:val="right"/>
              <w:ind w:right="812"/>
              <w:spacing w:after="0"/>
              <w:rPr>
                <w:sz w:val="20"/>
                <w:szCs w:val="20"/>
                <w:color w:val="auto"/>
              </w:rPr>
            </w:pPr>
            <w:r>
              <w:rPr>
                <w:rFonts w:ascii="Times New Roman" w:cs="Times New Roman" w:eastAsia="Times New Roman" w:hAnsi="Times New Roman"/>
                <w:sz w:val="16"/>
                <w:szCs w:val="16"/>
                <w:b w:val="1"/>
                <w:bCs w:val="1"/>
                <w:color w:val="auto"/>
              </w:rPr>
              <w:t>Shares Outstanding</w:t>
            </w:r>
          </w:p>
        </w:tc>
      </w:tr>
      <w:tr>
        <w:trPr>
          <w:trHeight w:val="158"/>
        </w:trPr>
        <w:tc>
          <w:tcPr>
            <w:tcW w:w="8040" w:type="dxa"/>
            <w:vAlign w:val="bottom"/>
          </w:tcPr>
          <w:p>
            <w:pPr>
              <w:spacing w:after="0"/>
              <w:rPr>
                <w:sz w:val="13"/>
                <w:szCs w:val="13"/>
                <w:color w:val="auto"/>
              </w:rPr>
            </w:pPr>
          </w:p>
        </w:tc>
        <w:tc>
          <w:tcPr>
            <w:tcW w:w="1640" w:type="dxa"/>
            <w:vAlign w:val="bottom"/>
            <w:gridSpan w:val="2"/>
          </w:tcPr>
          <w:p>
            <w:pPr>
              <w:jc w:val="center"/>
              <w:ind w:right="1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Class A</w:t>
            </w:r>
          </w:p>
        </w:tc>
        <w:tc>
          <w:tcPr>
            <w:tcW w:w="1520" w:type="dxa"/>
            <w:vAlign w:val="bottom"/>
          </w:tcPr>
          <w:p>
            <w:pPr>
              <w:jc w:val="right"/>
              <w:ind w:right="432"/>
              <w:spacing w:after="0" w:line="158" w:lineRule="exact"/>
              <w:rPr>
                <w:sz w:val="20"/>
                <w:szCs w:val="20"/>
                <w:color w:val="auto"/>
              </w:rPr>
            </w:pPr>
            <w:r>
              <w:rPr>
                <w:rFonts w:ascii="Times New Roman" w:cs="Times New Roman" w:eastAsia="Times New Roman" w:hAnsi="Times New Roman"/>
                <w:sz w:val="16"/>
                <w:szCs w:val="16"/>
                <w:b w:val="1"/>
                <w:bCs w:val="1"/>
                <w:color w:val="auto"/>
              </w:rPr>
              <w:t>Class B</w:t>
            </w:r>
          </w:p>
        </w:tc>
      </w:tr>
      <w:tr>
        <w:trPr>
          <w:trHeight w:val="21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25"/>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and non-employee director stock transactions*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11,484</w:t>
            </w:r>
          </w:p>
        </w:tc>
      </w:tr>
      <w:tr>
        <w:trPr>
          <w:trHeight w:val="21"/>
        </w:trPr>
        <w:tc>
          <w:tcPr>
            <w:tcW w:w="80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*Reflects common stock activity in connection with restricted stock units granted to employees and non-employee directors, as well as in connection with the fulfillment of employees' statutory tax withholding obligations for applicable income and other employment taxes and forfeited employee restricted stock units.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guidance that is intended to enhance the transparency and decision usefulness of income tax information through improvements to income tax disclosures primarily related to the rate reconciliation and income taxes paid information. The Company incorporated the required disclosure updates in these 2025 annual financial statements on a prospective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guidance on the recognition, measurement, and presentation of government grants. Under the new guidance, government grants are recognized when it is probable that the entity will comply with the conditions of the grant and the grant will be received. The guidance provides accounting models for grants related to assets and grants related to income, including a requirement to recognize a grant related to an asset as the business entity incurs the related costs for which the grant is intended to compensate, either as deferred income or an adjustment to the cost basis of the asset. The guidance also requires disclosures regarding the nature of the government grant received, the accounting policies used to account for the grant, and significant terms and conditions of the grant. The new guidance will be effective January 1, 2029 with early adoption permitted. The Company is currently evaluating the impact of adopting the new guidance.</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guidance that clarifies the applicability of Topic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the types of interim reporting, and the form and content of interim financial statements in accordance with GAAP. The new guidance provides a comprehensive list of required interim disclosures and includes a disclosure principle that requires entities to disclose events since the end of the last annual reporting period that have a material impact on the entity. The new guidance will be effective January 1, 2028, with early adoption permitted. The Company is currently evaluating the impact of adopting the new guidance.</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guidance to simplify the capitalization of costs to develop software for internal use by eliminating the consideration of software development project stages. Instead, costs will be capitalized when management has authorized and committed to funding the project and it is probable that the project will be completed and the software will be used to perform its intended function. The new guidance will be effective January 1, 2028 and can be applied prospectively, retrospectively, or with a modified prospective approach. The Company does not expect the adoption of this standard will have a material impact on its consolidated financial statements.</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guidance that provides a practical expedient for estimating credit losses for current accounts receivable and current contract assets arising from transactions accounted for under Accounting Standards Codification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the new standard, in lieu of developing forecasts of future economic conditions, entities can elect a practical expedient that assumes the current conditions as of the balance sheet date remain consistent for the remaining life of the asset. The new guidance became effective January 1, 2026 and is to be applied prospectively, with early adoption permitted. The Company does not expect that adoption of this standard will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guidance that is intended to provide investors more detailed disclosures around specific types of expenses in the notes to the financial statements for interim and annual reporting periods. The Company will incorporate the required disclosure updates for the 2027 annual financial statements.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Revenue is recognized when, or as, performance obligations under the terms of a contract are satisfied, which generally occurs when, or as, control of the promised products or services is transferred to customers. Revenue is measured as the amount of consideration the Company expects to receive in exchange for transferring products or services to a customer ("transaction price"). To the extent the contract includes variable consideration, the Company estimates the amount of variable consideration that should be included in the transaction price utilizing the most likely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that is reasonably available. Amounts collected on behalf of others (including taxes), where the Company is an agent, are excluded from revenue.</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determining the transaction price of a contract, an adjustment is made if payment from a customer occurs either significantly before or significantly after performance, resulting in a significant financing component. Applying a practical expedient in the guidance, the Company does not assess whether a significant financing component exists if the period between when the Company performs its obligations under the contract and when the customer pays is one year or less.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relative standalone selling prices based on the price at which the performance obligations are sold separately. If the standalone selling price is not observable through past transactions, the Company estimates the standalone selling price considering available information such as market conditions and internal pricing guidelines related to the performance obligations.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revenue recognition policies summarizing the nature, amount, timing and uncertainty associated with each major source of revenue from contracts with customers are described below.</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Subscription revenues primarily consist of affiliate fees received from distributors for the rights to use the Company's network programming under multi-year contracts, commonly referred to as "affiliation agreements," and subscription fees for our streaming services. Subscription revenues are earned from cable and other multichannel video programming distribution platforms, including direct broadcast satellite ("DBS"), platforms operated by telecommunications providers and virtual multichannel video programming distributors (collectively "distributors"). The Company’s streaming services are also available to subscribers through digital streaming platforms and our direct-to-consumer ("DTC") applications.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the Company’s subscription revenues relate to sales-based and usage-based royalties which are recognized on the later of (i) when the subsequent sale or usage occurs and (ii) satisfaction or partial satisfaction of the performance obligation to which some or all of the sales-based or usage-based royalty has been allocated to. Costs incurred for services provided to us by distributors, such as advertising and marketing, that are in exchange for a distinct service are recorded as expenses. If a distinct service is not received, such costs are recorded as a reduction of revenue. Occasionally, the Company incurs costs to obtain a distribution contract and these costs are amortized over the period of the related distribution contract as a reduction of revenue.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performance obligation under affiliation agreements is a license of functional intellectual property that is satisfied as the Company provides its programming over the term of the agreement. The transaction price is represented by subscription fees that are generally based upon contractual rates applied to the number of the distributor's subscribers who receive or can receive our programming ("rate-per-subscriber"), or, to a lesser extent and primarily in AMCNI affiliation agreements, fixed contractual monthly fees ("fixed fee").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rate-per-subscriber agreements, the Company applies the sales-based or usage-based royalty guidance, and accordingly, recognizes revenue in the period of the distributor’s usage, based on the subscription fee earned during the period.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Fixed fee affiliation agreements are generally billed in monthly installments, and such amounts may vary over the term of the contract. In cases where the invoice amount corresponds directly with the value to the affiliate of the performance to-date, the Company recognizes revenue based on the invoiced amount. In cases where changes in fees during the contract term do not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correspond directly to the value of the performance to-date (for example, if the fees vary over the contract term due to a significant financing or credit risk component), the Company recognizes the total amount of fixed transaction price over the contract period using a time-based (e.g., straight-line) measure of progress.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fixed fee affiliation agreements may contain guaranteed minimum fees that are recoupable during the term of the agreement, and variable fees based on rates-per-subscriber after the guaranteed minimum is recouped. The Company recognizes revenue for the fixed consideration over the minimum guarantee period and recognizes variable fees only when cumulative consideration exceeds the minimum guarantee.</w:t>
      </w:r>
    </w:p>
    <w:p>
      <w:pPr>
        <w:spacing w:after="0" w:line="6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Company's performance obligation in connection with its streaming services is a license of functional intellectual property that is satisfied as the Company provides its programming over the term of the agreement. Subscription fees for the Company's streaming services are typically based on a per subscriber fee and are generally paid by distributors and consumers on a monthly basis. The Company applies the sales-based or usage-based royalty guidance, and accordingly, recognizes revenue in the period of usage, based on the subscription fee earned during the period.</w:t>
      </w:r>
    </w:p>
    <w:p>
      <w:pPr>
        <w:spacing w:after="0" w:line="6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2025, the Company updated the definitions of "affiliate revenues" and "streaming revenues." These changes have no effect on the Company's consolidated financial statements or results of operations, or operating segment results. The impact of these changes to historical affiliate revenues and streaming revenues is not material. The new definitions are as follows:</w:t>
      </w:r>
    </w:p>
    <w:p>
      <w:pPr>
        <w:spacing w:after="0" w:line="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Affiliate revenues: </w:t>
      </w:r>
      <w:r>
        <w:rPr>
          <w:rFonts w:ascii="Times New Roman" w:cs="Times New Roman" w:eastAsia="Times New Roman" w:hAnsi="Times New Roman"/>
          <w:sz w:val="18"/>
          <w:szCs w:val="18"/>
          <w:color w:val="auto"/>
        </w:rPr>
        <w:t>Represents fees received from distributors for the rights to use the Company's programming under multi-year contracts, commonly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"affiliation agreements." Affiliate revenues also include fees received from distributors who provide access to the Company's streaming services to end users through a video package that also includes access to the Company's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spacing w:after="0" w:line="7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Streaming revenues: </w:t>
      </w:r>
      <w:r>
        <w:rPr>
          <w:rFonts w:ascii="Times New Roman" w:cs="Times New Roman" w:eastAsia="Times New Roman" w:hAnsi="Times New Roman"/>
          <w:sz w:val="18"/>
          <w:szCs w:val="18"/>
          <w:color w:val="auto"/>
        </w:rPr>
        <w:t>Represents fees for the Company's streaming services earned from the Company's direct-to-consumer platforms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streaming platform arrangements with companies that sell the Company's streaming services on the Company's behalf.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revenues from the sale of advertising time on its networks. In such arrangements, the Company generally promises to air a certain number of commercials (spots) and to generate guaranteed viewer ratings for an audience demographic (impressions) over a period that generally does not exceed one year. The promise to deliver impressions by airing spots represents the Company’s performance obligation. Advertising revenues are recognized as commercials are aired, to the extent that guaranteed viewer ratings are achieved. A contract liability is recognized to the extent the guaranteed viewer ratings are not met, and is subsequently recognized as revenue either when the Company provides the required additional advertising or the guarantee obligation contractually expires. Generally, payment terms are 30 days after revenue is earned.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Licensing and Other</w:t>
      </w:r>
    </w:p>
    <w:p>
      <w:pPr>
        <w:spacing w:after="0" w:line="106"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The Company licenses its original programming content to certain distributors, including under streaming and electronic sell-through ("EST") arrangements. For streaming licensing arrangements, our performance obligation is a license to functional intellectual property that provides the distributor the right to use our programming as it exists at a point in time. The satisfaction of the Company’s performance obligation, and related recognition of revenue, occurs at the later of the beginning of the license period, or when we provide the programming to the distributor. The Company’s performance obligation in a content license arrangement pertains to each distinct unit of content, which is generally each season of an episodic series or a film. The Company typically delivers all episodes of a season for a series concurrently and the licensee’s rights to exploit the content is the same across all of the episodes. The Company adjusts the transaction price for the time value of money in cases where license fees are paid over several years. A contract asset is recognized for the difference between the revenue recognized and the amount we are permitted to invoice.</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EST license fee arrangements, the Company applies the sales-based or usage-based royalty guidance and recognizes revenue in the period of end-customer purchases, based on the fees earned during the period.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also licenses trademarks, logos, brands, derivative character copyrights, etc. under multi-year arrangements. Under these arrangements, the Company may receive a non-refundable minimum guarantee that is recoupable against a volume-based royalty throughout the term of the agreement. The performance obligation is a license of symbolic intellectual property that provides the customer with a right to access the intellectual property. The Company adjusts the transaction price for the time value of money in cases where license fees are paid over several years. The Company recognizes revenue for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minimum guarantee on a straight-line basis over the term of the agreement, and recognizes variable fees only when cumulative consideration exceeds the minimum guarantee.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payment terms vary by the type and location of customer. Generally, payment terms mirror the term of the license agreement and may be in excess of one-year after satisfaction of the performance obligation.</w:t>
      </w:r>
    </w:p>
    <w:p>
      <w:pPr>
        <w:spacing w:after="0" w:line="54" w:lineRule="exact"/>
        <w:rPr>
          <w:sz w:val="20"/>
          <w:szCs w:val="20"/>
          <w:color w:val="auto"/>
        </w:rPr>
      </w:pPr>
    </w:p>
    <w:p>
      <w:pPr>
        <w:ind w:right="240" w:firstLine="324"/>
        <w:spacing w:after="0" w:line="375" w:lineRule="auto"/>
        <w:rPr>
          <w:sz w:val="20"/>
          <w:szCs w:val="20"/>
          <w:color w:val="auto"/>
        </w:rPr>
      </w:pPr>
      <w:r>
        <w:rPr>
          <w:rFonts w:ascii="Times New Roman" w:cs="Times New Roman" w:eastAsia="Times New Roman" w:hAnsi="Times New Roman"/>
          <w:sz w:val="18"/>
          <w:szCs w:val="18"/>
          <w:color w:val="auto"/>
        </w:rPr>
        <w:t xml:space="preserve">The Company also earns revenue from production and transmission services. Such services are recognized as revenue as the services are performed. </w:t>
      </w:r>
      <w:r>
        <w:rPr>
          <w:rFonts w:ascii="Times New Roman" w:cs="Times New Roman" w:eastAsia="Times New Roman" w:hAnsi="Times New Roman"/>
          <w:sz w:val="18"/>
          <w:szCs w:val="18"/>
          <w:b w:val="1"/>
          <w:bCs w:val="1"/>
          <w:color w:val="auto"/>
        </w:rPr>
        <w:t>Transaction Price Allocated to Future Performance Obligations</w:t>
      </w:r>
    </w:p>
    <w:p>
      <w:pPr>
        <w:spacing w:after="0" w:line="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guidance requires disclosure of the aggregate amount of transaction price that is allocated to performance obligations that have not yet been satisfied as of December 31, 2025. However, the guidance does not apply to sales-based or usage-based royalty arrangements and also provides certain practical expedients that allow companies to omit this disclosure requirement for (i) contracts with an original expected length of one year or less, (ii) contracts for which revenue is recognized at the amount to which the Company has the right to invoice for services performed and (iii) variable consideration related to a wholly unsatisfied performance obligation.</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other than contracts for which the Company has applied the practical expedients, the aggregate amount of transaction price allocated to remaining performance obligations was not material to our consolidated revenues.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 from Contracts with Customers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contract assets and contract liabilities in the consolidated balance sheets.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certain types of contracts with customers, the Company may recognize revenue in advance of the contractual right to invoice the customer, and that right is conditional upon something other than the passage of time, resulting in an amount recorded to contract assets. Once the Company has an unconditional right to consideration under a contract, the contract assets are reclassified to accounts receivable. The Company had no contract assets as of December 31, 2025 or 2024.</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transferring goods or services to the customer under the terms of a contract, a contract liability is recorded. Contract liabilities are recognized as revenue when, or as, control of the products or services is transferred to the customer and all revenue recognition criteria have been met. The primary source of the Company’s contract liabilities relates to advertising sales arrangements where the guaranteed viewer ratings are not met, and for advanced payments related to our streaming services subscriptions.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and contract liabilities from contracts with customers.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5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from contracts with customers: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30"/>
        </w:trPr>
        <w:tc>
          <w:tcPr>
            <w:tcW w:w="7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(including long-term receivables, within Other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674,631</w:t>
            </w:r>
          </w:p>
        </w:tc>
      </w:tr>
      <w:tr>
        <w:trPr>
          <w:trHeight w:val="229"/>
        </w:trPr>
        <w:tc>
          <w:tcPr>
            <w:tcW w:w="77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liabilities, short-term (Deferred revenue)</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61,838</w:t>
            </w: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recognized for the years ended December 31, 2025, 2024 and 2023, relating to the contract liabilities at the beginning of the respective periods was $47.2 million, $50.5 million and $111.4 million, respectively.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2024, we recognized revenues of $20.8 million for retroactive adjustments reported by a third party, for which our performance obligation was satisfied in a prior period.</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December 31, 2025, the Company had not yet sold any customer receivables under this agreement.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Restructuring and Other Related Charges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Restructuring and other related charges were $26.5 million for the year ended December 31, 2025, with $17.5 million related to the Company's restructuring plan in its International segment ("AMCNI Plan") designed to achieve cost reductions and streamline operations including channel re-branding and a reduction of workforce in Southern Europe, the wind-down of 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U.K. joint venture and a voluntary buyout program for employees in Argentina. The Company will incur additional restructuring charges in connection with the AMCNI Plan, which is expected to be substantially completed in the first half of 2026.</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2025, the Company announced a voluntary buyout program for U.S. employees, which is expected to result in modifications to the organizational structure of the Company and reduced employee costs. In connection with this program, the Company recognized $11.9 million of severance charges during the fourth quarter of 2025 and expects to recognize approximately $5 million of additional severance charges in 2026 for individuals providing ongoing service subsequent to December 31, 2025.</w:t>
      </w:r>
    </w:p>
    <w:p>
      <w:pPr>
        <w:spacing w:after="0" w:line="5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above charges were partially offset by a credit to restructuring expense in connection with the portion of office space that the Company previously vacated in 2023, as further discussed in Note 12 - Leases.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Restructuring and other related charges were $49.5 million for the year ended December 31, 2024, consisting of $44.2 million of content impairments and $5.3 million of severance and employee-related costs. Following the purchase of the remaining interest in BBCA in November 2024, the Company completed a strategic programming assessment and recorded a restructuring charge of $43.2 million pertaining to certain scripted original programming that no longer aligned with the channel's go-forward strategy. The remaining content impairments were recorded in connection with We TV shifting to a reduced originals strategy.</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the Company completed a restructuring plan (the "2022 Plan") that commenced on November 28, 2022. The 2022 Plan was designed to achieve significant cost reductions in light of “cord cutting” and the related impacts being felt across the media industry as well as the broader economic outlook. The 2022 Plan encompassed initiatives that included, among other things, strategic programming assessments and organizational restructuring costs. The 2022 Plan was intended to improve the organizational design of the Company through the elimination of certain roles and centralization of certain functional areas of the Company. The programming assessments pertained to a broad mix of owned and licensed content, including legacy television series and films that will no longer be in active rotation on the Company’s linear or streaming platforms.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the Company recorded restructuring and other related charges of $27.8 million related to the 2022 Plan, consisting primarily of charges relating to severance and other personnel costs, and its third quarter exiting of a portion of office space at its corporate headquarters in New York and office space in Silver Spring, Maryland and Woodland Hills, California. In connection with exiting a portion of its New York office space, the Company recorded impairment charges of $11.6 million, consisting of $9.1 million for operating lease right-of use assets and $2.5 million for leasehold improvements. Fair values used to determine the impairment charge were determined using an income approach, specifically a discounted cash flow ("DCF") model. The DCF model includes significant assumptions about sublease income and enterprise specific discount rates. Given the uncertainty in determining assumptions underlying the DCF approach, actual results may differ from those used in the valuations.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restructuring and other related charges recognized by operating 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11"/>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Operations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other related charges</w:t>
            </w: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Restructuring and other related charges (credits) that were not allocated to operating segments were ($0.6) million, $0.1 million and $20.5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accrued restructuring and other related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19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Severance and Employee-</w:t>
            </w: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Content Impairments and</w:t>
            </w:r>
          </w:p>
        </w:tc>
        <w:tc>
          <w:tcPr>
            <w:tcW w:w="420" w:type="dxa"/>
            <w:vAlign w:val="bottom"/>
          </w:tcPr>
          <w:p>
            <w:pPr>
              <w:spacing w:after="0"/>
              <w:rPr>
                <w:sz w:val="16"/>
                <w:szCs w:val="16"/>
                <w:color w:val="auto"/>
              </w:rPr>
            </w:pPr>
          </w:p>
        </w:tc>
        <w:tc>
          <w:tcPr>
            <w:tcW w:w="1420" w:type="dxa"/>
            <w:vAlign w:val="bottom"/>
            <w:vMerge w:val="restart"/>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Related Costs</w:t>
            </w:r>
          </w:p>
        </w:tc>
        <w:tc>
          <w:tcPr>
            <w:tcW w:w="220" w:type="dxa"/>
            <w:vAlign w:val="bottom"/>
          </w:tcPr>
          <w:p>
            <w:pPr>
              <w:spacing w:after="0"/>
              <w:rPr>
                <w:sz w:val="18"/>
                <w:szCs w:val="18"/>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Other Exit Costs</w:t>
            </w:r>
          </w:p>
        </w:tc>
        <w:tc>
          <w:tcPr>
            <w:tcW w:w="4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content impairment adjustments</w:t>
            </w:r>
          </w:p>
        </w:tc>
        <w:tc>
          <w:tcPr>
            <w:tcW w:w="2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26,536</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(13,039)</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Accrued restructuring and other related costs of $16.4 million and $6.2 million are included in Accrued liabilities in the consolidated balance sheets at December 31, 2025 and 2024,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Program Rights and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capitalized produced and licensed content by predominant monetization strategy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597,009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641,267</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333,568</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930,577</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974,835</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593,491</w:t>
            </w:r>
          </w:p>
        </w:tc>
      </w:tr>
      <w:tr>
        <w:trPr>
          <w:trHeight w:val="230"/>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141,243</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57,045</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791,779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1,722,356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1,766,614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1,763,084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1,766,614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140" w:type="dxa"/>
            <w:vAlign w:val="bottom"/>
          </w:tcPr>
          <w:p>
            <w:pPr>
              <w:spacing w:after="0"/>
              <w:rPr>
                <w:sz w:val="14"/>
                <w:szCs w:val="14"/>
                <w:color w:val="auto"/>
              </w:rPr>
            </w:pPr>
          </w:p>
        </w:tc>
        <w:tc>
          <w:tcPr>
            <w:tcW w:w="176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color w:val="auto"/>
              </w:rPr>
              <w:t>Predominantly</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5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Monetized Individually</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Monetized as a Group</w:t>
            </w:r>
          </w:p>
        </w:tc>
        <w:tc>
          <w:tcPr>
            <w:tcW w:w="420" w:type="dxa"/>
            <w:vAlign w:val="bottom"/>
          </w:tcPr>
          <w:p>
            <w:pPr>
              <w:spacing w:after="0"/>
              <w:rPr>
                <w:sz w:val="21"/>
                <w:szCs w:val="21"/>
                <w:color w:val="auto"/>
              </w:rPr>
            </w:pPr>
          </w:p>
        </w:tc>
        <w:tc>
          <w:tcPr>
            <w:tcW w:w="13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00" w:type="dxa"/>
            <w:vAlign w:val="bottom"/>
            <w:tcBorders>
              <w:top w:val="single" w:sz="8" w:color="auto"/>
              <w:bottom w:val="single" w:sz="8" w:color="auto"/>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9"/>
              </w:rPr>
              <w:t>Owned original program rights, net:</w:t>
            </w:r>
          </w:p>
        </w:tc>
        <w:tc>
          <w:tcPr>
            <w:tcW w:w="2900" w:type="dxa"/>
            <w:vAlign w:val="bottom"/>
            <w:tcBorders>
              <w:top w:val="single" w:sz="8" w:color="auto"/>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Completed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647,632</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712,761</w:t>
            </w: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In-production and in-development</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222,660</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owned original program rights,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870,292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935,421</w:t>
            </w: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55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auto"/>
              </w:rPr>
              <w:t>Licensed program rights, net:</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Licensed film and acquired series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543,657</w:t>
            </w:r>
          </w:p>
        </w:tc>
      </w:tr>
      <w:tr>
        <w:trPr>
          <w:trHeight w:val="229"/>
        </w:trPr>
        <w:tc>
          <w:tcPr>
            <w:tcW w:w="20" w:type="dxa"/>
            <w:vAlign w:val="bottom"/>
          </w:tcPr>
          <w:p>
            <w:pPr>
              <w:spacing w:after="0"/>
              <w:rPr>
                <w:sz w:val="19"/>
                <w:szCs w:val="19"/>
                <w:color w:val="auto"/>
              </w:rPr>
            </w:pPr>
          </w:p>
        </w:tc>
        <w:tc>
          <w:tcPr>
            <w:tcW w:w="5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Licensed originals</w:t>
            </w:r>
          </w:p>
        </w:tc>
        <w:tc>
          <w:tcPr>
            <w:tcW w:w="2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147,245</w:t>
            </w: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and other production costs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90,318</w:t>
            </w:r>
          </w:p>
        </w:tc>
      </w:tr>
      <w:tr>
        <w:trPr>
          <w:trHeight w:val="223"/>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licensed program rights, net</w:t>
            </w:r>
          </w:p>
        </w:tc>
        <w:tc>
          <w:tcPr>
            <w:tcW w:w="2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780,959</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781,220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 rights,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1,651,251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1,716,641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5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program rights,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Program rights, net (long-term)</w:t>
            </w:r>
          </w:p>
        </w:tc>
        <w:tc>
          <w:tcPr>
            <w:tcW w:w="2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1,713,952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1,716,641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including write-offs, of owned and licensed program rights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8"/>
              </w:rPr>
              <w:t>Included in Technical and operating:</w:t>
            </w:r>
          </w:p>
        </w:tc>
        <w:tc>
          <w:tcPr>
            <w:tcW w:w="31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20,449</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364,211</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461,913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826,124</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write-offs of owned original program rights and licensed program rights, included in restructuring and other related charges, were $0.7 million and $6.0 million, respectively, all of which were predominately monetized as a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7"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Pr>
          <w:p>
            <w:pPr>
              <w:spacing w:after="0"/>
              <w:rPr>
                <w:sz w:val="15"/>
                <w:szCs w:val="15"/>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81"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8"/>
              </w:rPr>
              <w:t>Included in Technical and operating:</w:t>
            </w:r>
          </w:p>
        </w:tc>
        <w:tc>
          <w:tcPr>
            <w:tcW w:w="31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74,417</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319,385</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493,490</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76,519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812,875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write-offs of owned original program rights and licensed program rights, included in restructuring and other related charges, were $38.3 million and $5.9 million, respectively, all of which were predominately monetized as a group.</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2023</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auto"/>
                <w:w w:val="99"/>
              </w:rPr>
              <w:t>Predominantly</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Predominantly</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5"/>
                <w:szCs w:val="15"/>
                <w:color w:val="auto"/>
              </w:rPr>
            </w:pPr>
          </w:p>
        </w:tc>
        <w:tc>
          <w:tcPr>
            <w:tcW w:w="160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Monetized</w:t>
            </w:r>
          </w:p>
        </w:tc>
        <w:tc>
          <w:tcPr>
            <w:tcW w:w="18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00" w:type="dxa"/>
            <w:vAlign w:val="bottom"/>
            <w:gridSpan w:val="3"/>
            <w:vMerge w:val="continue"/>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Individually</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Monetized as a Group</w:t>
            </w:r>
          </w:p>
        </w:tc>
        <w:tc>
          <w:tcPr>
            <w:tcW w:w="440" w:type="dxa"/>
            <w:vAlign w:val="bottom"/>
          </w:tcPr>
          <w:p>
            <w:pPr>
              <w:spacing w:after="0"/>
              <w:rPr>
                <w:sz w:val="21"/>
                <w:szCs w:val="21"/>
                <w:color w:val="auto"/>
              </w:rPr>
            </w:pPr>
          </w:p>
        </w:tc>
        <w:tc>
          <w:tcPr>
            <w:tcW w:w="12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68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i w:val="1"/>
                <w:iCs w:val="1"/>
                <w:color w:val="auto"/>
                <w:w w:val="98"/>
              </w:rPr>
              <w:t>Included in Technical and operating:</w:t>
            </w:r>
          </w:p>
        </w:tc>
        <w:tc>
          <w:tcPr>
            <w:tcW w:w="3100" w:type="dxa"/>
            <w:vAlign w:val="bottom"/>
            <w:tcBorders>
              <w:top w:val="single" w:sz="8" w:color="auto"/>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154,523</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282,954</w:t>
            </w:r>
          </w:p>
        </w:tc>
        <w:tc>
          <w:tcPr>
            <w:tcW w:w="1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program rights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465,519</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157,685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748,473</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expected amortization over each of the next three years of completed program rights on the consolidated balance sheets as of December 31, 2025:</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2028</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original program rights:</w:t>
            </w: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4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Predominantly Monetized Individually</w:t>
            </w:r>
          </w:p>
        </w:tc>
        <w:tc>
          <w:tcPr>
            <w:tcW w:w="17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21,597</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20,885</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30"/>
        </w:trPr>
        <w:tc>
          <w:tcPr>
            <w:tcW w:w="4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Predominantly Monetized as a Group</w:t>
            </w: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312,315</w:t>
            </w: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169,671</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79,637</w:t>
            </w:r>
          </w:p>
        </w:tc>
      </w:tr>
      <w:tr>
        <w:trPr>
          <w:trHeight w:val="270"/>
        </w:trPr>
        <w:tc>
          <w:tcPr>
            <w:tcW w:w="46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program rights:</w:t>
            </w:r>
          </w:p>
        </w:tc>
        <w:tc>
          <w:tcPr>
            <w:tcW w:w="17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4"/>
        </w:trPr>
        <w:tc>
          <w:tcPr>
            <w:tcW w:w="4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Predominantly Monetized as a Group</w:t>
            </w:r>
          </w:p>
        </w:tc>
        <w:tc>
          <w:tcPr>
            <w:tcW w:w="17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374,771</w:t>
            </w:r>
          </w:p>
        </w:tc>
        <w:tc>
          <w:tcPr>
            <w:tcW w:w="4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198,632</w:t>
            </w: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111,254</w:t>
            </w:r>
          </w:p>
        </w:tc>
      </w:tr>
    </w:tbl>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were no material write-offs included in technical and operating expense for the year ended December 31, 2025. Program rights write-offs for programming that was substantively abandoned of $20.7 million and $17.3 million were included in technical and operating expense for the years ended December 31, 2024 and 2023, respectively. For the year ended December 31, 2025, there were $6.7 million of program write-offs recorded to restructuring and other related charges, primarily related to the wind-down of a U.K. joint venture, and for the year ended December 31, 2024, there were $44.2 million of program write-offs recorded to restructuring and other related charges in connection with the Company’s strategic programming assessments following the purchase of the remaining interest in BBCA. There were no program write-offs recorded to restructuring and other related charges for the year ended December 31, 2023. See Note 4 to the consolidated financial statements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Rights Obligations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payable subsequent to December 31, 2025 related to program rights obligations included in the consolidated balance sheets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9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258,252</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99,891</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54,213</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25,810</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9"/>
        </w:trPr>
        <w:tc>
          <w:tcPr>
            <w:tcW w:w="20" w:type="dxa"/>
            <w:vAlign w:val="bottom"/>
            <w:tcBorders>
              <w:bottom w:val="single" w:sz="8" w:color="CCEEFF"/>
            </w:tcBorders>
          </w:tcPr>
          <w:p>
            <w:pPr>
              <w:spacing w:after="0"/>
              <w:rPr>
                <w:sz w:val="19"/>
                <w:szCs w:val="19"/>
                <w:color w:val="auto"/>
              </w:rPr>
            </w:pPr>
          </w:p>
        </w:tc>
        <w:tc>
          <w:tcPr>
            <w:tcW w:w="9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(including equipment under finance leases)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4"/>
        </w:trPr>
        <w:tc>
          <w:tcPr>
            <w:tcW w:w="5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8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 service and test equipment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371,994</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to 5 years</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Satellite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43,340</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Term of lease</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8 years</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29,750</w:t>
            </w:r>
          </w:p>
        </w:tc>
        <w:tc>
          <w:tcPr>
            <w:tcW w:w="1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144,709</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Term of lease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601,432</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(458,396)</w:t>
            </w: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on property and equipment (including equipment under finance leases) amounted to $63.5 million, $64.1 million and $66.9 million, for the years ended December 31, 2025, 2024 and 2023, respectively.</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2025 and 2024, the gross amount of equipment and related accumulated amortization recorded under finance leases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Satellite equipment</w:t>
            </w: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46,885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rPr>
              <w:t>43,340</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5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center"/>
              <w:ind w:left="752"/>
              <w:spacing w:after="0"/>
              <w:rPr>
                <w:sz w:val="20"/>
                <w:szCs w:val="20"/>
                <w:color w:val="auto"/>
              </w:rPr>
            </w:pPr>
            <w:r>
              <w:rPr>
                <w:rFonts w:ascii="Times New Roman" w:cs="Times New Roman" w:eastAsia="Times New Roman" w:hAnsi="Times New Roman"/>
                <w:sz w:val="18"/>
                <w:szCs w:val="18"/>
                <w:color w:val="auto"/>
              </w:rPr>
              <w:t>(34,407)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left="452"/>
              <w:spacing w:after="0"/>
              <w:rPr>
                <w:sz w:val="20"/>
                <w:szCs w:val="20"/>
                <w:color w:val="auto"/>
              </w:rPr>
            </w:pPr>
            <w:r>
              <w:rPr>
                <w:rFonts w:ascii="Times New Roman" w:cs="Times New Roman" w:eastAsia="Times New Roman" w:hAnsi="Times New Roman"/>
                <w:sz w:val="18"/>
                <w:szCs w:val="18"/>
                <w:color w:val="auto"/>
                <w:w w:val="97"/>
              </w:rPr>
              <w:t>(31,645)</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gridSpan w:val="2"/>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rPr>
              <w:t>12,478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6"/>
              </w:rPr>
              <w:t>11,695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Goodwill and Other Intangible Assets</w:t>
            </w:r>
          </w:p>
        </w:tc>
        <w:tc>
          <w:tcPr>
            <w:tcW w:w="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carrying amount of goodwill, by operating segment is as follows:</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52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626,496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(102,004)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5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166,266</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w:t>
            </w:r>
          </w:p>
        </w:tc>
        <w:tc>
          <w:tcPr>
            <w:tcW w:w="5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520" w:type="dxa"/>
            <w:vAlign w:val="bottom"/>
            <w:tcBorders>
              <w:top w:val="single" w:sz="8" w:color="auto"/>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166,809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accumulated impairment charges totaled $649.6 million, with $268.7 million attributed to the Domestic Operations operating segment and $380.9 million attributed to the International operating segment. As of December 31, 2024, accumulated impairment charges totaled $556.2 million, with $268.7 million attributed to the Domestic Operations operating segment and $287.5 million attributed to the International operating segment. The amounts attributed to the International operating segment are inclusive of the 25/7 Media impairment charges recorded in 2023 prior to the divestiture of that business in December 2023.</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Impairment Test of Goodwill</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Goodwill is not amortized, but instead is tested for impairment at the reporting unit level annually as of December 1, or more frequently upon the occurrence of certain events or substantive changes in circumstances.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1, 2025, the Company performed a quantitative assessment for all of its reporting units. Based on the valuations performed, the Company concluded that the estimated fair value of the AMCNI reporting unit declined to less than its carrying amount. The decrease in the estimated fair value reflects current and expected trends across the media industry, including continued softness across the international television broadcasting markets resulting in lower expected future cash flows incorporated into the fourth quarter preparation of the Company's budget and long-range plan, as well as a decrease in the valuation multiples used to estimate fair value using the market approach. As a result, the Company recognized an impairment charge of $93.4 million related to the AMCNI reporting unit, included in Impairment and other charges in the consolidated statements of income (loss). For the Domestic Operations reporting unit, the Company concluded that the estimated fair value of the reporting unit exceeded its respective carrying value by 6%, and therefore no impairment charge was required. The fair value estimate for the Domestic Operations reporting unit is sensitive to assumptions regarding future growth rates and the weighted-average cost of capital ("WACC"). A decrease in the expected annual growth rate or an increase in the WACC would make it reasonably possible that the Company could record an impairment charge in future periods.</w:t>
      </w:r>
    </w:p>
    <w:p>
      <w:pPr>
        <w:spacing w:after="0" w:line="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1, 2024, the Company performed a quantitative assessment for all of its reporting units. Based on the valuations performed, the Company concluded that the estimated fair value of the Domestic Operations and AMCNI reporting units declined to less than their carrying amounts. The decrease in the estimated fair values reflect current and expected trends across the media industry, including continued softness in the domestic linear marketplace and across the international television broadcasting markets resulting in lower expected future cash flows, as well as a decrease in the valuation multiples used to estimate the fair values using the market approach for the Domestic Operations reporting unit. As a result, the Company recognized impairment charges of $268.7 million and $34.0 million related to the Domestic Operations and AMCNI reporting units, respectively, included in Impairment and other charges in the consolidated statements of income (loss).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during the second quarter of 2024, the Company determined that a triggering event had occurred with respect to the Company's decline in stock price, which required an interim goodwill impairment test to be performed. Accordingly, the Company performed quantitative assessments for all reporting units. Based on the valuations performed, the Company concluded that the estimated fair value of the AMCNI reporting unit declined to less than its carrying amount. As a result, the Company recognized an impairment charge of $68.0 million related to the AMCNI reporting unit, included in Impairment and other charges in the consolidated statements of income (loss).</w:t>
      </w:r>
    </w:p>
    <w:p>
      <w:pPr>
        <w:spacing w:after="0" w:line="75"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As of December 1, 2023, the Company performed a quantitative assessment for all of its reporting units. Based on the valuations performed, the Company concluded that the estimated fair value of the 25/7 Media reporting unit further declined from the interim assessment performed (as described below). The decrease in the estimated fair value reflected the continued decline in market conditions and business outlook and contemplation of concurrent negotiations with the noncontrolling interest holders for the sale of the Company's remaining interest. As a result, the Company recognized an impairment charge of $19.8 million related to the 25/7 Media reporting unit, reflecting a write-down of substantially all of the goodwill associated with the 25/7 Media reporting unit. The remaining $2.4 million of goodwill was eliminated upon the sale of the Company's remaining interest. The impairment charge was included in Impairment and other charges in the consolidated statements of income (loss), within the International operating segment. No impairment charges were required for any of the Company's other reporting units.</w:t>
      </w:r>
    </w:p>
    <w:p>
      <w:pPr>
        <w:spacing w:after="0" w:line="92"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During the second quarter of 2023, the Company determined that a triggering event had occurred with respect to the 25/7 Media reporting unit in the International segment, which required an interim goodwill impairment test to be performed. Accordingly, the Company performed a quantitative assessment using an income approach, specifically a DCF, and a market comparables approach. Based on the valuations performed, a $1.9 million goodwill impairment charge was recorded, which is included in Impairment and other charges in the consolidated statements of income (loss), within the International operating segment.</w:t>
      </w:r>
    </w:p>
    <w:p>
      <w:pPr>
        <w:spacing w:after="0" w:line="7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fair values outlined above were all determined using a combination of an income approach, using a DCF, and a market comparables approach. The DCF model includes significant assumptions about revenue growth rates, long-term growth rates and enterprise specific discount rates. Additionally, the market comparables approach is determined using guideline company valuation multiples. Given the uncertainty in determining assumptions underlying the DCF approach, actual results may differ from those used in the valuations.</w:t>
      </w:r>
    </w:p>
    <w:p>
      <w:pPr>
        <w:spacing w:after="0" w:line="8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determination of fair value of the Company's reporting units represents a Level 3 fair value measurement in the fair value hierarchy due to its use of internal projections and unobservable measurement inputs. Changes in significant judgments and estimates could significantly impact the concluded fair value of the reporting unit. Changes to assumptions that would decrease the fair value of the reporting unit would result in corresponding increases to the impairment of goodwill at the reporting unit.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relating to the Company's identifiable intangible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6"/>
                <w:szCs w:val="16"/>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vMerge w:val="restart"/>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6"/>
                <w:szCs w:val="16"/>
                <w:color w:val="auto"/>
              </w:rPr>
            </w:pPr>
          </w:p>
        </w:tc>
        <w:tc>
          <w:tcPr>
            <w:tcW w:w="1540" w:type="dxa"/>
            <w:vAlign w:val="bottom"/>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0" w:type="dxa"/>
            <w:vAlign w:val="bottom"/>
          </w:tcPr>
          <w:p>
            <w:pPr>
              <w:spacing w:after="0"/>
              <w:rPr>
                <w:sz w:val="1"/>
                <w:szCs w:val="1"/>
                <w:color w:val="auto"/>
              </w:rPr>
            </w:pPr>
          </w:p>
        </w:tc>
      </w:t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(498,146)</w:t>
            </w: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to 25 years</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(53,307)</w:t>
            </w:r>
          </w:p>
        </w:tc>
        <w:tc>
          <w:tcPr>
            <w:tcW w:w="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(597,735)</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3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w w:val="85"/>
              </w:rPr>
              <w:t>(1)</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(602,135)</w:t>
            </w:r>
          </w:p>
        </w:tc>
        <w:tc>
          <w:tcPr>
            <w:tcW w:w="3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184,803</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 Related to an impairment charge recorded on the Company's SundanceTV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-86995</wp:posOffset>
            </wp:positionV>
            <wp:extent cx="33686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8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6"/>
                <w:szCs w:val="16"/>
                <w:color w:val="auto"/>
              </w:rPr>
            </w:pPr>
          </w:p>
        </w:tc>
        <w:tc>
          <w:tcPr>
            <w:tcW w:w="2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610,048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(456,052)</w:t>
            </w:r>
          </w:p>
        </w:tc>
        <w:tc>
          <w:tcPr>
            <w:tcW w:w="3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153,996</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Advertiser relationships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jc w:val="right"/>
              <w:ind w:right="1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Trade names and other amortizable intangible assets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(46,169)</w:t>
            </w:r>
          </w:p>
        </w:tc>
        <w:tc>
          <w:tcPr>
            <w:tcW w:w="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42,582</w:t>
            </w: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(548,503)</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196,578</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764,981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(548,503)</w:t>
            </w:r>
          </w:p>
        </w:tc>
        <w:tc>
          <w:tcPr>
            <w:tcW w:w="3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216,478</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Excluding impairment charges (as described below), aggregate amortization expense for amortizable intangible assets for the years ended December 31, 2025, 2024 and 2023 was $31.0 million, $33.9 million and $40.5 million,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Estimated aggregate amortization expense for intangible assets subject to amortization for each of the following five years 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4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30,355</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23,217</w:t>
            </w:r>
          </w:p>
        </w:tc>
      </w:tr>
      <w:tr>
        <w:trPr>
          <w:trHeight w:val="229"/>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7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19,897</w:t>
            </w:r>
          </w:p>
        </w:tc>
      </w:tr>
      <w:tr>
        <w:trPr>
          <w:trHeight w:val="230"/>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72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Identifiable Indefinite-Lived Intangible Assets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1, 2025, the Company performed a quantitative assessment for its indefinite-lived intangible assets. Based on the annual impairment test performed, the Company recorded a $4.4 million impairment charge in its Domestic Operations operating segment related to its SundanceTV trademarks, which were valued using a relief-from-royalty method in which the expected benefits are valued by discounting estimated royalty revenue relating to projected revenues covered by the trademarks.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Significant judgments inherent in estimating the fair value of indefinite-lived intangible assets include the selection of appropriate discount and royalty rates, estimating the amount and timing of future revenues and identification of appropriate continuing growth rate assumptions. The discount rates used in the analysis are intended to reflect the risk inherent in the projected future cash flows generated by the respective intangible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 of Long-Lived Assets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2024 and 2023, the Company recorded long-lived assets impairment charges for partially owned consolidated subsidiaries, BBCA and 25/7 Media, of $71.6 million and $23.0 million, respectively. No impairment charges for long-lived assets were required in 2025.</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BBCA</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given continued market challenges and linear declines, the Company determined that sufficient indicators of potential impairment of long-lived assets existed at BBCA, and concluded that the carrying amount of the BBCA asset group was not recoverable. The carrying value of the BBCA asset group exceeded its fair value, and accordingly an impairment charge of $15.7 million was recorded for identifiable intangible assets and $13.5 million for other long-lived assets, which is included in Impairment and other charges in the consolidated statements of income (loss) within the Domestic Operations operating segment. Fair values were determined using a market approach.</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fourth quarter of 2023, given continued market challenges and linear declines, the Company revised its outlook for its BBCA linear programming network, resulting in lower expected future cash flows. As a result, the Company determined that sufficient indicators of potential impairment of long-lived assets existed at BBCA. The Company performed a recoverability test and determined that the carrying amount of the BBCA asset group was not recoverable. The carrying value of the asset group exceeded its fair value, therefore an impairment charge of $42.4 million was recorded for identifiable intangible assets and other long-lived assets, which is included in Impairment and other charges in the consolidated statements of income (loss) within the Domestic Operations operating segment. Fair values used to determine the impairment charge were determined using an income approach, specifically a DCF model.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25/7 Media</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2023, given the impact of market challenges at 25/7 Media, specifically relating to reduced demand for new content and series cancellations from third parties, the Company revised its outlook for the 25/7 Media production services business, resulting in lower expected future cash flows. As a result, the Company determined that sufficient indicators of potential impairment of long-lived assets existed at 25/7 Media. The Company performed a recoverability test and determined that the carrying amount of the 25/7 Media asset group was not recoverable. The carrying value of the asset group exceeded its fair value, therefore an impairment charge of $23.0 million was recorded for identifiable intangible assets, which is included in Impairment and other charges in the consolidated statements of income (loss) within the International operating segment. Fair values used to determine the impairment charge were determined using an income approach, specifically a DCF model, and a market comparables approach. The DCF model includes significant assumptions about revenue growth rates, long-term growth rates and enterprise specific discount rates. Given the uncertainty in determining assumptions underlying the DCF approach, actual results may differ from those used in the valuations.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79,873</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Participations and residuals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118,101</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60,485</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26,038</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290,718</w:t>
            </w: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long-term debt consists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58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60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 xml:space="preserve">Senior Secured Credit Facility: </w:t>
            </w:r>
            <w:r>
              <w:rPr>
                <w:rFonts w:ascii="Times New Roman" w:cs="Times New Roman" w:eastAsia="Times New Roman" w:hAnsi="Times New Roman"/>
                <w:sz w:val="23"/>
                <w:szCs w:val="23"/>
                <w:color w:val="auto"/>
                <w:vertAlign w:val="superscript"/>
              </w:rPr>
              <w:t>(a)</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10.25% Senior Secured Notes due January 2029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875,000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4.25% Senior Notes due February 2029</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985,010</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4.25% Convertible Senior Notes due February 2029</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143,750</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10.50% Senior Secured Notes due July 2032</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1,778,251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2,369,385</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discount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2,336,219</w:t>
            </w:r>
          </w:p>
        </w:tc>
      </w:tr>
      <w:tr>
        <w:trPr>
          <w:trHeight w:val="22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2,328,719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409"/>
        <w:spacing w:after="0" w:line="266" w:lineRule="auto"/>
        <w:tabs>
          <w:tab w:leader="none" w:pos="6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principal amount of the debt, with maturities of the Term Loan A Facility of $82.8 million due April 2028. The Company also had commitments under its undrawn $175.0 million Revolving Credit Facility. Total undrawn revolver commitments are available to be drawn for general corporate purposes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1 - 2021</w:t>
      </w:r>
    </w:p>
    <w:p>
      <w:pPr>
        <w:spacing w:after="0" w:line="121"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In February 2021, AMC Networks entered into Amendment No. 1 (“Amendment No. 1”) to the Second Amended and Restated Credit Agreement, dated as of July 28, 2017 (as amended, the "Credit Agreement"), among AMC Networks and its subsidiary, AMC Network Entertainment LLC ("AMC Network Entertainment"), as the initial borrowers (the "Initial Borrowers"), certain of AMC Networks' subsidiaries, as restricted subsidiaries, JPMorgan Chase Bank, N.A., as Administrative Agent, Collateral Agent and L/C Issuer, Bank of America, as an L/C Issuer, and the lenders party thereto. Amendment No. 1 extended the maturity dates of the $675 million Term Loan A Facility and $500 million Revolving Credit Facility (each as defined below) under the Credit Agreement to February 8, 2026, and made certain other amendments to the covenants and other provisions of the Credit Agreement.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2 - 2023</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April 2023, AMC Networks entered into Amendment No. 2 ("Amendment No. 2") to the Credit Agreement. Amendment No. 2 (i) reduced the aggregate principal amount of the revolving loan commitments under the Credit Agreement (the "Revolving Credit Facility") from $500 million to $400 million, (ii) replaced the interest rate based on London Interbank Offered Rate with an interest rate based on the Secured Overnight Financing Rate ("SOFR"), (iii) increased the Company's ability to incur additional debt in the future to provide additional flexibility for future financings, including increasing the amount of the incremental debt basket to the greater of $1.2 billion and the amount that would not cause the senior secured leverage ratio to exceed 3.00 to 1.00 on a pro forma basis and (iv) made certain other modifications to the Credit Agreement. In connection with the modification of the revolving loan commitments, the Company recorded $0.6 million to write-off a portion of the unamortized deferred financing costs, which is included in interest expense within the consolidated statements of income (loss) for the year ended December 31,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3 - 2024</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April 9, 2024, AMC Networks entered into Amendment No. 3 ("Amendment No. 3") to the Credit Agreement. In connection with Amendment No. 3, AMC Networks made a $165.6 million partial prepayment of the Term Loan A facility under the Credit Agreement (the “Term Loan A Facility”), bringing the total principal amount outstanding under the Term Loan A Facility to $425 million, and reduced the Revolving Credit Facility to $175 million. In addition, pursuant to Amendment No. 3, the maturity date of $325 million principal amount of loans under the Term Loan A Facility as well as all of the commitments under the Revolving Credit Facility was extended to April 9, 2028 (referred to as "Term Loan A (Extended)"). The maturity date of the remaining $100 million principal amount of loans under the Term Loan A Facility continues to be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February 8, 2026 (referred to as "Term Loan A (Non-Extended)"). Amendment No. 3 also includes certain other modifications to covenants and other provisions of the Credit Agreement. In connection with the $165.6 million partial prepayment of the Term Loan A Facility and the modification of the revolving loan commitments, the Company recorded a charge of $1.3 million to write off a portion of the unamortized discount and deferred financing costs associated with the Credit Agreement, which is included in Gain (loss) on extinguishment of debt, net within the consolidated statements of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4 - 2024</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26, 2024, the Company entered into Amendment No. 4 to the Credit Agreement, pursuant to which certain modifications were made to the schedules listing the Company’s restricted and unrestricted subsidiaries to reflect recent changes to the Company’s corporate structure.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No. 5 - 2025</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29, 2025, the Company entered into Amendment No. 5 (“Amendment No. 5”) to the Credit Agreement. The Company continues to maintain $175.0 million of commitments under the Revolving Credit Facility. Pursuant to Amendment No. 5, the maturity date of $111.8 million of such commitments was extended to the earlier of (i) October 29, 2030 and (ii) the date that is 90 days prior to the maturity date of any capital markets indebtedness of AMC Networks Inc. with an aggregate outstanding principal amount exceeding $50.0 million. The remaining $63.2 million of commitments under the Revolving Credit Facility retained their existing maturity date of April 9, 2028.</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repurchased and permanently retired term loans held by certain lenders that consented to the maturity extension noted above, in an aggregate principal amount equal to $165.7 million, at a price equal to the principal amount thereof plus accrued and unpaid interest. The remaining $85.6 million principal amount, $2.8 million of which was subsequently repaid during the fourth quarter of 2025 in accordance with the revised contractual payment schedule, retained their existing maturity date of April 9, 2028. In connection with the $165.7 million partial prepayment of the Term Loan A Facility and the modification of the revolving loan commitments, the Company recorded a charge of $1.3 million to write off a portion of the unamortized discount and deferred financing costs associated with the Credit Agreement, which is included in Gain (loss) on extinguishment of debt, net within the consolidated statements of income (loss).</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Amendment No. 5 also includes certain other modifications to covenants and other provisions of the Credit Agreement, including a reduction in the minimum interest coverage ratio from 2.00:1.00 to 1.50:1.00, with a step-up to 1.75:1.00 for fiscal quarters ending on or after December 31, 2028.</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and prior to the execution of Amendment No. 5, the Company voluntarily prepaid the remaining $90.0 million of borrowings under the Term Loan A Facility consisting of the non-extended portion originally due in February 2026, $20.0 million of which was paid in May 2025 and the remaining $70.0 million of which was paid in July 2025. In connection with the voluntary prepayments, the Company recorded a charge of $0.4 million to write-off a portion of the unamortized discount and deferred financing costs associated with the Term Loan A Facility consisting of the non-extended portion originally due in February 2026, which is included in Gain (loss) on extinguishment of debt, net in the consolidated statements of income (loss). Additionally, during the year ended December 31, 2025, the Company continued to make quarterly payments of the principal amount in accordance with the contractual payment schedule totaling $27.1 million.</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Borrowings for the amounts due April 2028 bear interest at (a) a base rate plus an additional rate ranging from 1.75% to 2.50% per annum (determined based on a cash flow ratio) (the "Base Rate"), or (b) a SOFR rate plus an additional rate ranging from 2.75% to 3.50% per annum (determined based on a cash flow ratio) (the "SOFR Rate").</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Credit Agreement requires the Initial Borrowers to pay a commitment fee of between 0.25% and 0.375% (determined based on a cash flow ratio) in respect of the average daily unused commitments under the Revolving Credit Facility. The Initial Borrowers also are required to pay customary letter of credit fees, as well as fronting fees, to banks that issue letters of credit pursuant to the Credit Agreement.</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Credit Agreement contains certain affirmative and negative covenants applicable to AMC Networks and its restricted subsidiaries. These include restrictions on AMC Networks and its restricted subsidiaries'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AMC Networks and its restricted subsidiaries, on a consolidated basis to comply with the following financial covenants: (i) a maximum ratio of Net Debt to Annual Adjusted Operating Income (each defined in the Credit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Agreement) ("Net Leverage Ratio") of 5.25:1.00 from January 1, 2021 through December 31, 2021 and decreasing to 5.00:1.00 on and after January 1, 2022 to but excluding the Amendment No. 3 effective date. From the Amendment No.3 effective date through March 31, 2026, the maximum Net Leverage Ratio is 5.75:1.00, decreasing thereafter to 5.50:1.00, subject to increase (not to exceed 6.00:1.00) if AMC Networks consummates any leveraging acquisition; and (ii) a minimum ratio of Annual Adjusted Operating Income to Annual Total Interest Expense (each defined in the Credit Agreement) ("Interest Coverage Ratio") of 2.50:1.00 through the quarter ending June 30, 2024, 2.00:1.00 for each quarter ending September 30, 2024 through September 30, 2025, and beginning with the Amendment No. 5 effective date, 1.50:1.00 for each quarter ending December 31, 2025 through September 30, 2028, with a step-up to 1.75:1.00 for fiscal quarters ending on or after December 31, 2028. AMC Networks was in compliance with all of its financial covenants under the Credit Facility as of December 31, 2025 and 2024.</w:t>
      </w:r>
    </w:p>
    <w:p>
      <w:pPr>
        <w:spacing w:after="0" w:line="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Revolving Credit Facility was not drawn upon at December 31, 2025 or December 31, 2024. The total undrawn revolver commitment is available to be drawn for our general corporate purposes.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10.50% Senior Secured Notes due 2032</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3, 2025, AMC Networks completed an offering of $400.0 million aggregate principal amount of its 10.500% Senior Secured Notes due 2032 (the “2032 Secured Notes”). AMC Networks received net proceeds of $394.5 million, after deducting initial purchaser discounts. The 2032 Secured Notes are guaranteed by AMC Network Entertainment and AMC Networks' subsidiaries that guarantee the Credit Agreement (the "Guarantors").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2032 Secured Notes were issued pursuant to an Indenture, dated as of July 3, 2025 (the “2032 Secured Notes Indenture”), among AMC Networks, the Guarantors and U.S. Bank Trust Company, National Association, as Trustee.</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2032 Secured Notes accrue interest at a rate of 10.500% per annum and mature on July 15, 2032. Interest is payable semiannually on January 15 and July 15 of each year, commencing on January 15, 2026. The 2032 Secured Notes are AMC Networks’ general senior secured obligations, secured on a first-priority basis by substantially all of AMC Networks’ and the Guarantors’ assets and property (the “Collateral”), subject to certain liens permitted under the 2032 Secured Notes Indenture, and will rank equally with all of AMC 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2032 Secured Notes, in each case, to the extent of the value of the Collateral.</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or after July 15, 2028, AMC Networks may redeem the 2032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July 15 of the years indicated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580" w:type="dxa"/>
            <w:vAlign w:val="bottom"/>
            <w:tcBorders>
              <w:bottom w:val="single" w:sz="8" w:color="auto"/>
            </w:tcBorders>
            <w:shd w:val="clear" w:color="auto" w:fill="CCEEFF"/>
          </w:tcPr>
          <w:p>
            <w:pPr>
              <w:jc w:val="center"/>
              <w:ind w:left="2615"/>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31"/>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80" w:type="dxa"/>
            <w:vAlign w:val="bottom"/>
          </w:tcPr>
          <w:p>
            <w:pPr>
              <w:jc w:val="center"/>
              <w:ind w:left="2635"/>
              <w:spacing w:after="0"/>
              <w:rPr>
                <w:sz w:val="20"/>
                <w:szCs w:val="20"/>
                <w:color w:val="auto"/>
              </w:rPr>
            </w:pPr>
            <w:r>
              <w:rPr>
                <w:rFonts w:ascii="Times New Roman" w:cs="Times New Roman" w:eastAsia="Times New Roman" w:hAnsi="Times New Roman"/>
                <w:sz w:val="18"/>
                <w:szCs w:val="18"/>
                <w:color w:val="auto"/>
              </w:rPr>
              <w:t>105.250%</w:t>
            </w:r>
          </w:p>
        </w:tc>
      </w:tr>
      <w:tr>
        <w:trPr>
          <w:trHeight w:val="22"/>
        </w:trPr>
        <w:tc>
          <w:tcPr>
            <w:tcW w:w="4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23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580" w:type="dxa"/>
            <w:vAlign w:val="bottom"/>
            <w:tcBorders>
              <w:bottom w:val="single" w:sz="8" w:color="CCEEFF"/>
            </w:tcBorders>
            <w:shd w:val="clear" w:color="auto" w:fill="CCEEFF"/>
          </w:tcPr>
          <w:p>
            <w:pPr>
              <w:jc w:val="center"/>
              <w:ind w:left="2635"/>
              <w:spacing w:after="0"/>
              <w:rPr>
                <w:sz w:val="20"/>
                <w:szCs w:val="20"/>
                <w:color w:val="auto"/>
              </w:rPr>
            </w:pPr>
            <w:r>
              <w:rPr>
                <w:rFonts w:ascii="Times New Roman" w:cs="Times New Roman" w:eastAsia="Times New Roman" w:hAnsi="Times New Roman"/>
                <w:sz w:val="18"/>
                <w:szCs w:val="18"/>
                <w:color w:val="auto"/>
              </w:rPr>
              <w:t>102.625%</w:t>
            </w: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4580" w:type="dxa"/>
            <w:vAlign w:val="bottom"/>
          </w:tcPr>
          <w:p>
            <w:pPr>
              <w:jc w:val="center"/>
              <w:ind w:left="2635"/>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3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optional redemption of the 2032 Secured Notes described above, at any time prior to July 15, 2028, AMC Networks may redeem up to 40% of the aggregate principal amount of the 2032 Secured Notes at a redemption price equal to 110.500% of the principal amount thereof, plus accrued and unpaid interest and additional interest, if any, using the net proceeds of certain equity offerings. At any time prior to July 15, 2028, AMC Networks may also redeem up to 10% of the aggregate principal amount of the 2032 Secured Notes during any twelve month period at a redemption price equal to 103.000% of the aggregate principal amount thereof, plus accrued and unpaid interest thereon to, but excluding, the redemption date.</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Finally, at any time prior to July 15, 2028, AMC Networks may redeem the 2032 Secured Notes, at its option in whole or in part, at any time and from time to time, at a redemption price equal to 100% of the principal amount thereof to be redeemed plus the “Applicable Premium” calculated as described in the 2032 Secured Notes Indenture at the Treasury rate + 50 basis points, and accrued and unpaid interest thereon, if any, to, but excluding, the redemption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10.25% Senior Secured Notes due 2029</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April 9, 2024, AMC Networks issued $875 million aggregate principal amount of 10.25% Senior Secured Notes due 2029 (the “Secured Notes”). AMC Networks received net proceeds of $863 million, after deducting initial purchasers' discounts. The Secured Notes are guaranteed by AMC Network Entertainment and AMC Networks' subsidiaries that guarantee the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Secured Notes were issued pursuant to an indenture, dated as of April 9, 2024 (the “Secured Notes Indenture”), among AMC Networks, the Guarantors and U.S. Bank Trust Company, National Association, as Trustee.</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Secured Notes accrue interest at a rate of 10.25% per annum and mature on January 15, 2029. Interest is payable semiannually on January 15 and July 15 of each year, commencing on July 15, 2024. The Secured Notes are AMC Networks’ general senior secured obligations, secured on a first-priority basis by substantially all of AMC Networks’ and the Guarantors’ assets and property, subject to certain liens permitted under the Secured Notes Indenture, and rank equally with all of AMC Networks’ existing and future senior indebtedness, senior in right of payment to AMC Networks’ future subordinated indebtedness and effectively senior to any of AMC Networks’ existing and future unsecured indebtedness or indebtedness that is secured by a lien ranking junior to the lien securing the Secured Notes, in each case, to the extent of the value of the collateral.</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or after January 15, 2026, AMC Networks may redeem the Secured Notes, at its option, in whole or in part, at any time and from time to time, at the redemption prices (expressed as percentages of principal amount) set forth below, plus accrued and unpaid interest thereon, to the applicable redemption date, if redeemed during the twelve month period beginning on January 15 of the years indicated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Percentage</w:t>
            </w:r>
          </w:p>
        </w:tc>
      </w:tr>
      <w:tr>
        <w:trPr>
          <w:trHeight w:val="226"/>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105.125%</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102.563%</w:t>
            </w: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100.000%</w:t>
            </w:r>
          </w:p>
        </w:tc>
      </w:tr>
    </w:tbl>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addition to the optional redemption of the Secured Notes described above, at any time prior to January 15, 2026, AMC Networks may redeem up to 40% of the aggregate principal amount of the Secured Notes at a redemption price equal to 110.250% of the principal amount thereof, plus accrued and unpaid interest and additional interest, if any, using the net proceeds of certain equity offerings. At any time prior to January 15, 2026, AMC Networks may also redeem up to 10% of the aggregate principal amount of the Secured Notes during any twelve month period at a redemption price equal to 103.000% of the aggregate principal amount thereof, plus accrued and unpaid interest thereon to, but excluding, the redemption date.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Finally, at any time prior to January 15, 2026, AMC Networks may redeem the Secured Notes, at its option in whole or in part, at any time, at a redemption price equal to 100% of the principal amount thereof to be redeemed plus the “Applicable Premium” calculated as described in the Secured Notes Indenture at the Treasury rate + 50 basis points, and accrued and unpaid interest thereon, if any, to, but excluding, the redemption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terms</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senior notes are guaranteed on a senior unsecured basis by the guarantors, in accordance with the related indenture. The guarantees are full and unconditional and joint and several. The indentures governing each of the senior notes contain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Convertible Senior Notes due 2029</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June 21, 2024, the Company completed a private unregistered offering of $143.8 million aggregate principal amount of its Convertible Notes, which amount includes the full exercise of the initial purchasers’ option to purchase additional Convertible Notes. The Company received net proceeds of $139.4 million, after deducting initial purchasers' discounts. The Convertible Notes are guaranteed by each of the Company’s existing and future domestic subsidiaries that guarantee the Company’s credit facilities and the Company’s 4.25% Senior Notes due 2029 and the Secured Notes (the “Guarantors”), subject to certain exceptions, on a senior, unsecured basis.</w:t>
      </w:r>
    </w:p>
    <w:p>
      <w:pPr>
        <w:spacing w:after="0" w:line="7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Convertible Notes were issued pursuant to an indenture, dated as of June 21, 2024 (the “Convertible Notes Indenture”), among the Company, the Guarantors and U.S. Bank Trust Company, National Association, as trustee (“Trustee”).</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Convertible Notes bear interest at a rate of 4.25% per year, payable semi-annually in arrears on February 15 and August 15 of each year, beginning on February 15, 2025. The Convertible Notes will mature on February 15, 2029, unless earlier redeemed, repurchased or converted.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Subject to the terms of the Convertible Notes Indenture, the Convertible Notes may be converted at an initial conversion rate of 78.5083 shares of Class A common stock, par value $0.01 per share, of the Company (“Class A Common Stock”) per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$1,000 principal amount of Convertible Notes (equivalent to an initial conversion price of approximately $12.74 per share of Class A Common Stock). Upon conversion of the Convertible Notes, the Company will pay or deliver, as the case may be, cash, shares of Class A Common Stock or a combination of cash and shares of Class A Common Stock, at the Company’s election, as described in the Convertible Notes Indenture. Holders of the Convertible Notes may convert their Convertible Notes at their option at any time on or after November 15, 2028 until the close of business on the second scheduled trading day immediately preceding the maturity date. Holders of the Convertible Notes will also have the right to convert the Convertible Notes prior to November 15, 2028, but only upon the occurrence of specified events described in the Convertible Notes Indenture. The conversion rate is subject to antidilution adjustments if certain events occur.</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Prior to August 20, 2027, the Convertible Notes will not be redeemable. On or after August 20, 2027, the Company may redeem for cash all or part of the Convertible Notes (subject to certain exceptions), at its option, if the last reported sale price of the Class A Common Stock has been at least 130% of the conversion price then in effect for at least 20 trading days (whether or not consecutive) during any period of 30 consecutive trading days (including the last trading day of such period) ending on, and including, the trading day immediately preceding the date on which the Company provides notice of redemption at a redemption price equal to 100% of the principal amount of the Convertible Notes to be redeemed, plus accrued and unpaid interest to, but not including, the redemption date. No sinking fund is provided for the Convertible Notes.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If certain corporate events (each defined in the Convertible Notes Indenture as a “Make-Whole Fundamental Change”) occur prior to the maturity date of the Convertible Notes, and a holder elects to convert its Convertible Notes in connection with such corporate event, the Company will, under certain circumstances, increase the conversion rate for the Convertible Notes so surrendered for conversion by a number of additional shares of Class A Common Stock as specified in the Convertible Notes Indenture. No adjustment to the conversion rate will be made if the price paid or deemed to be paid per share of Class A Common Stock in such corporate event is either less than $10.19 per share or exceeds $130.00 per share.</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a specified “Fundamental Change” (as defined in the Convertible Notes Indenture) occurs prior to the maturity date of the Convertible Notes, under certain circumstances each holder may require the Company to repurchase all or part of its Convertible Notes at a repurchase price equal to 100% of the principal amount, plus accrued and unpaid interest to, but not including, the repurchase date.</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Under the Convertible Notes Indenture, the Convertible Notes may be accelerated upon the occurrence of certain events of default. In the case of an event of default with respect to the Convertible Notes arising from specified events of bankruptcy or insolvency of the Company or the Company’s Significant Subsidiaries (as defined in the Convertible Notes Indenture), 100% of the principal of and accrued and unpaid interest on the Convertible Notes will automatically become due and payable. If any other event of default with respect to the Convertible Notes under the Convertible Notes Indenture occurs or is continuing, the Trustee or holders of at least 25% in aggregate principal amount of the then outstanding Convertible Notes may declare the principal amount of and accrued and unpaid interest, if any, on the Convertible Notes to be immediately due and payable.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4.25% Senior Notes due 2029</w:t>
      </w:r>
    </w:p>
    <w:p>
      <w:pPr>
        <w:spacing w:after="0" w:line="1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February 8, 2021, AMC Networks issued and certain of AMC Networks’ subsidiaries (hereinafter, the “Guarantors”) guaranteed $1.0 billion aggregate principal amount of 4.25% senior notes due February 15, 2029 (the “Senior Notes”) in a registered public offering and received net proceeds of $982.3 million, after deducting underwriting discounts and commissions and expenses. The Company used such proceeds to redeem (i) the remaining $400 million principal amount of the Company’s 4.75% senior notes due 2022 and (ii) $600 million principal amount of the Company’s 5.00% senior notes due 2024 on February 26, 2021 (the "Redemption Date"). The 4.75% senior notes due 2022 were redeemed at a redemption price of 100.000% of the principal amount of such notes and the 5.00% senior notes due 2024 were redeemed at a redemption price of 102.500% of the principal amount of such notes, in each case, plus accrued and unpaid interest to, but excluding, the Redemption Date.</w:t>
      </w:r>
    </w:p>
    <w:p>
      <w:pPr>
        <w:spacing w:after="0" w:line="8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may be redeemed, at AMC Networks' option, in whole or in part, at any time on or after February 15, 2024, at a redemption price equal to 102.125% of the principal amount thereof (plus accrued and unpaid interest thereon, if any, to the date of such redemption), declining annually to 100% of the principal amount thereof (plus accrued and unpaid interest thereon, if any, to the date of such redemption) beginning on February 15, 2026.</w:t>
      </w:r>
    </w:p>
    <w:p>
      <w:pPr>
        <w:spacing w:after="0" w:line="6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In June 2024, the Company repurchased $15.0 million of its outstanding Senior Notes through open market repurchases, at a discount of $4.9 million, and retired the repurchased notes. The Company recorded a $4.7 million gain which reflects the discount, net of $0.2 million to write off a portion of the unamortized discount and deferred financing costs associated with the notes. The $4.7 million gain is included in Gain (loss) on extinguishment of debt, net within the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Utilizing proceeds from the July 3, 2025 offering of 2032 Secured Notes described above and cash-on-hand, the Company completed a cash tender offer on July 17, 2025 to purchase $600.0 million of its Senior Notes at a discount of $111.0 million, and retired the notes tendered. The Company recorded a $105.8 million gain which reflects the discount, net of $5.2 million to write-off a portion of the unamortized discount and deferred financing costs associated with the Senior Notes, as well as $1.7 million in additional expenses associated with the tender offer, both of which are included in Gain (loss) on extinguishment of debt, net in the consolidated statements of income (loss).</w:t>
      </w:r>
    </w:p>
    <w:p>
      <w:pPr>
        <w:spacing w:after="0" w:line="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during 2025, the Company repurchased $108.3 million principal amount of its Senior Notes through open market repurchases, at discounts of $28.2 million and retired the repurchased Senior Notes. The Company recorded gains of $27.2 million, which reflects the discounts, net of $1.0 million to write off a portion of the unamortized discount and deferred financing costs associated with the Senior Notes, and is included in Gain (loss) on extinguishment of debt, net in the consolidated statements of income (loss).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amounts payable by the Company under its various debt obligations outstanding as of December 31, 2025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9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920" w:type="dxa"/>
            <w:vAlign w:val="bottom"/>
            <w:tcBorders>
              <w:top w:val="single" w:sz="8" w:color="auto"/>
            </w:tcBorders>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5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60,659</w:t>
            </w:r>
          </w:p>
        </w:tc>
      </w:tr>
      <w:tr>
        <w:trPr>
          <w:trHeight w:val="230"/>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1,295,456</w:t>
            </w:r>
          </w:p>
        </w:tc>
      </w:tr>
      <w:tr>
        <w:trPr>
          <w:trHeight w:val="229"/>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5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9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7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2"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I—Quoted prices for identical instruments in active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each of these hierarchy levels, the Company's financial assets and liabilities that are measured at fair value on a recurring basis at December 31, 2025 and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80" w:type="dxa"/>
            <w:vAlign w:val="bottom"/>
            <w:tcBorders>
              <w:top w:val="single" w:sz="8" w:color="auto"/>
              <w:bottom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b w:val="1"/>
                <w:bCs w:val="1"/>
                <w:color w:val="auto"/>
              </w:rPr>
              <w:t>At December 31, 2025: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5"/>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85,176</w:t>
            </w: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r>
      <w:tr>
        <w:trPr>
          <w:trHeight w:val="257"/>
        </w:trPr>
        <w:tc>
          <w:tcPr>
            <w:tcW w:w="5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4"/>
        </w:trPr>
        <w:tc>
          <w:tcPr>
            <w:tcW w:w="508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b w:val="1"/>
                <w:bCs w:val="1"/>
                <w:color w:val="auto"/>
              </w:rPr>
              <w:t>At December 31, 2024: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250,841</w:t>
            </w: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cash equivalents (comprised of money market mutual funds) are classified within Level I of the fair value hierarchy because they are valued using quoted market prices.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measurements are also used in nonrecurring valuations performed in connection with impairment testing, including the valuation of program rights, goodwill, intangible assets and property and equipment. All of our nonrecurring valuations use significant unobservable inputs and therefore fall under Level III of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 Debt and Senior Notes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values and estimated fair values of the Company's financial instruments, excluding those that are carried at fair value in the consolidated balance sheets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60" w:type="dxa"/>
            <w:vAlign w:val="bottom"/>
            <w:tcBorders>
              <w:bottom w:val="single" w:sz="8" w:color="auto"/>
            </w:tcBorders>
          </w:tcPr>
          <w:p>
            <w:pPr>
              <w:spacing w:after="0"/>
              <w:rPr>
                <w:sz w:val="18"/>
                <w:szCs w:val="18"/>
                <w:color w:val="auto"/>
              </w:rPr>
            </w:pPr>
          </w:p>
        </w:tc>
      </w:tr>
      <w:tr>
        <w:trPr>
          <w:trHeight w:val="185"/>
        </w:trPr>
        <w:tc>
          <w:tcPr>
            <w:tcW w:w="7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20" w:type="dxa"/>
            <w:vAlign w:val="bottom"/>
          </w:tcPr>
          <w:p>
            <w:pPr>
              <w:spacing w:after="0"/>
              <w:rPr>
                <w:sz w:val="16"/>
                <w:szCs w:val="16"/>
                <w:color w:val="auto"/>
              </w:rPr>
            </w:pPr>
          </w:p>
        </w:tc>
        <w:tc>
          <w:tcPr>
            <w:tcW w:w="1360" w:type="dxa"/>
            <w:vAlign w:val="bottom"/>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20" w:type="dxa"/>
            <w:vAlign w:val="bottom"/>
          </w:tcPr>
          <w:p>
            <w:pPr>
              <w:spacing w:after="0"/>
              <w:rPr>
                <w:sz w:val="18"/>
                <w:szCs w:val="18"/>
                <w:color w:val="auto"/>
              </w:rPr>
            </w:pPr>
          </w:p>
        </w:tc>
        <w:tc>
          <w:tcPr>
            <w:tcW w:w="136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1"/>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4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 Loan A Facility</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79,438</w:t>
            </w:r>
          </w:p>
        </w:tc>
        <w:tc>
          <w:tcPr>
            <w:tcW w:w="100" w:type="dxa"/>
            <w:vAlign w:val="bottom"/>
          </w:tcPr>
          <w:p>
            <w:pPr>
              <w:spacing w:after="0"/>
              <w:rPr>
                <w:sz w:val="19"/>
                <w:szCs w:val="19"/>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82,795</w:t>
            </w:r>
          </w:p>
        </w:tc>
      </w:tr>
      <w:tr>
        <w:trPr>
          <w:trHeight w:val="230"/>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10.25% Senior Secured Notes due 2029</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864,459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916,563</w:t>
            </w:r>
          </w:p>
        </w:tc>
      </w:tr>
      <w:tr>
        <w:trPr>
          <w:trHeight w:val="230"/>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4.25% Senior Notes due 2029</w:t>
            </w: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274,630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242,810</w:t>
            </w:r>
          </w:p>
        </w:tc>
      </w:tr>
      <w:tr>
        <w:trPr>
          <w:trHeight w:val="230"/>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4.25% Convertible Senior Notes due 2029</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127,830</w:t>
            </w:r>
          </w:p>
        </w:tc>
      </w:tr>
      <w:tr>
        <w:trPr>
          <w:trHeight w:val="229"/>
        </w:trPr>
        <w:tc>
          <w:tcPr>
            <w:tcW w:w="7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10.50% Senior Secured Notes due July 2032</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393,383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248"/>
        </w:trPr>
        <w:tc>
          <w:tcPr>
            <w:tcW w:w="7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1,752,293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1,811,998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360" w:type="dxa"/>
            <w:vAlign w:val="bottom"/>
            <w:tcBorders>
              <w:bottom w:val="single" w:sz="8" w:color="auto"/>
            </w:tcBorders>
          </w:tcPr>
          <w:p>
            <w:pPr>
              <w:spacing w:after="0"/>
              <w:rPr>
                <w:sz w:val="18"/>
                <w:szCs w:val="18"/>
                <w:color w:val="auto"/>
              </w:rPr>
            </w:pPr>
          </w:p>
        </w:tc>
      </w:tr>
      <w:tr>
        <w:trPr>
          <w:trHeight w:val="185"/>
        </w:trPr>
        <w:tc>
          <w:tcPr>
            <w:tcW w:w="82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600" w:type="dxa"/>
            <w:vAlign w:val="bottom"/>
          </w:tcPr>
          <w:p>
            <w:pPr>
              <w:spacing w:after="0"/>
              <w:rPr>
                <w:sz w:val="16"/>
                <w:szCs w:val="16"/>
                <w:color w:val="auto"/>
              </w:rPr>
            </w:pPr>
          </w:p>
        </w:tc>
        <w:tc>
          <w:tcPr>
            <w:tcW w:w="136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14"/>
        </w:trPr>
        <w:tc>
          <w:tcPr>
            <w:tcW w:w="7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0" w:type="dxa"/>
            <w:vAlign w:val="bottom"/>
          </w:tcPr>
          <w:p>
            <w:pPr>
              <w:spacing w:after="0"/>
              <w:rPr>
                <w:sz w:val="18"/>
                <w:szCs w:val="18"/>
                <w:color w:val="auto"/>
              </w:rPr>
            </w:pPr>
          </w:p>
        </w:tc>
        <w:tc>
          <w:tcPr>
            <w:tcW w:w="136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11"/>
        </w:trPr>
        <w:tc>
          <w:tcPr>
            <w:tcW w:w="7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instruments:</w:t>
            </w:r>
          </w:p>
        </w:tc>
        <w:tc>
          <w:tcPr>
            <w:tcW w:w="3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7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Term Loan A facility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359,660</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356,934</w:t>
            </w:r>
          </w:p>
        </w:tc>
      </w:tr>
      <w:tr>
        <w:trPr>
          <w:trHeight w:val="229"/>
        </w:trPr>
        <w:tc>
          <w:tcPr>
            <w:tcW w:w="7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10.25% Senior Secured Notes due 2029</w:t>
            </w: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861,683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927,500</w:t>
            </w:r>
          </w:p>
        </w:tc>
      </w:tr>
      <w:tr>
        <w:trPr>
          <w:trHeight w:val="229"/>
        </w:trPr>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4.25%</w:t>
            </w:r>
          </w:p>
        </w:tc>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975,466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772,002</w:t>
            </w:r>
          </w:p>
        </w:tc>
      </w:tr>
      <w:tr>
        <w:trPr>
          <w:trHeight w:val="230"/>
        </w:trPr>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4.25%</w:t>
            </w:r>
          </w:p>
        </w:tc>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2029</w:t>
            </w: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139,410</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142,313</w:t>
            </w:r>
          </w:p>
        </w:tc>
      </w:tr>
      <w:tr>
        <w:trPr>
          <w:trHeight w:val="223"/>
        </w:trPr>
        <w:tc>
          <w:tcPr>
            <w:tcW w:w="8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2,336,219</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2,198,749</w:t>
            </w:r>
          </w:p>
        </w:tc>
      </w:tr>
      <w:tr>
        <w:trPr>
          <w:trHeight w:val="21"/>
        </w:trPr>
        <w:tc>
          <w:tcPr>
            <w:tcW w:w="8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statements of income (loss).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values of the Company's derivative financial instruments included in the consolidated balance sheets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40" w:type="dxa"/>
            <w:vAlign w:val="bottom"/>
            <w:gridSpan w:val="2"/>
          </w:tcPr>
          <w:p>
            <w:pPr>
              <w:ind w:left="126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40" w:type="dxa"/>
            <w:vAlign w:val="bottom"/>
          </w:tcPr>
          <w:p>
            <w:pPr>
              <w:spacing w:after="0"/>
              <w:rPr>
                <w:sz w:val="20"/>
                <w:szCs w:val="20"/>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9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4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39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12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 of gains and losses related to the Company's derivative financial instruments not designated as hedging instruments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360" w:type="dxa"/>
            <w:vAlign w:val="bottom"/>
          </w:tcPr>
          <w:p>
            <w:pPr>
              <w:spacing w:after="0"/>
              <w:rPr>
                <w:sz w:val="16"/>
                <w:szCs w:val="16"/>
                <w:color w:val="auto"/>
              </w:rPr>
            </w:pPr>
          </w:p>
        </w:tc>
        <w:tc>
          <w:tcPr>
            <w:tcW w:w="4520" w:type="dxa"/>
            <w:vAlign w:val="bottom"/>
            <w:gridSpan w:val="8"/>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Amount of Gain (Loss) Recognized in Earnings</w:t>
            </w:r>
          </w:p>
        </w:tc>
      </w:tr>
      <w:tr>
        <w:trPr>
          <w:trHeight w:val="214"/>
        </w:trPr>
        <w:tc>
          <w:tcPr>
            <w:tcW w:w="3640" w:type="dxa"/>
            <w:vAlign w:val="bottom"/>
          </w:tcPr>
          <w:p>
            <w:pPr>
              <w:spacing w:after="0"/>
              <w:rPr>
                <w:sz w:val="18"/>
                <w:szCs w:val="18"/>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Earnings on Derivatives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5"/>
        </w:trPr>
        <w:tc>
          <w:tcPr>
            <w:tcW w:w="3640" w:type="dxa"/>
            <w:vAlign w:val="bottom"/>
          </w:tcPr>
          <w:p>
            <w:pPr>
              <w:spacing w:after="0"/>
              <w:rPr>
                <w:sz w:val="20"/>
                <w:szCs w:val="20"/>
                <w:color w:val="auto"/>
              </w:rPr>
            </w:pPr>
          </w:p>
        </w:tc>
        <w:tc>
          <w:tcPr>
            <w:tcW w:w="2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2180" w:type="dxa"/>
            <w:vAlign w:val="bottom"/>
            <w:tcBorders>
              <w:top w:val="single" w:sz="8" w:color="auto"/>
              <w:bottom w:val="single" w:sz="8" w:color="auto"/>
            </w:tcBorders>
            <w:gridSpan w:val="6"/>
          </w:tcPr>
          <w:p>
            <w:pPr>
              <w:jc w:val="center"/>
              <w:ind w:right="2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200" w:type="dxa"/>
            <w:vAlign w:val="bottom"/>
            <w:tcBorders>
              <w:top w:val="single" w:sz="8" w:color="auto"/>
              <w:bottom w:val="single" w:sz="8" w:color="auto"/>
            </w:tcBorders>
          </w:tcPr>
          <w:p>
            <w:pPr>
              <w:spacing w:after="0"/>
              <w:rPr>
                <w:sz w:val="20"/>
                <w:szCs w:val="20"/>
                <w:color w:val="auto"/>
              </w:rPr>
            </w:pPr>
          </w:p>
        </w:tc>
      </w:tr>
      <w:tr>
        <w:trPr>
          <w:trHeight w:val="236"/>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1"/>
        </w:trPr>
        <w:tc>
          <w:tcPr>
            <w:tcW w:w="3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Miscellaneous,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121"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leases consist of non-cancelable agreements for office space, and to a lesser extent, equipment leases for satellite transponders, which expire at various dates through 2033.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leases generally provide for fixed annual rentals plus certain other costs or credits (e.g., tenant improvement allowance). Some leases include rental payments based on a percentage of revenue over contractual levels or based on an index or rate. Our lease agreements do not include any material residual value guarantees or material restrictive covenants.</w:t>
      </w:r>
    </w:p>
    <w:p>
      <w:pPr>
        <w:spacing w:after="0" w:line="6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Since the rate implicit in its leases is not readily determinable, the Company uses its incremental borrowing rate based on the information available at the lease commencement date to determine the present value of the lease payments.</w:t>
      </w:r>
    </w:p>
    <w:p>
      <w:pPr>
        <w:spacing w:after="0" w:line="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 December 2025, the Company extended the lease of its corporate headquarters to September 2032, while also early terminating the portion of office space that the Company previously vacated in 2023. In connection with the amendment, the Company remeasured its lease liability and adjusted the associated right-of-use assets accordingly, which also resulted in a $3.4 million credit to restructuring and other related charges for the portion of office space that the Company previously vacated in 2023.</w:t>
      </w:r>
    </w:p>
    <w:p>
      <w:pPr>
        <w:spacing w:after="0" w:line="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leases included in the consolidated balance sheets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40" w:type="dxa"/>
            <w:vAlign w:val="bottom"/>
            <w:tcBorders>
              <w:bottom w:val="single" w:sz="8" w:color="auto"/>
            </w:tcBorders>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0" w:type="dxa"/>
            <w:vAlign w:val="bottom"/>
            <w:gridSpan w:val="2"/>
          </w:tcPr>
          <w:p>
            <w:pPr>
              <w:ind w:left="150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420" w:type="dxa"/>
            <w:vAlign w:val="bottom"/>
          </w:tcPr>
          <w:p>
            <w:pPr>
              <w:spacing w:after="0"/>
              <w:rPr>
                <w:sz w:val="18"/>
                <w:szCs w:val="18"/>
                <w:color w:val="auto"/>
              </w:rPr>
            </w:pPr>
          </w:p>
        </w:tc>
        <w:tc>
          <w:tcPr>
            <w:tcW w:w="140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Assets</w:t>
            </w:r>
          </w:p>
        </w:tc>
        <w:tc>
          <w:tcPr>
            <w:tcW w:w="4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58,390</w:t>
            </w: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223"/>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lease assets</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70,085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1900" w:type="dxa"/>
            <w:vAlign w:val="bottom"/>
            <w:tcBorders>
              <w:bottom w:val="single" w:sz="8" w:color="CCEEFF"/>
            </w:tcBorders>
            <w:shd w:val="clear" w:color="auto" w:fill="CCEEFF"/>
          </w:tcPr>
          <w:p>
            <w:pPr>
              <w:spacing w:after="0"/>
              <w:rPr>
                <w:sz w:val="15"/>
                <w:szCs w:val="15"/>
                <w:color w:val="auto"/>
              </w:rPr>
            </w:pPr>
          </w:p>
        </w:tc>
        <w:tc>
          <w:tcPr>
            <w:tcW w:w="4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4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27,798</w:t>
            </w:r>
          </w:p>
        </w:tc>
      </w:tr>
      <w:tr>
        <w:trPr>
          <w:trHeight w:val="230"/>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w:t>
            </w:r>
          </w:p>
        </w:tc>
      </w:tr>
      <w:tr>
        <w:trPr>
          <w:trHeight w:val="209"/>
        </w:trPr>
        <w:tc>
          <w:tcPr>
            <w:tcW w:w="20" w:type="dxa"/>
            <w:vAlign w:val="bottom"/>
          </w:tcPr>
          <w:p>
            <w:pPr>
              <w:spacing w:after="0"/>
              <w:rPr>
                <w:sz w:val="18"/>
                <w:szCs w:val="18"/>
                <w:color w:val="auto"/>
              </w:rPr>
            </w:pPr>
          </w:p>
        </w:tc>
        <w:tc>
          <w:tcPr>
            <w:tcW w:w="2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51,929</w:t>
            </w:r>
          </w:p>
        </w:tc>
      </w:tr>
      <w:tr>
        <w:trPr>
          <w:trHeight w:val="230"/>
        </w:trPr>
        <w:tc>
          <w:tcPr>
            <w:tcW w:w="2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64,581</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6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lease costs included in the consolidated statements of income (loss):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4"/>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2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22,808</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26,681</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leased assets</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29"/>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31,919</w:t>
            </w:r>
          </w:p>
        </w:tc>
      </w:tr>
      <w:tr>
        <w:trPr>
          <w:trHeight w:val="20"/>
        </w:trPr>
        <w:tc>
          <w:tcPr>
            <w:tcW w:w="5560" w:type="dxa"/>
            <w:vAlign w:val="bottom"/>
            <w:tcBorders>
              <w:top w:val="single" w:sz="8" w:color="CCEEFF"/>
            </w:tcBorders>
            <w:gridSpan w:val="2"/>
          </w:tcPr>
          <w:p>
            <w:pPr>
              <w:spacing w:after="0" w:line="20" w:lineRule="exact"/>
              <w:rPr>
                <w:sz w:val="1"/>
                <w:szCs w:val="1"/>
                <w:color w:val="auto"/>
              </w:rPr>
            </w:pPr>
          </w:p>
        </w:tc>
        <w:tc>
          <w:tcPr>
            <w:tcW w:w="1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930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for operating and finance leases as of December 31, 2025: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5"/>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6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20,372</w:t>
            </w:r>
          </w:p>
        </w:tc>
        <w:tc>
          <w:tcPr>
            <w:tcW w:w="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6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25,015</w:t>
            </w:r>
          </w:p>
        </w:tc>
      </w:tr>
      <w:tr>
        <w:trPr>
          <w:trHeight w:val="23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r>
      <w:tr>
        <w:trPr>
          <w:trHeight w:val="22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22,454</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16,293</w:t>
            </w:r>
          </w:p>
        </w:tc>
      </w:tr>
      <w:tr>
        <w:trPr>
          <w:trHeight w:val="22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29,862</w:t>
            </w: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109,196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127,422</w:t>
            </w:r>
          </w:p>
        </w:tc>
      </w:tr>
      <w:tr>
        <w:trPr>
          <w:trHeight w:val="22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4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27,516</w:t>
            </w:r>
          </w:p>
        </w:tc>
      </w:tr>
      <w:tr>
        <w:trPr>
          <w:trHeight w:val="24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84,096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99,906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weighted average remaining lease term and discount rate for operating and finance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5.5</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7.8 %</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6.0 %</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supplemental cash paid for amounts in the measurement of lease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consists of the following components: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239,061</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56,945</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0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Income tax expense (benefit) attributable to continuing operations consists of the following components: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center"/>
              <w:ind w:left="732"/>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23,517</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45,401</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46,831</w:t>
            </w:r>
          </w:p>
        </w:tc>
        <w:tc>
          <w:tcPr>
            <w:tcW w:w="0" w:type="dxa"/>
            <w:vAlign w:val="bottom"/>
          </w:tcPr>
          <w:p>
            <w:pPr>
              <w:spacing w:after="0"/>
              <w:rPr>
                <w:sz w:val="1"/>
                <w:szCs w:val="1"/>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49,736</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56,091</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 and local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0" w:type="dxa"/>
            <w:vAlign w:val="bottom"/>
          </w:tcPr>
          <w:p>
            <w:pPr>
              <w:spacing w:after="0"/>
              <w:rPr>
                <w:sz w:val="1"/>
                <w:szCs w:val="1"/>
                <w:color w:val="auto"/>
              </w:rPr>
            </w:pPr>
          </w:p>
        </w:tc>
      </w:tr>
      <w:tr>
        <w:trPr>
          <w:trHeight w:val="230"/>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25,388</w:t>
            </w:r>
          </w:p>
        </w:tc>
        <w:tc>
          <w:tcPr>
            <w:tcW w:w="0" w:type="dxa"/>
            <w:vAlign w:val="bottom"/>
          </w:tcPr>
          <w:p>
            <w:pPr>
              <w:spacing w:after="0"/>
              <w:rPr>
                <w:sz w:val="1"/>
                <w:szCs w:val="1"/>
                <w:color w:val="auto"/>
              </w:rPr>
            </w:pPr>
          </w:p>
        </w:tc>
      </w:tr>
      <w:tr>
        <w:trPr>
          <w:trHeight w:val="223"/>
        </w:trPr>
        <w:tc>
          <w:tcPr>
            <w:tcW w:w="6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95,137</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 relating to uncertain tax positions, including accrued interest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94,606</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5460"/>
              <w:spacing w:after="0"/>
              <w:rPr>
                <w:sz w:val="20"/>
                <w:szCs w:val="20"/>
                <w:color w:val="auto"/>
              </w:rPr>
            </w:pPr>
            <w:r>
              <w:rPr>
                <w:rFonts w:ascii="Times New Roman" w:cs="Times New Roman" w:eastAsia="Times New Roman" w:hAnsi="Times New Roman"/>
                <w:sz w:val="18"/>
                <w:szCs w:val="18"/>
                <w:color w:val="auto"/>
              </w:rPr>
              <w:t>F-37</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noted in Note 2, the Company adopted the FASB issued guidance that enhances the transparency and decision usefulness of income tax information through improvements to income tax disclosures. The required disclosure updates related to the rate reconciliation are reflected below on a prospective basis.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for the year ended December 31, 2025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200" w:type="dxa"/>
            <w:vAlign w:val="bottom"/>
            <w:tcBorders>
              <w:bottom w:val="single" w:sz="8" w:color="auto"/>
            </w:tcBorders>
          </w:tcPr>
          <w:p>
            <w:pPr>
              <w:spacing w:after="0"/>
              <w:rPr>
                <w:sz w:val="18"/>
                <w:szCs w:val="18"/>
                <w:color w:val="auto"/>
              </w:rPr>
            </w:pPr>
          </w:p>
        </w:tc>
      </w:tr>
      <w:tr>
        <w:trPr>
          <w:trHeight w:val="22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31,080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federal</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Tax credits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credits</w:t>
            </w:r>
          </w:p>
        </w:tc>
        <w:tc>
          <w:tcPr>
            <w:tcW w:w="30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(14,642)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3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3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compensation expense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5,133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Effect of cross-border tax laws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(2,511)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3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4,544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outside basis adjustment (a)</w:t>
            </w:r>
          </w:p>
        </w:tc>
        <w:tc>
          <w:tcPr>
            <w:tcW w:w="30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(17,837)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2,833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(1,651)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state and local income taxes, net of federal effect (b)</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19,285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unrecognized tax benefits</w:t>
            </w:r>
          </w:p>
        </w:tc>
        <w:tc>
          <w:tcPr>
            <w:tcW w:w="3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2,523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8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7,726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incentive adjustment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(11,301)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11,269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Nontaxable income attributable to noncontrolling interests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(2,374)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667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Spain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incentive adjustment</w:t>
            </w:r>
          </w:p>
        </w:tc>
        <w:tc>
          <w:tcPr>
            <w:tcW w:w="300" w:type="dxa"/>
            <w:vAlign w:val="bottom"/>
          </w:tcPr>
          <w:p>
            <w:pPr>
              <w:spacing w:after="0"/>
              <w:rPr>
                <w:sz w:val="19"/>
                <w:szCs w:val="19"/>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(5,944)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4,112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spacing w:after="0"/>
              <w:rPr>
                <w:sz w:val="19"/>
                <w:szCs w:val="19"/>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jurisdictions</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Withholding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4,174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391</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expense/(benefit)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46,226</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31.2 %</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440" w:hanging="351"/>
        <w:spacing w:after="0"/>
        <w:tabs>
          <w:tab w:leader="none" w:pos="4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This amount relates to a reversal of a deferred tax liability resulting from an ownership interest change of RLJ Entertainment.</w:t>
      </w:r>
    </w:p>
    <w:p>
      <w:pPr>
        <w:spacing w:after="0" w:line="90" w:lineRule="exact"/>
        <w:rPr>
          <w:rFonts w:ascii="Times New Roman" w:cs="Times New Roman" w:eastAsia="Times New Roman" w:hAnsi="Times New Roman"/>
          <w:sz w:val="16"/>
          <w:szCs w:val="16"/>
          <w:color w:val="auto"/>
        </w:rPr>
      </w:pPr>
    </w:p>
    <w:p>
      <w:pPr>
        <w:jc w:val="both"/>
        <w:ind w:left="580" w:hanging="491"/>
        <w:spacing w:after="0" w:line="250" w:lineRule="auto"/>
        <w:tabs>
          <w:tab w:leader="none" w:pos="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an $11.4 million adjustment primarily related to a write-down of a state investment tax credit receivable. During the year ended December 31, 2025, state taxes in California, New York and Pennsylvania compromised greater than 50% of the tax effect in this category after adjusting for the $11.4 million above.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effective income tax rate for the years ended December 31, 2024 and 2023 is as follows:</w:t>
      </w:r>
    </w:p>
    <w:p>
      <w:pPr>
        <w:spacing w:after="0" w:line="255"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21590</wp:posOffset>
            </wp:positionV>
            <wp:extent cx="2168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foreign operations (a)</w:t>
            </w: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compensation expenses</w:t>
            </w: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Excess tax deficiencies related to share-based compensation</w:t>
            </w: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the valuation allowance (b)</w:t>
            </w:r>
          </w:p>
        </w:tc>
        <w:tc>
          <w:tcPr>
            <w:tcW w:w="16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tax credit benefit/expense (c)</w:t>
            </w: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goodwill impairment charges</w:t>
            </w:r>
          </w:p>
        </w:tc>
        <w:tc>
          <w:tcPr>
            <w:tcW w:w="16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Expiration of foreign tax credits</w:t>
            </w: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60" w:hanging="328"/>
        <w:spacing w:after="0" w:line="280" w:lineRule="auto"/>
        <w:tabs>
          <w:tab w:leader="none" w:pos="65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years ended December 31, 2024 and 2023, the effect of foreign operations relates to the income tax benefit or expense as a result of certain entities operating in foreign jurisdictions (inclusive of the nondeductible goodwill impairment charges at AMCNI).</w:t>
      </w:r>
    </w:p>
    <w:p>
      <w:pPr>
        <w:spacing w:after="0" w:line="2" w:lineRule="exact"/>
        <w:rPr>
          <w:rFonts w:ascii="Times New Roman" w:cs="Times New Roman" w:eastAsia="Times New Roman" w:hAnsi="Times New Roman"/>
          <w:sz w:val="16"/>
          <w:szCs w:val="16"/>
          <w:color w:val="auto"/>
        </w:rPr>
      </w:pPr>
    </w:p>
    <w:p>
      <w:pPr>
        <w:ind w:left="660" w:right="20" w:hanging="328"/>
        <w:spacing w:after="0" w:line="290" w:lineRule="auto"/>
        <w:tabs>
          <w:tab w:leader="none" w:pos="6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2024, the decrease in the valuation allowance relates primarily to the expiration of foreign tax credits and utilization of foreign deferred tax assets offset by the generation of excess foreign tax credits.</w:t>
      </w:r>
    </w:p>
    <w:p>
      <w:pPr>
        <w:ind w:left="660" w:hanging="328"/>
        <w:spacing w:after="0" w:line="298" w:lineRule="auto"/>
        <w:tabs>
          <w:tab w:leader="none" w:pos="65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2024, the increase in the investment tax credit benefit/expense relates primarily to a write-down of a state investment tax credit receivable.</w:t>
      </w:r>
    </w:p>
    <w:p>
      <w:pPr>
        <w:spacing w:after="0" w:line="25"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components of deferred tax assets or liabilities at December 31, 2025 and 2024 are as follows:</w:t>
      </w:r>
    </w:p>
    <w:p>
      <w:pPr>
        <w:spacing w:after="0" w:line="152"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21590</wp:posOffset>
            </wp:positionV>
            <wp:extent cx="20059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Borders>
              <w:bottom w:val="single" w:sz="8" w:color="CCEEFF"/>
            </w:tcBorders>
          </w:tcPr>
          <w:p>
            <w:pPr>
              <w:spacing w:after="0"/>
              <w:rPr>
                <w:sz w:val="18"/>
                <w:szCs w:val="18"/>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72"/>
        </w:trPr>
        <w:tc>
          <w:tcPr>
            <w:tcW w:w="20" w:type="dxa"/>
            <w:vAlign w:val="bottom"/>
            <w:shd w:val="clear" w:color="auto" w:fill="CCEEFF"/>
          </w:tcPr>
          <w:p>
            <w:pPr>
              <w:spacing w:after="0"/>
              <w:rPr>
                <w:sz w:val="14"/>
                <w:szCs w:val="14"/>
                <w:color w:val="auto"/>
              </w:rPr>
            </w:pPr>
          </w:p>
        </w:tc>
        <w:tc>
          <w:tcPr>
            <w:tcW w:w="806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Deferred Tax Asset (Liability)</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NOLs and tax credit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122,916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96,968</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and benefit plans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23,411</w:t>
            </w:r>
          </w:p>
        </w:tc>
      </w:tr>
      <w:tr>
        <w:trPr>
          <w:trHeight w:val="229"/>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28,148</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Unused capital losses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23,927</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 asset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213,459</w:t>
            </w:r>
          </w:p>
        </w:tc>
      </w:tr>
      <w:tr>
        <w:trPr>
          <w:trHeight w:val="230"/>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(127,563)</w:t>
            </w:r>
          </w:p>
        </w:tc>
      </w:tr>
      <w:tr>
        <w:trPr>
          <w:trHeight w:val="223"/>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asset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85,896</w:t>
            </w:r>
          </w:p>
        </w:tc>
      </w:tr>
      <w:tr>
        <w:trPr>
          <w:trHeight w:val="223"/>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assets and intangible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(69,203)</w:t>
            </w:r>
          </w:p>
        </w:tc>
      </w:tr>
      <w:tr>
        <w:trPr>
          <w:trHeight w:val="230"/>
        </w:trPr>
        <w:tc>
          <w:tcPr>
            <w:tcW w:w="20" w:type="dxa"/>
            <w:vAlign w:val="bottom"/>
          </w:tcPr>
          <w:p>
            <w:pPr>
              <w:spacing w:after="0"/>
              <w:rPr>
                <w:sz w:val="19"/>
                <w:szCs w:val="19"/>
                <w:color w:val="auto"/>
              </w:rPr>
            </w:pPr>
          </w:p>
        </w:tc>
        <w:tc>
          <w:tcPr>
            <w:tcW w:w="8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partnerships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(99,864)</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(24,284)</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(194,015)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deferred tax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Deferred Tax Assets - Valuation Allowance</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Charged (credited)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(a)</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year</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Includes currency translation adjustments and other miscellaneous items.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127,563</w:t>
            </w:r>
          </w:p>
        </w:tc>
        <w:tc>
          <w:tcPr>
            <w:tcW w:w="5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135,742</w:t>
            </w:r>
          </w:p>
        </w:tc>
      </w:tr>
      <w:tr>
        <w:trPr>
          <w:trHeight w:val="229"/>
        </w:trPr>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11,048</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w:t>
            </w:r>
          </w:p>
        </w:tc>
      </w:tr>
      <w:tr>
        <w:trPr>
          <w:trHeight w:val="234"/>
        </w:trPr>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142,368</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127,563</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37"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5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 December 31, 2025, the Company had foreign tax credit carryforwards of approximately $49.8 million, expiring on various dates from 2026 through 2035, which have been reduced by a full valuation allowance as it is more likely than not that these carryforwards will not be realized. The Company had net operating loss carryforwards of approximately $415.3 million, related primarily to federal and state net operating losses acquired as a result of the purchase of the outstanding shares of RLJ Entertainment of approximately $72.3 million, other state net operating loss carryforwards and net operating loss carryforwards of our foreign subsidiaries. The deferred tax asset related to the federal and state net operating loss carryforwards of approximately $19.5 million has expiration dates ranging from 2026 through 2045 (some are indefinite) and has been reduced by a valuation allowance of approximately $12.4 million, including $7.7 million that was previously recorded through goodwill as part of purchase accounting. Although the foreign net operating loss carryforward periods range from 5 years to unlimited, the related deferred tax assets of approximately $52.9 million for these carryforwards have been reduced by a valuation allowance of approximately $51.0 million as it is more likely than not that these carryforwards will not be realized. The deferred tax asset related to unused capital losses and other related losses has been reduced by a valuation allowance of approximately $19.1 million as it is more likely than not that these losses will not be realized. The remainder of the valuation allowance at December 31, 2025 relates primarily to deferred tax assets attributable to temporary differences of certain foreign subsidiaries for which it is more likely than not that these deferred tax assets will not be realized.</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investment tax credit carryforwards of approximately $126.9 million, expiring on various dates from 2032 through 2040, reduced by $109.7 million for expected realization.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the liability for uncertain tax positions was $6.7 million, excluding accrued interest of $3.4 million and deferred tax assets of $2.2 million. All of such unrecognized tax benefits, if recognized, would reduce the Company's income tax expense and effective tax rate.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to ending amount of the liability for uncertain tax positions (excluding related accrued interest and deferred tax benefit)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29"/>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Decreases due to settlements/payments</w:t>
            </w: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30"/>
        </w:trPr>
        <w:tc>
          <w:tcPr>
            <w:tcW w:w="9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Decreases due to lapse of statute of limitations</w:t>
            </w:r>
          </w:p>
        </w:tc>
        <w:tc>
          <w:tcPr>
            <w:tcW w:w="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(net of the related deferred tax benefit) of $1.3 million was recognized during the year ended December 31, 2025 and is included in income tax expense in the consolidated statement of income (loss). At December 31, 2025 and 2024, the liability for uncertain tax positions and accrued interest are included in accrued liabilities and other liabilities, in the consolidated balance sheets.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2025, $18.0 million of cash and cash equivalents, previously held by foreign subsidiaries, was repatriated to the United States. As of December 31, 2025, the Company's cash and cash equivalents balance of $502.4 million, included $132.5 million held by foreign subsidiaries. Of this amount $7.3 million is currently expected to be repatriated to the United States with the remaining amount continuing to be reinvested in foreign operations. Tax expense related to the repatriated amount, as well as the expected remaining amount to be repatriated, has been accrued for. The Company does not expect to incur any significant, additional taxes related to the remaining balance.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currently being audited by the Internal Revenue Service, the State and City of New York and various other states or jurisdictions, with most of the periods under examination relating to tax years 2015 and forward.</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which aim to reform international corporate taxation rules, including the implementation of a global minimum tax rate. The Company began the phased implementation of the Pillar Two Model Rules in 2024 and the minimum tax requirement has not had a material impact upon the Company's full year results of operations or financial position.</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noted in Note 2, the Company adopted the FASB issued guidance that enhances the transparency and decision usefulness of income tax information through improvements to income tax disclosures. The required disclosure updates related to income taxes paid are reflected below on a prospective basis.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income taxes paid, net, for the year ended December 31,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9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w:t>
            </w:r>
          </w:p>
        </w:tc>
      </w:tr>
      <w:tr>
        <w:trPr>
          <w:trHeight w:val="223"/>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taxes paid, net</w:t>
            </w: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46,390</w:t>
            </w:r>
          </w:p>
        </w:tc>
      </w:tr>
      <w:tr>
        <w:trPr>
          <w:trHeight w:val="21"/>
        </w:trPr>
        <w:tc>
          <w:tcPr>
            <w:tcW w:w="9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Individual jurisdictions representing 5% or more or the total income taxes paid, net for the year ended December 31, 2025 included U.S. Federal at $28.0 million, Canada at $7.7 million and Massachusetts at $2.5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taxes paid, net, were $37,994 and $63,020 for the years ended December 31, 2024 and 2023,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center"/>
              <w:ind w:left="596"/>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6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Years</w:t>
            </w:r>
          </w:p>
        </w:tc>
        <w:tc>
          <w:tcPr>
            <w:tcW w:w="160" w:type="dxa"/>
            <w:vAlign w:val="bottom"/>
          </w:tcPr>
          <w:p>
            <w:pPr>
              <w:spacing w:after="0"/>
              <w:rPr>
                <w:sz w:val="16"/>
                <w:szCs w:val="16"/>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214"/>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center"/>
              <w:ind w:right="176"/>
              <w:spacing w:after="0"/>
              <w:rPr>
                <w:sz w:val="20"/>
                <w:szCs w:val="20"/>
                <w:color w:val="auto"/>
              </w:rPr>
            </w:pPr>
            <w:r>
              <w:rPr>
                <w:rFonts w:ascii="Times New Roman" w:cs="Times New Roman" w:eastAsia="Times New Roman" w:hAnsi="Times New Roman"/>
                <w:sz w:val="16"/>
                <w:szCs w:val="16"/>
                <w:b w:val="1"/>
                <w:bCs w:val="1"/>
                <w:color w:val="auto"/>
              </w:rPr>
              <w:t>2 - 3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4 - 5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200" w:hanging="329"/>
        <w:spacing w:after="0" w:line="282" w:lineRule="auto"/>
        <w:tabs>
          <w:tab w:leader="none" w:pos="57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primarily of program rights obligations, transmission and marketing commitments, and long-term third-party service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September 25, 2024, a hearing was held on the Plaintiffs’ appeals. On November 4, 2024, the appellate court issued a decision 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a sum of approximately $7.8 million. The arbitral panel's decision did not have a material impact on the Company's financial condition or results of operations.</w:t>
      </w:r>
    </w:p>
    <w:p>
      <w:pPr>
        <w:spacing w:after="0" w:line="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14, 2022, the Plaintiffs filed a separate complaint in California Superior Court (the “MFN Litigation”) in connection with the Company’s July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Plaintiffs claim in the MFN Litigation that they are entitled to actual and compensatory damages in excess of $200 million. On December 15, 2022, the Company removed the MFN Litigation to the United States District Court for the Central District of California. On February 25, 2025, the Plaintiffs filed an amended complaint adding two claims for the alleged breach of the MFN provisions of their contracts based on certain agreements the Company entered into with another profit participant and a claim for breach of the implied covenant of good faith and fair dealing. On March 14, 2025, the Company filed its answer to the amended complaint. On November 5, 2025, the Company filed a motion for summary judgment seeking dismissal of all the claims in the MFN Litigation. The Plaintiffs’ opposition to the Company’s motion was filed on December 4, 2025 and the Company’s reply was filed on December 22, 2025. The parties are also completing limited remaining expert and fact discovery. As a result of a Court order extending the case deadlines, the trial for this matter, previously scheduled for March 26, 2026, has been rescheduled to April 21, 2026.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spacing w:after="0" w:line="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Redeemable Noncontrolling Interests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RLJ Entertainment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2018 acquisition of RLJ Entertainment, the terms of the operating agreement provided the noncontrolling member with a right to put all of its noncontrolling interest to a subsidiary of the Company at a future time, within ninety days following October 31, 2025, or earlier upon a change of control. The put option was exercisable at the greater of the then fair market value or enterprise value of RLJ Entertainment, (but not lower than the fair value of the initial equity interest at the closing date of the agreement), in each case pursuant to the operating agreement and applied to the equity interest.</w:t>
      </w:r>
    </w:p>
    <w:p>
      <w:pPr>
        <w:spacing w:after="0" w:line="6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On November 26, 2025, the Company acquired the remaining 17% of RLJ Entertainment that it had not previously owned for $75.0 million in cash, before the put option was exercised. Since the Company retained controlling financial interest, the transaction was accounted for as an equity transaction and therefore no gain or loss was recorded in the consolidated statements of income (loss), with the exception of indirect tax effects further described below. As a result, the carrying amount of the noncontrolling interest was reduced to zero, reflecting the Company's 100% ownership of RLJ Entertainment, and the $13.8 million difference between this reduction and the $75.0 million purchase price was recognized as a reduction of Paid-in capital on the consolidated balance sheets. The indirect tax effects associated with the transaction, reversing a previously recorded deferred tax liability, resulted in a $17.8 million tax benefit in the consolidated statements of income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BBC America</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2014, the Company, through a wholly-owned subsidiary, acquired 49.9% of the limited liability company interests of New Video Channel America L.L.C, that owns the cable channel BBC AMERICA. In connection with the acquisition,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terms of the agreement provide the BBC with a right to put all of its 50.1% noncontrolling interest to a subsidiary of the Company at the greater of the then fair value or the fair value of the initial equity interest at the closing date of the agreement. The put option is exercisable on the fifteenth and twenty-fifth anniversary of the joint venture agreement.</w:t>
      </w:r>
    </w:p>
    <w:p>
      <w:pPr>
        <w:spacing w:after="0" w:line="4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 2024, the Company acquired the remaining 50.1% of the BBC America joint-venture that it had not previously owned from BBC Studios for $42.0 million in cash. Since the Company retained controlling financial interest, the transaction was accounted for as an equity transaction and therefore no gain or loss was recorded in the consolidated statements of income (loss). As a result, the carrying amount of the noncontrolling interest was reduced to zero, reflecting the Company's 100% ownership of the BBC America business, and the $90.9 million difference between this reduction and the $42.0 million purchase price was recognized in Paid-in capital on the consolidated balance sheets. The amount recorded in Paid-in capital was offset by $21.5 million of deferred taxes reflecting the difference between the existing noncontrolling interest and the tax basis (amount paid) as of the acquisition date. Additionally, in connection with the transaction, the Company terminated its prior program license agreement with BBC Studios, resulting in a significant reduction of contractual programming commitments. The Company entered into a new program license agreement with BBC Studios for $40.0 million, all of which was paid at closing.</w:t>
      </w:r>
    </w:p>
    <w:p>
      <w:pPr>
        <w:spacing w:after="0" w:line="6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Because exercise of these put rights was outside the Company's control, the noncontrolling interest in each entity were presented as redeemable noncontrolling interest outside of stockholders' equity on the Company's consolidated balance sheets, prior to the acquisitions of the remaining interests not previously owned.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activity reflected within redeemable noncontrolling interests for the years ended December 31, 2025, 2024 and 2023 is presented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Redeemable Noncontrolling</w:t>
            </w:r>
          </w:p>
        </w:tc>
      </w:tr>
      <w:tr>
        <w:trPr>
          <w:trHeight w:val="214"/>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Interest</w:t>
            </w:r>
          </w:p>
        </w:tc>
      </w:tr>
      <w:tr>
        <w:trPr>
          <w:trHeight w:val="225"/>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253,669</w:t>
            </w:r>
          </w:p>
        </w:tc>
      </w:tr>
      <w:tr>
        <w:trPr>
          <w:trHeight w:val="229"/>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losses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(66,593)</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185,297</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losses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r>
      <w:tr>
        <w:trPr>
          <w:trHeight w:val="229"/>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(12,039)</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22,594</w:t>
            </w:r>
          </w:p>
        </w:tc>
      </w:tr>
      <w:tr>
        <w:trPr>
          <w:trHeight w:val="230"/>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purchase of noncontrolling interest</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(42,000)</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Transfer to Paid-in capital upon purchase of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(90,889)</w:t>
            </w:r>
          </w:p>
        </w:tc>
      </w:tr>
      <w:tr>
        <w:trPr>
          <w:trHeight w:val="223"/>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55,881</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r>
      <w:tr>
        <w:trPr>
          <w:trHeight w:val="229"/>
        </w:trPr>
        <w:tc>
          <w:tcPr>
            <w:tcW w:w="9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to redemption fair value</w:t>
            </w:r>
          </w:p>
        </w:tc>
        <w:tc>
          <w:tcPr>
            <w:tcW w:w="1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9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purchase of noncontrolling interest</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9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Reduction of Paid-in capital upon purchase of noncontrolling interest</w:t>
            </w: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13,792</w:t>
            </w:r>
          </w:p>
        </w:tc>
      </w:tr>
      <w:tr>
        <w:trPr>
          <w:trHeight w:val="248"/>
        </w:trPr>
        <w:tc>
          <w:tcPr>
            <w:tcW w:w="9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Equity and Long-Term Incentive Plans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8, 2016, the Company's stockholders approved the AMC Networks Inc. 2016 Employee Stock Plan (the "2016 Employee Stock Plan") and on June 5, 2012, the Company's stockholders approved the AMC Networks Inc. 2011 Stock Plan for Non-Employee Directors (the "2011 Non-Employee Director Plan").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Plans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5, 2025, the Company adopted the Amended and Restated 2016 Employee Stock Plan (the "2016 Employee Stock Plan"). 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17,000,000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Awards issued to employees under the 2016 Employee Stock Plan will settle in shares of the Company's Class A Common Stock (either from treasury or with newly issued shares), or, at the option of the Compensation Committee, in cash. As of December 31, 2025, there are 7,776,690 share awards available for future grant under the 2016 Employee Stock Plan.</w:t>
      </w:r>
    </w:p>
    <w:p>
      <w:pPr>
        <w:spacing w:after="0" w:line="68" w:lineRule="exact"/>
        <w:rPr>
          <w:sz w:val="20"/>
          <w:szCs w:val="20"/>
          <w:color w:val="auto"/>
        </w:rPr>
      </w:pPr>
    </w:p>
    <w:p>
      <w:pPr>
        <w:jc w:val="both"/>
        <w:ind w:firstLine="370"/>
        <w:spacing w:after="0" w:line="253" w:lineRule="auto"/>
        <w:rPr>
          <w:sz w:val="20"/>
          <w:szCs w:val="20"/>
          <w:color w:val="auto"/>
        </w:rPr>
      </w:pPr>
      <w:r>
        <w:rPr>
          <w:rFonts w:ascii="Times New Roman" w:cs="Times New Roman" w:eastAsia="Times New Roman" w:hAnsi="Times New Roman"/>
          <w:sz w:val="18"/>
          <w:szCs w:val="18"/>
          <w:color w:val="auto"/>
        </w:rPr>
        <w:t>On June 12, 2024, the Company adopted the Amended and Restated 2011 Stock Plan for Non-Employee Directors (the "2011 Non-Employee Director Plan"). Under the 2011 Non-Employee Director Plan, the Company is authorized to grant non-qualified stock options, restricted stock units, restricted shares, stock appreciation rights and other equity-based awards. The Company may grant awards for up to 1,115,000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2025, there are 113,155 shares available for future grant under the 2011 Non-Employee Director Plan.</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Restricted Stock Unit Activity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relating to Company employees who held AMC Networks restricted stock units ("RSUs")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Per</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4"/>
              <w:spacing w:after="0" w:line="162" w:lineRule="exact"/>
              <w:rPr>
                <w:sz w:val="20"/>
                <w:szCs w:val="20"/>
                <w:color w:val="auto"/>
              </w:rPr>
            </w:pPr>
            <w:r>
              <w:rPr>
                <w:rFonts w:ascii="Times New Roman" w:cs="Times New Roman" w:eastAsia="Times New Roman" w:hAnsi="Times New Roman"/>
                <w:sz w:val="16"/>
                <w:szCs w:val="16"/>
                <w:b w:val="1"/>
                <w:bCs w:val="1"/>
                <w:color w:val="auto"/>
              </w:rPr>
              <w:t>Stock Unit at Date of</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 balance, December 31,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3,211,248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3,262,379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Canceled/Forfeited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(547,094)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 balance, December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4,534,715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the vesting date, 590,176 RSUs were surrendered to AMC Networks to cover the required statutory tax withholding obligations for the year ended December 31, 2025. Units are surrendered to satisfy the employees' statutory minimum tax withholding obligations for the applicable income and other employment tax. The units surrendered during the year ended December 31, 2025 had an aggregate value of $4.0 million, which has been reflected as a financing activity in the consolidated statement of cash flows.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RSUs granted during the periods presented vest ratably over a three year period, with the exception of awards for certain executives which may vest over a shorter period (generally one or two years).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activity relating to Non-employee Directors who held AMC Networks RSUs for the year ended December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w w:val="98"/>
              </w:rPr>
              <w:t>Fair Value Per</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Restricted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ind w:right="35"/>
              <w:spacing w:after="0" w:line="162" w:lineRule="exact"/>
              <w:rPr>
                <w:sz w:val="20"/>
                <w:szCs w:val="20"/>
                <w:color w:val="auto"/>
              </w:rPr>
            </w:pPr>
            <w:r>
              <w:rPr>
                <w:rFonts w:ascii="Times New Roman" w:cs="Times New Roman" w:eastAsia="Times New Roman" w:hAnsi="Times New Roman"/>
                <w:sz w:val="16"/>
                <w:szCs w:val="16"/>
                <w:b w:val="1"/>
                <w:bCs w:val="1"/>
                <w:color w:val="auto"/>
              </w:rPr>
              <w:t>Stock Unit at Date of</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Grant</w:t>
            </w:r>
          </w:p>
        </w:tc>
        <w:tc>
          <w:tcPr>
            <w:tcW w:w="0" w:type="dxa"/>
            <w:vAlign w:val="bottom"/>
          </w:tcPr>
          <w:p>
            <w:pPr>
              <w:spacing w:after="0"/>
              <w:rPr>
                <w:sz w:val="1"/>
                <w:szCs w:val="1"/>
                <w:color w:val="auto"/>
              </w:rPr>
            </w:pP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award balance, December 31, 2024</w:t>
            </w:r>
          </w:p>
        </w:tc>
        <w:tc>
          <w:tcPr>
            <w:tcW w:w="174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9"/>
              </w:rPr>
              <w:t>487,957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w w:val="99"/>
              </w:rPr>
              <w:t>275,522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Released/Vested</w:t>
            </w:r>
          </w:p>
        </w:tc>
        <w:tc>
          <w:tcPr>
            <w:tcW w:w="1740" w:type="dxa"/>
            <w:vAlign w:val="bottom"/>
            <w:tcBorders>
              <w:bottom w:val="single" w:sz="8" w:color="auto"/>
            </w:tcBorders>
            <w:shd w:val="clear" w:color="auto" w:fill="CCEEFF"/>
          </w:tcPr>
          <w:p>
            <w:pPr>
              <w:jc w:val="center"/>
              <w:ind w:left="914"/>
              <w:spacing w:after="0"/>
              <w:rPr>
                <w:sz w:val="20"/>
                <w:szCs w:val="20"/>
                <w:color w:val="auto"/>
              </w:rPr>
            </w:pPr>
            <w:r>
              <w:rPr>
                <w:rFonts w:ascii="Times New Roman" w:cs="Times New Roman" w:eastAsia="Times New Roman" w:hAnsi="Times New Roman"/>
                <w:sz w:val="18"/>
                <w:szCs w:val="18"/>
                <w:color w:val="auto"/>
                <w:w w:val="99"/>
              </w:rPr>
              <w:t>(154,493)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award balance, December 31, 2025</w:t>
            </w:r>
          </w:p>
        </w:tc>
        <w:tc>
          <w:tcPr>
            <w:tcW w:w="1740" w:type="dxa"/>
            <w:vAlign w:val="bottom"/>
            <w:tcBorders>
              <w:bottom w:val="single" w:sz="8" w:color="auto"/>
            </w:tcBorders>
          </w:tcPr>
          <w:p>
            <w:pPr>
              <w:jc w:val="center"/>
              <w:ind w:left="954"/>
              <w:spacing w:after="0"/>
              <w:rPr>
                <w:sz w:val="20"/>
                <w:szCs w:val="20"/>
                <w:color w:val="auto"/>
              </w:rPr>
            </w:pPr>
            <w:r>
              <w:rPr>
                <w:rFonts w:ascii="Times New Roman" w:cs="Times New Roman" w:eastAsia="Times New Roman" w:hAnsi="Times New Roman"/>
                <w:sz w:val="18"/>
                <w:szCs w:val="18"/>
                <w:color w:val="auto"/>
                <w:w w:val="99"/>
              </w:rPr>
              <w:t>608,986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0" w:type="dxa"/>
            <w:vAlign w:val="bottom"/>
          </w:tcPr>
          <w:p>
            <w:pPr>
              <w:spacing w:after="0"/>
              <w:rPr>
                <w:sz w:val="1"/>
                <w:szCs w:val="1"/>
                <w:color w:val="auto"/>
              </w:rPr>
            </w:pPr>
          </w:p>
        </w:tc>
      </w:tr>
      <w:tr>
        <w:trPr>
          <w:trHeight w:val="21"/>
        </w:trPr>
        <w:tc>
          <w:tcPr>
            <w:tcW w:w="7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all RSUs granted was $6.99, $12.56 and $17.56 in 2025, 2024 and 2023, respectively. The total market value of RSUs that vested during 2025, 2024 and 2023 was $11.6 million, $11.7 million and $17.2 million,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Share-based Compensation Expenses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share-based compensation expenses of $25.3 million, $26.1 million and $25.9 million (including $0.2 million recorded as part of Restructuring and other related charges), reduced for forfeitures, for the years ended December 31, 2025, 2024 and 2023, respectively.</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Share-based compensation expenses are recognized in the consolidated statements of income (loss) as part of selling, general and administrative expenses. As of December 31, 2025, there was $21.3 million of total unrecognized share-based compensation costs related to Company employees who held unvested AMC Networks restricted stock units. The unrecognized compensation cost is expected to be recognized over a weighted-average remaining period of approximately 1.9 years. There were no costs related to share-based compensation that were capitalized.</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receives income tax deductions related to restricted stock units, stock options or other equity awards granted to its employees by the Company. Cash flows resulting from excess tax benefits and deficiencies are classified along with other income tax cash flows as an operating activity.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 of $2.9 million, $2.0 million and $2.6 million were recorded for the years ended December 31, 2025, 2024 and 2023, respectively.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Plans</w:t>
      </w:r>
    </w:p>
    <w:p>
      <w:pPr>
        <w:spacing w:after="0" w:line="121"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The Company's long-term incentive program includes cash performance awards for executives and other members of management. The terms and conditions of such awards are determined by the Compensation Committee of the Company's Board of Directors, and include the achievement of certain performance criteria over a three-year performance period. During 2025, 2024 and 2023, the Company granted long-term incentive cash performance awards with three-year cliff vesting. Compensation expense is recognized in the consolidated statements of income (loss) as part of selling, general and administrative expenses ratably over the vesting period. The Company recorded compensation expense of $10.9 million, $10.7 million and $11.5 million for the years ended December 31, 2025, 2024 and 2023,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Benefit Plans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 Company makes matching contributions on behalf of participating employees in accordance with the terms of the 401(k) Plan. In addition to the matching contribution, the Company may make a discretionary year-end contribution to employee 401(k) Plan and Excess Savings Plan accounts, subject to certain conditions.</w:t>
      </w:r>
    </w:p>
    <w:p>
      <w:pPr>
        <w:spacing w:after="0" w:line="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expense related to all benefit plans was $6.3 million, $6.7 million and $6.7 million for the years ended December 31, 2025, 2024 and 2023, respectively. The Company does not provide postretirement benefits for any of its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Related Party Transactions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4% of the Company's outstanding Class A Common Stock. Such shares of the Company's Class A Common Stock and Class B Common Stock, collectively, represent approximately 79% of the aggregate voting power of the Company's outstanding common stock. Members of the Dolan Family are also the controlling stockholders of Sphere Entertainment Co. ("Sphere Entertainment"), Madison Square Garden Sports Corp. ("MSGS") and Madison Square Garden Entertainment Corp. ("MSGE"). The Company provides services to and receives services from Sphere Entertainment, MSGS and MSGE.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arrangements with 605, LLC. James L. Dolan, the Non-Executive Chairman and a director of the Company, and his spouse, Kristin A. Dolan, the Chief Executive Officer of the Company and founder of 605, LLC, previously owned 100% of 605, LLC. Kristin A. Dolan also served as the Non-Executive Chairman of 605, LLC from February 2023 until September 2023, and served as its Chief Executive Officer from its inception in 2016 until February 2023. 605, LLC provides audience measurement and data analytics services to the Company and its subsidiaries pursuant to a Master Services Agreement dated February 8, 2019 (the “Master Services Agreement"). On September 13, 2023, 605, LLC was sold to iSpot.tv, and James L. Dolan and Kristin A. Dolan now hold a minority interest in iSpot.tv. As a result, from and after September 13, 2023, 605, LLC is no longer considered to be a related party.</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2022, the Audit Committee authorized the Company to enter into a Statement of Work for Strategic Analytic Services (the “Statement of Work”) with 605, LLC under the Master Services Agreement. Under the Statement of Work, 605, LLC was engaged in a strategic, research, market, business and financial assessment of the Company and its business, partnering with the Company’s management team. The term of the Statement of Work ran from August 1, 2022 to June 30, 2023. The fees paid to 605, LLC by the Company for these services were $10.5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and its related parties routinely enter into transactions with each other in the ordinary course of business. Revenues, net from these transactions amounted to $4.8 million, $5.3 million and $5.2 million for the years ended December 31, 2025, 2024 and 2023, respectively. Amounts charged to the Company in connection with these transactions, included in selling, general and administrative expenses, amounted to $1.9 million, $1.1 million and $7.9 million for the years ended December 31, 2025, 2024 and 2023, respectively.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on September 2, 2025, the Company entered into a consulting agreement with MSG Networks Inc. ("MSG Networks") to provide certain advisory services to MSG Networks. Under this agreement, the Company recorded $0.7 million of income for the year ended December 31, 2025, which is recorded in Miscellaneous, net in the consolidated statements of income (loss).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details the Company's non-cash investing and financing activities and other supplemental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06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7,647</w:t>
            </w: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additions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incurred but not yet paid</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Supplemental Data:</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4"/>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interest paid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149,535</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Our Chief Executive Officer (“CEO”) is the CODM.</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its operations into two operating segments: Domestic Operations and International. These operating segments represent strategic business units that are managed separately.</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2024, the Company updated the name of its previously titled "International and Other" operating segment to "International" due to the divestiture of the 25/7 Media production services business on December 29, 2023, which was the sole component of the operating segment that comprised “Other.” This update did not constitute a change in segment reporting, but rather an update in name only. Prior period segment information contained in this report for the "International" operating segment includes the results of the 25/7 Media production services business through the date of divestiture.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evaluates segment performance based on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(loss) from majority-owned equity method investees. The Company has presented the components that reconcile adjusted operating income to income from operations before income taxes, and other information as to the continuing operations of the Company's operating segments below.</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Adjusted operating income reflects the Company’s ability to control costs and generate income through its operations to invest in its current business as well as new opportunities. The CODM uses adjusted operating income to monitor budget versus actual results and to benchmark to peer companies, as adjusted operating income and similar measures with similar titles are common performance measures used by investors, analysts, and peers to compare performance in the industry. The monitoring and evaluation of budgeted versus actual results facilitates the CODM’s assessment of segment performance and informs decisions on the allocation of resources, including decisions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center"/>
              <w:ind w:left="631"/>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1160" w:type="dxa"/>
            <w:vAlign w:val="bottom"/>
            <w:tcBorders>
              <w:bottom w:val="single" w:sz="8" w:color="auto"/>
            </w:tcBorders>
          </w:tcPr>
          <w:p>
            <w:pPr>
              <w:spacing w:after="0"/>
              <w:rPr>
                <w:sz w:val="18"/>
                <w:szCs w:val="18"/>
                <w:color w:val="auto"/>
              </w:rPr>
            </w:pPr>
          </w:p>
        </w:tc>
      </w:tr>
      <w:tr>
        <w:trPr>
          <w:trHeight w:val="56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0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4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1,264,823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1,453,240</w:t>
            </w: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580,795</w:t>
            </w:r>
          </w:p>
        </w:tc>
      </w:tr>
      <w:tr>
        <w:trPr>
          <w:trHeight w:val="229"/>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277,766</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300,679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2,311,801</w:t>
            </w:r>
          </w:p>
        </w:tc>
      </w:tr>
      <w:tr>
        <w:trPr>
          <w:trHeight w:val="229"/>
        </w:trPr>
        <w:tc>
          <w:tcPr>
            <w:tcW w:w="6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2,317,935</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2,311,801</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Content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533,343</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total segment adjusted operating income: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29"/>
        </w:trPr>
        <w:tc>
          <w:tcPr>
            <w:tcW w:w="63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(120,616)</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(25,330)</w:t>
            </w: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(94,425)</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(97,784)</w:t>
            </w: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(26,536)</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r>
      <w:tr>
        <w:trPr>
          <w:trHeight w:val="230"/>
        </w:trPr>
        <w:tc>
          <w:tcPr>
            <w:tcW w:w="6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(23,744)</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133,322</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(172,353)</w:t>
            </w: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27,746</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extinguishment of debt, net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129,800</w:t>
            </w:r>
          </w:p>
        </w:tc>
      </w:tr>
      <w:tr>
        <w:trPr>
          <w:trHeight w:val="230"/>
        </w:trPr>
        <w:tc>
          <w:tcPr>
            <w:tcW w:w="6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Miscellaneous, net</w:t>
            </w: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29,483</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147,998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firstLine="8"/>
        <w:spacing w:after="0" w:line="282" w:lineRule="auto"/>
        <w:tabs>
          <w:tab w:leader="none" w:pos="19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AMCNI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center"/>
              <w:ind w:left="631"/>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c>
          <w:tcPr>
            <w:tcW w:w="1160" w:type="dxa"/>
            <w:vAlign w:val="bottom"/>
            <w:tcBorders>
              <w:bottom w:val="single" w:sz="8" w:color="auto"/>
            </w:tcBorders>
          </w:tcPr>
          <w:p>
            <w:pPr>
              <w:spacing w:after="0"/>
              <w:rPr>
                <w:sz w:val="18"/>
                <w:szCs w:val="18"/>
                <w:color w:val="auto"/>
              </w:rPr>
            </w:pPr>
          </w:p>
        </w:tc>
      </w:tr>
      <w:tr>
        <w:trPr>
          <w:trHeight w:val="56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0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4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1,275,127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196,924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1,472,051</w:t>
            </w: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676,634</w:t>
            </w:r>
          </w:p>
        </w:tc>
      </w:tr>
      <w:tr>
        <w:trPr>
          <w:trHeight w:val="229"/>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272,629</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r>
      <w:tr>
        <w:trPr>
          <w:trHeight w:val="229"/>
        </w:trPr>
        <w:tc>
          <w:tcPr>
            <w:tcW w:w="6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16,703</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2,438,017</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2,421,314</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Content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4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684,484</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total segment adjusted operating income: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r>
      <w:tr>
        <w:trPr>
          <w:trHeight w:val="229"/>
        </w:trPr>
        <w:tc>
          <w:tcPr>
            <w:tcW w:w="6320" w:type="dxa"/>
            <w:vAlign w:val="bottom"/>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(119,683)</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(26,051)</w:t>
            </w: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(98,015)</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(399,513)</w:t>
            </w: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(49,464)</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(13,452)</w:t>
            </w:r>
          </w:p>
        </w:tc>
      </w:tr>
      <w:tr>
        <w:trPr>
          <w:trHeight w:val="230"/>
        </w:trPr>
        <w:tc>
          <w:tcPr>
            <w:tcW w:w="6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(15,678)</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(166,186)</w:t>
            </w: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36,803</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6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Miscellaneous, net</w:t>
            </w: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firstLine="8"/>
        <w:spacing w:after="0" w:line="282" w:lineRule="auto"/>
        <w:tabs>
          <w:tab w:leader="none" w:pos="19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AMCNI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jc w:val="center"/>
              <w:ind w:left="631"/>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160" w:type="dxa"/>
            <w:vAlign w:val="bottom"/>
            <w:tcBorders>
              <w:bottom w:val="single" w:sz="8" w:color="auto"/>
            </w:tcBorders>
          </w:tcPr>
          <w:p>
            <w:pPr>
              <w:spacing w:after="0"/>
              <w:rPr>
                <w:sz w:val="18"/>
                <w:szCs w:val="18"/>
                <w:color w:val="auto"/>
              </w:rPr>
            </w:pPr>
          </w:p>
        </w:tc>
      </w:tr>
      <w:tr>
        <w:trPr>
          <w:trHeight w:val="56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Domestic Operations</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400" w:type="dxa"/>
            <w:vAlign w:val="bottom"/>
          </w:tcPr>
          <w:p>
            <w:pPr>
              <w:spacing w:after="0"/>
              <w:rPr>
                <w:sz w:val="24"/>
                <w:szCs w:val="24"/>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 from external customers</w:t>
            </w:r>
          </w:p>
        </w:tc>
        <w:tc>
          <w:tcPr>
            <w:tcW w:w="4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w:t>
            </w:r>
          </w:p>
        </w:tc>
        <w:tc>
          <w:tcPr>
            <w:tcW w:w="44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1,340,207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220,854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1,561,061</w:t>
            </w:r>
          </w:p>
        </w:tc>
      </w:tr>
      <w:tr>
        <w:trPr>
          <w:trHeight w:val="22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715,646</w:t>
            </w:r>
          </w:p>
        </w:tc>
      </w:tr>
      <w:tr>
        <w:trPr>
          <w:trHeight w:val="229"/>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101,399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435,170</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r>
      <w:tr>
        <w:trPr>
          <w:trHeight w:val="229"/>
        </w:trPr>
        <w:tc>
          <w:tcPr>
            <w:tcW w:w="63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(Content licensing and other) </w:t>
            </w:r>
            <w:r>
              <w:rPr>
                <w:rFonts w:ascii="Times New Roman" w:cs="Times New Roman" w:eastAsia="Times New Roman" w:hAnsi="Times New Roman"/>
                <w:sz w:val="23"/>
                <w:szCs w:val="23"/>
                <w:color w:val="auto"/>
                <w:vertAlign w:val="superscript"/>
              </w:rPr>
              <w:t>(a)</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23"/>
        </w:trPr>
        <w:tc>
          <w:tcPr>
            <w:tcW w:w="6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2,721,063</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320" w:type="dxa"/>
            <w:vAlign w:val="bottom"/>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Elimination of inter-segment revenues </w:t>
            </w:r>
            <w:r>
              <w:rPr>
                <w:rFonts w:ascii="Times New Roman" w:cs="Times New Roman" w:eastAsia="Times New Roman" w:hAnsi="Times New Roman"/>
                <w:sz w:val="23"/>
                <w:szCs w:val="23"/>
                <w:color w:val="auto"/>
                <w:vertAlign w:val="superscript"/>
              </w:rPr>
              <w:t>(a)</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revenues, net</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2,711,877</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6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(b)</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Content expenses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Marketing, research, and advertising sales expenses</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Production services costs for 25/7 Media</w:t>
            </w:r>
          </w:p>
        </w:tc>
        <w:tc>
          <w:tcPr>
            <w:tcW w:w="4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320" w:type="dxa"/>
            <w:vAlign w:val="bottom"/>
            <w:tcBorders>
              <w:bottom w:val="single" w:sz="8" w:color="CCEEFF"/>
            </w:tcBorders>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(c)</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operating income</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773,292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total segment adjusted operating income: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Elimination of inter-segment profits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30"/>
        </w:trPr>
        <w:tc>
          <w:tcPr>
            <w:tcW w:w="6320" w:type="dxa"/>
            <w:vAlign w:val="bottom"/>
            <w:shd w:val="clear" w:color="auto" w:fill="CCEEFF"/>
          </w:tcPr>
          <w:p>
            <w:pPr>
              <w:ind w:left="260"/>
              <w:spacing w:after="0" w:line="230" w:lineRule="exact"/>
              <w:rPr>
                <w:sz w:val="20"/>
                <w:szCs w:val="20"/>
                <w:color w:val="auto"/>
              </w:rPr>
            </w:pPr>
            <w:r>
              <w:rPr>
                <w:rFonts w:ascii="Times New Roman" w:cs="Times New Roman" w:eastAsia="Times New Roman" w:hAnsi="Times New Roman"/>
                <w:sz w:val="18"/>
                <w:szCs w:val="18"/>
                <w:color w:val="auto"/>
              </w:rPr>
              <w:t xml:space="preserve">Unallocated corporate overhead costs </w:t>
            </w:r>
            <w:r>
              <w:rPr>
                <w:rFonts w:ascii="Times New Roman" w:cs="Times New Roman" w:eastAsia="Times New Roman" w:hAnsi="Times New Roman"/>
                <w:sz w:val="23"/>
                <w:szCs w:val="23"/>
                <w:color w:val="auto"/>
                <w:vertAlign w:val="superscript"/>
              </w:rPr>
              <w:t>(d)</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(105,405)</w:t>
            </w: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(107,402)</w:t>
            </w: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 and other charges</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(96,689)</w:t>
            </w:r>
          </w:p>
        </w:tc>
      </w:tr>
      <w:tr>
        <w:trPr>
          <w:trHeight w:val="229"/>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(27,787)</w:t>
            </w:r>
          </w:p>
        </w:tc>
      </w:tr>
      <w:tr>
        <w:trPr>
          <w:trHeight w:val="230"/>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Cloud computing amortization</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Majority-owned equity investees AOI</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388,412</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(152,703)</w:t>
            </w:r>
          </w:p>
        </w:tc>
      </w:tr>
      <w:tr>
        <w:trPr>
          <w:trHeight w:val="230"/>
        </w:trPr>
        <w:tc>
          <w:tcPr>
            <w:tcW w:w="6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37,018</w:t>
            </w:r>
          </w:p>
        </w:tc>
      </w:tr>
      <w:tr>
        <w:trPr>
          <w:trHeight w:val="230"/>
        </w:trPr>
        <w:tc>
          <w:tcPr>
            <w:tcW w:w="6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Miscellaneous, net</w:t>
            </w:r>
          </w:p>
        </w:tc>
        <w:tc>
          <w:tcPr>
            <w:tcW w:w="4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firstLine="8"/>
        <w:spacing w:after="0" w:line="282" w:lineRule="auto"/>
        <w:tabs>
          <w:tab w:leader="none" w:pos="19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revenues primarily relate to Domestic Operations content licensing sales to International, as well as services performed by AMCNI on behalf of businesses within the Domestic Operations segment.</w:t>
      </w:r>
    </w:p>
    <w:p>
      <w:pPr>
        <w:spacing w:after="0" w:line="6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122" w:lineRule="exact"/>
        <w:rPr>
          <w:rFonts w:ascii="Times New Roman" w:cs="Times New Roman" w:eastAsia="Times New Roman" w:hAnsi="Times New Roman"/>
          <w:sz w:val="14"/>
          <w:szCs w:val="14"/>
          <w:color w:val="auto"/>
        </w:rPr>
      </w:pPr>
    </w:p>
    <w:p>
      <w:pPr>
        <w:ind w:right="220" w:firstLine="8"/>
        <w:spacing w:after="0" w:line="302" w:lineRule="auto"/>
        <w:tabs>
          <w:tab w:leader="none" w:pos="19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spacing w:after="0" w:line="5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costs include costs such as executive salaries and benefits and costs of maintaining corporate headquarters, facilities and common support functions.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AMC NETWORKS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Subscription revenues in the Domestic Operations segment include revenues related to the Company's streaming services of approximately $677.0 million, $603.0 million and $565.6 million for the years ended December 31, 2025, 2024 and 2023, respectively.</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disclose total assets for each operating segment because these amounts are not regularly reviewed by the CODM nor are they used in assessing segment performance or deciding how to allocate resources to the segments.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One customer within the Domestic Operations segment accounted for approximately 18%, 16% and 13% of consolidated revenues, net for the years ended December 31, 2025, 2024 and 2023,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revenue based on customer location: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1"/>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1,839,707</w:t>
            </w:r>
          </w:p>
        </w:tc>
        <w:tc>
          <w:tcPr>
            <w:tcW w:w="5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1,917,532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2,210,253</w:t>
            </w:r>
          </w:p>
        </w:tc>
      </w:tr>
      <w:tr>
        <w:trPr>
          <w:trHeight w:val="230"/>
        </w:trPr>
        <w:tc>
          <w:tcPr>
            <w:tcW w:w="5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322,342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329,093</w:t>
            </w:r>
          </w:p>
        </w:tc>
      </w:tr>
      <w:tr>
        <w:trPr>
          <w:trHeight w:val="229"/>
        </w:trPr>
        <w:tc>
          <w:tcPr>
            <w:tcW w:w="5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150,567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172,531</w:t>
            </w:r>
          </w:p>
        </w:tc>
      </w:tr>
      <w:tr>
        <w:trPr>
          <w:trHeight w:val="248"/>
        </w:trPr>
        <w:tc>
          <w:tcPr>
            <w:tcW w:w="58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2,311,801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2,421,314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2,711,877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property and equipment based on asset location:</w:t>
      </w:r>
    </w:p>
    <w:p>
      <w:pPr>
        <w:spacing w:after="0" w:line="160"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97,357</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127,881</w:t>
            </w:r>
          </w:p>
        </w:tc>
      </w:tr>
      <w:tr>
        <w:trPr>
          <w:trHeight w:val="230"/>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r>
      <w:tr>
        <w:trPr>
          <w:trHeight w:val="230"/>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48"/>
        </w:trPr>
        <w:tc>
          <w:tcPr>
            <w:tcW w:w="7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3780"/>
        <w:spacing w:after="0"/>
        <w:rPr>
          <w:sz w:val="20"/>
          <w:szCs w:val="20"/>
          <w:color w:val="auto"/>
        </w:rPr>
      </w:pPr>
      <w:r>
        <w:rPr>
          <w:rFonts w:ascii="Times New Roman" w:cs="Times New Roman" w:eastAsia="Times New Roman" w:hAnsi="Times New Roman"/>
          <w:sz w:val="18"/>
          <w:szCs w:val="18"/>
          <w:b w:val="1"/>
          <w:bCs w:val="1"/>
          <w:color w:val="auto"/>
        </w:rPr>
        <w:t>AMC NETWORKS INC. AND SUBSIDIARIES</w:t>
      </w:r>
    </w:p>
    <w:p>
      <w:pPr>
        <w:spacing w:after="0" w:line="1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Balance at Beginning of</w:t>
            </w: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Provision for (Recovery</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Deductions/ Write-</w:t>
            </w:r>
          </w:p>
        </w:tc>
        <w:tc>
          <w:tcPr>
            <w:tcW w:w="260" w:type="dxa"/>
            <w:vAlign w:val="bottom"/>
          </w:tcPr>
          <w:p>
            <w:pPr>
              <w:spacing w:after="0"/>
              <w:rPr>
                <w:sz w:val="16"/>
                <w:szCs w:val="16"/>
                <w:color w:val="auto"/>
              </w:rPr>
            </w:pPr>
          </w:p>
        </w:tc>
        <w:tc>
          <w:tcPr>
            <w:tcW w:w="1500" w:type="dxa"/>
            <w:vAlign w:val="bottom"/>
            <w:vMerge w:val="restart"/>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86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Offs and Other Charges,</w:t>
            </w:r>
          </w:p>
        </w:tc>
        <w:tc>
          <w:tcPr>
            <w:tcW w:w="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of) Bad Debt</w:t>
            </w:r>
          </w:p>
        </w:tc>
        <w:tc>
          <w:tcPr>
            <w:tcW w:w="16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260" w:type="dxa"/>
            <w:vAlign w:val="bottom"/>
          </w:tcPr>
          <w:p>
            <w:pPr>
              <w:spacing w:after="0"/>
              <w:rPr>
                <w:sz w:val="18"/>
                <w:szCs w:val="18"/>
                <w:color w:val="auto"/>
              </w:rPr>
            </w:pPr>
          </w:p>
        </w:tc>
        <w:tc>
          <w:tcPr>
            <w:tcW w:w="150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End of Period</w:t>
            </w: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2025</w:t>
            </w:r>
          </w:p>
        </w:tc>
        <w:tc>
          <w:tcPr>
            <w:tcW w:w="3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2024</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 Ended December 31, 2023</w:t>
            </w:r>
          </w:p>
        </w:tc>
        <w:tc>
          <w:tcPr>
            <w:tcW w:w="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20"/>
          </w:cols>
          <w:pgMar w:left="320" w:top="1170" w:right="35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EXECUTION VERSION</w:t>
      </w:r>
    </w:p>
    <w:p>
      <w:pPr>
        <w:jc w:val="right"/>
        <w:spacing w:after="0"/>
        <w:rPr>
          <w:sz w:val="20"/>
          <w:szCs w:val="20"/>
          <w:color w:val="auto"/>
        </w:rPr>
      </w:pPr>
      <w:r>
        <w:rPr>
          <w:rFonts w:ascii="Times New Roman" w:cs="Times New Roman" w:eastAsia="Times New Roman" w:hAnsi="Times New Roman"/>
          <w:sz w:val="22"/>
          <w:szCs w:val="22"/>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TO THE SECOND AMENDED AND RESTATED CREDIT AGREEMENT</w:t>
      </w:r>
    </w:p>
    <w:p>
      <w:pPr>
        <w:spacing w:after="0" w:line="218"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as of September 26, 2024</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AMC NETWORKS INC.,</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as the Company and an initial Borrower,</w:t>
      </w:r>
    </w:p>
    <w:p>
      <w:pPr>
        <w:spacing w:after="0" w:line="20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AMC NETWORK ENTERTAINMENT LLC,</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as an initial Borrower,</w:t>
      </w:r>
    </w:p>
    <w:p>
      <w:pPr>
        <w:spacing w:after="0" w:line="20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JPMORGAN SECURITIES LLC,</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as Joint Lead Arrangers and Joint Bookrunners and Co-Documentation Agents</w:t>
      </w:r>
    </w:p>
    <w:p>
      <w:pPr>
        <w:spacing w:after="0" w:line="20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as Syndication Agent</w:t>
      </w:r>
    </w:p>
    <w:p>
      <w:pPr>
        <w:sectPr>
          <w:pgSz w:w="11900" w:h="16838" w:orient="portrait"/>
          <w:cols w:equalWidth="0" w:num="1">
            <w:col w:w="10060"/>
          </w:cols>
          <w:pgMar w:left="1440" w:top="167" w:right="399" w:bottom="1440" w:gutter="0" w:footer="0" w:header="0"/>
        </w:sectPr>
      </w:pPr>
    </w:p>
    <w:bookmarkStart w:id="123" w:name="page124"/>
    <w:bookmarkEnd w:id="123"/>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 TO THE SECOND AMENDED AND RESTATED CREDIT AGREEMENT</w:t>
      </w:r>
    </w:p>
    <w:p>
      <w:pPr>
        <w:spacing w:after="0" w:line="225"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4 TO THE SECOND AMENDED AND RESTATED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September 26, 2024, is among AMC NETWORKS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AMC NETWORK ENTERTAINMENT LLC, a New York limited liability company (collectively with the Company,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JPMORGAN CHASE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and the Collateral Agent , and each Lender party hereto (constituting the Required Lenders). Terms used herein and not otherwise defined have the meaning set forth in the Credit Agreement, as amended by this Amendment (as so amended, the “</w:t>
      </w:r>
      <w:r>
        <w:rPr>
          <w:rFonts w:ascii="Times New Roman" w:cs="Times New Roman" w:eastAsia="Times New Roman" w:hAnsi="Times New Roman"/>
          <w:sz w:val="18"/>
          <w:szCs w:val="18"/>
          <w:u w:val="single" w:color="auto"/>
          <w:color w:val="auto"/>
        </w:rPr>
        <w:t>Amended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PRELIMINARY STATEMENTS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656"/>
        <w:spacing w:after="0" w:line="256" w:lineRule="auto"/>
        <w:tabs>
          <w:tab w:leader="none" w:pos="10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Administrative Agent, the Lenders from time to time party thereto and other parties named therein have entered into that certain Second Amended and Restated Credit Agreement, dated as of July 28, 2017, as amended by that certain Amendment No. 1 to the Second Amended and Restated Credit Agreement, dated as of February 8, 2021, as further amended by that certain Amendment No. 2 to the Second Amended and Restated Credit Agreement, dated as of April 19, 2023 and that certain Amendment No. 3 to the Second Amended and Restated Credited Agreement, dated as of April 9, 2024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(and as the same may have been further amended, supplemented or otherwise modified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the Lenders party to the Credit Agreement immediately prior to the effectiveness of this Amendment, the “</w:t>
      </w:r>
      <w:r>
        <w:rPr>
          <w:rFonts w:ascii="Times New Roman" w:cs="Times New Roman" w:eastAsia="Times New Roman" w:hAnsi="Times New Roman"/>
          <w:sz w:val="18"/>
          <w:szCs w:val="18"/>
          <w:u w:val="single" w:color="auto"/>
          <w:color w:val="auto"/>
        </w:rPr>
        <w:t>Existing Lenders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40" w:firstLine="656"/>
        <w:spacing w:after="0" w:line="266" w:lineRule="auto"/>
        <w:tabs>
          <w:tab w:leader="none" w:pos="10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and the Lenders party hereto, constituting the Required Lenders under the Credit Agreement, upon the terms and conditions set forth herein, have agreed to enter into this Amendment to reflect certain corrections to Schedules 1.01(i) and 1.01(ii) of the Credit Agreement provided in connection with Amendment No. 3.</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for other good and valuable consideration (the receipt and sufficiency of which is hereby acknowledged), the parties hereto hereby agree as follows:</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xml:space="preserve">. The Credit Agreement is, effective as of the Amendment No. 4 Effective Date and subject to the satisfaction of the conditions precedent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each of </w:t>
      </w:r>
      <w:r>
        <w:rPr>
          <w:rFonts w:ascii="Times New Roman" w:cs="Times New Roman" w:eastAsia="Times New Roman" w:hAnsi="Times New Roman"/>
          <w:sz w:val="18"/>
          <w:szCs w:val="18"/>
          <w:u w:val="single" w:color="auto"/>
          <w:color w:val="auto"/>
        </w:rPr>
        <w:t>Schedules 1.01(i)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1.01(ii)</w:t>
      </w:r>
      <w:r>
        <w:rPr>
          <w:rFonts w:ascii="Times New Roman" w:cs="Times New Roman" w:eastAsia="Times New Roman" w:hAnsi="Times New Roman"/>
          <w:sz w:val="18"/>
          <w:szCs w:val="18"/>
          <w:color w:val="auto"/>
        </w:rPr>
        <w:t xml:space="preserve"> to the Credit Agreement is hereby amended and restated in its entirety to read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with such amendments to be deemed retroactively effective as of April 9, 2024 (the effective date of Amendment No. 3).</w:t>
      </w:r>
    </w:p>
    <w:p>
      <w:pPr>
        <w:spacing w:after="0" w:line="180"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Conditions of Effectiveness to Amendment No.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Amendment shall become effective on the date (the “</w:t>
      </w:r>
      <w:r>
        <w:rPr>
          <w:rFonts w:ascii="Times New Roman" w:cs="Times New Roman" w:eastAsia="Times New Roman" w:hAnsi="Times New Roman"/>
          <w:sz w:val="18"/>
          <w:szCs w:val="18"/>
          <w:u w:val="single" w:color="auto"/>
          <w:color w:val="auto"/>
        </w:rPr>
        <w:t>Amendment No. 4 Effective Date</w:t>
      </w:r>
      <w:r>
        <w:rPr>
          <w:rFonts w:ascii="Times New Roman" w:cs="Times New Roman" w:eastAsia="Times New Roman" w:hAnsi="Times New Roman"/>
          <w:sz w:val="18"/>
          <w:szCs w:val="18"/>
          <w:color w:val="auto"/>
        </w:rPr>
        <w:t>”) when, and only when, the following conditions shall have been satisfied:</w:t>
      </w:r>
    </w:p>
    <w:p>
      <w:pPr>
        <w:spacing w:after="0" w:line="162" w:lineRule="exact"/>
        <w:rPr>
          <w:sz w:val="20"/>
          <w:szCs w:val="20"/>
          <w:color w:val="auto"/>
        </w:rPr>
      </w:pPr>
    </w:p>
    <w:p>
      <w:pPr>
        <w:jc w:val="both"/>
        <w:ind w:right="400" w:firstLine="656"/>
        <w:spacing w:after="0" w:line="266" w:lineRule="auto"/>
        <w:tabs>
          <w:tab w:leader="none" w:pos="10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of this Amendment executed by the Borrowers and Lenders constituting the Required Lenders (or, as to any such Lenders, written evidence reasonably satisfactory to the Administrative Agent that such Lender has executed this Amendment).</w:t>
      </w:r>
    </w:p>
    <w:p>
      <w:pPr>
        <w:spacing w:after="0" w:line="175" w:lineRule="exact"/>
        <w:rPr>
          <w:rFonts w:ascii="Times New Roman" w:cs="Times New Roman" w:eastAsia="Times New Roman" w:hAnsi="Times New Roman"/>
          <w:sz w:val="18"/>
          <w:szCs w:val="18"/>
          <w:color w:val="auto"/>
        </w:rPr>
      </w:pPr>
    </w:p>
    <w:p>
      <w:pPr>
        <w:ind w:firstLine="656"/>
        <w:spacing w:after="0" w:line="258" w:lineRule="auto"/>
        <w:tabs>
          <w:tab w:leader="none" w:pos="103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all fees, charges and disbursements of counsel to the Administrative Agent to the extent required to be paid pursuant to Section 5 of this Amendment or Section 10.04 of the Credit Agreement and properly invoiced at least three (3) Business Days prior to or on the Amendment No. 4 Effective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194"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Each Loan Party represents and warrants to the Administrative Agent and the Lenders that:</w:t>
      </w:r>
    </w:p>
    <w:p>
      <w:pPr>
        <w:spacing w:after="0" w:line="225" w:lineRule="exact"/>
        <w:rPr>
          <w:sz w:val="20"/>
          <w:szCs w:val="20"/>
          <w:color w:val="auto"/>
        </w:rPr>
      </w:pPr>
    </w:p>
    <w:p>
      <w:pPr>
        <w:ind w:firstLine="656"/>
        <w:spacing w:after="0" w:line="252" w:lineRule="auto"/>
        <w:tabs>
          <w:tab w:leader="none" w:pos="10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execution, delivery and performance by such party of this Amendment and the transactions contemplated hereby have been duly authorized by all necessary corporate or other action and do not and will not: (A) violate any Law currently in effect (other than violations that, singly or in the aggregate, have not had and are not likely to have a Materially Adverse Effect), or any provision of any of the Company’s or the Restricted Subsidiaries’ respective organizational documents presently in effect; (B) conflict with or result in the breach of, or constitute a default or require any consent under, or require any payment to be made under (1) any Contractual Obligation to which the Company or any of the Restricted Subsidiaries is a party or their respective properties may be bound or affected or (2) any order, injunction, writ or decree of any Governmental Authority or any arbitral award to which the Company or any of the Restricted Subsidiaries or their respective properties are subject (in each case, other than any conflict, breach, default or required consent that, singly or in the aggregate, have not had and are not likely to have a Materially Adverse Effect); (C) require the approval or consent of, or filing or registration with, any (1) Governmental Authority or (2) any other third party, in the case of this clause (2) pursuant to any Contractual Obligation that is material to the business of the Company or any of its Restricted Subsidiaries; or (D) except as provided under any Loan Document, result in, or require, the creation or imposition of any Lien upon or with respect to any of the properties or assets now owned or hereafter acquired by the Company or any of the Restricted Subsidiaries, and (ii) this Amendment has been duly executed and delivered by such party and this Amendment and the Amended Credit Agreement constitute a legal, valid and binding obligation of such party, enforceable against such party in accordance with its terms (except for limitations on enforceability under bankruptcy, reorganization, insolvency and other similar laws affecting creditors’ rights generally and limitations on the availability of the remedy of specific performance imposed by the application of general equitable principles).</w:t>
      </w:r>
    </w:p>
    <w:p>
      <w:pPr>
        <w:spacing w:after="0" w:line="195" w:lineRule="exact"/>
        <w:rPr>
          <w:rFonts w:ascii="Times New Roman" w:cs="Times New Roman" w:eastAsia="Times New Roman" w:hAnsi="Times New Roman"/>
          <w:sz w:val="18"/>
          <w:szCs w:val="18"/>
          <w:color w:val="auto"/>
        </w:rPr>
      </w:pPr>
    </w:p>
    <w:p>
      <w:pPr>
        <w:ind w:right="60" w:firstLine="656"/>
        <w:spacing w:after="0" w:line="266" w:lineRule="auto"/>
        <w:tabs>
          <w:tab w:leader="none" w:pos="103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Both immediately before and immediately after the Amendment No. 4 Effective Date, the representations and warranties of such Loan Party contained in the Credit Agreement and any other Loan Document are true and correct in all material respects;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representations and warranties expressly refer to an earlier date, they shall be true and correct in all material respects as of such earlier date.</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immediately before and immediately after the Amendment No. 4 Effective Date, no Default or Event of Default has occurred and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w:t>
      </w:r>
    </w:p>
    <w:p>
      <w:pPr>
        <w:spacing w:after="0" w:line="20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Reference to and effect on the Credit Agreement and the Loan Documents</w:t>
      </w:r>
      <w:r>
        <w:rPr>
          <w:rFonts w:ascii="Times New Roman" w:cs="Times New Roman" w:eastAsia="Times New Roman" w:hAnsi="Times New Roman"/>
          <w:sz w:val="18"/>
          <w:szCs w:val="18"/>
          <w:color w:val="auto"/>
        </w:rPr>
        <w:t>. (a) On and after the effectiveness of this Amendment, each reference in the Credit Agreement to “this Credit Agreement”, “hereunder”, “hereof” or words of like import referring to the Credit Agreement, and each reference in the Notes and each of the other Loan Documents to “the Credit Agreement”, “thereunder”, “thereof” or words of like import referring to the Credit Agreement, shall mean and be a reference to the Amended Credit Agreement.</w:t>
      </w:r>
    </w:p>
    <w:p>
      <w:pPr>
        <w:spacing w:after="0" w:line="180" w:lineRule="exact"/>
        <w:rPr>
          <w:sz w:val="20"/>
          <w:szCs w:val="20"/>
          <w:color w:val="auto"/>
        </w:rPr>
      </w:pPr>
    </w:p>
    <w:p>
      <w:pPr>
        <w:ind w:right="260" w:firstLine="656"/>
        <w:spacing w:after="0" w:line="261" w:lineRule="auto"/>
        <w:tabs>
          <w:tab w:leader="none" w:pos="10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as specifically amended by this Amendment, is and shall continue to be in full force and effect and is hereby in all respects ratified and confirmed. This Amendment is not intended to and shall not constitute a novation of the Credit Agreement. Without limiting the generality of the foregoing, the Collateral Documents and all of the Collateral described therein do and shall continue to secure the payment of all Obligations of the Loan Parties under the Loan Documents, in each case as amended by this Amendment.</w:t>
      </w:r>
    </w:p>
    <w:p>
      <w:pPr>
        <w:spacing w:after="0" w:line="179"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any Lender or the Administrative Agent under any of the Loan Documents, nor constitute a waiver of any provision of any of the Loan Documents.</w:t>
      </w:r>
    </w:p>
    <w:p>
      <w:pPr>
        <w:spacing w:after="0" w:line="175" w:lineRule="exact"/>
        <w:rPr>
          <w:rFonts w:ascii="Times New Roman" w:cs="Times New Roman" w:eastAsia="Times New Roman" w:hAnsi="Times New Roman"/>
          <w:sz w:val="18"/>
          <w:szCs w:val="18"/>
          <w:color w:val="auto"/>
        </w:rPr>
      </w:pPr>
    </w:p>
    <w:p>
      <w:pPr>
        <w:ind w:right="80" w:firstLine="656"/>
        <w:spacing w:after="0" w:line="261" w:lineRule="auto"/>
        <w:tabs>
          <w:tab w:leader="none" w:pos="10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hereby (i) ratifies and reaffirms all of its payment and performance obligations, contingent or otherwise, under each of the Loan Documents to which it is a party, (ii) ratifies and reaffirms each grant of a lien on, or security interest in, its property made pursuant to the Loan Documents (including, without limitation, the grant of security made by such Loan Party pursuant to the Security Agreement) and confirms that such liens and security interests continue to secure the Obligations under the Loan Documents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Amended Credit Agreement), subject to the terms thereof and (iii) in the case of each Guarantor, ratifies and reaffirms its guaranty of the Obligations pursuant to the Guaranty.</w:t>
      </w:r>
    </w:p>
    <w:p>
      <w:pPr>
        <w:spacing w:after="0" w:line="162" w:lineRule="exact"/>
        <w:rPr>
          <w:sz w:val="20"/>
          <w:szCs w:val="20"/>
          <w:color w:val="auto"/>
        </w:rPr>
      </w:pPr>
    </w:p>
    <w:p>
      <w:pPr>
        <w:ind w:right="100" w:firstLine="656"/>
        <w:spacing w:after="0" w:line="282" w:lineRule="auto"/>
        <w:tabs>
          <w:tab w:leader="none" w:pos="103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(other than clause (a) thereof) and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of the Credit Agreement are hereby incorporated by reference as if set forth in full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340" w:firstLine="656"/>
        <w:spacing w:after="0" w:line="282" w:lineRule="auto"/>
        <w:tabs>
          <w:tab w:leader="none" w:pos="10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of this Amendment are for purposes of reference only and shall not be deemed to limit, amplify or modify the terms of this Amendment, nor affect the meaning hereof.</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xml:space="preserve"> The Borrower agrees to pay all reasonable out-of-pocket costs and expenses of the Administrative Agent in connection with the preparation, execution, delivery and administration of this Amendment and the other instruments and documents to be delivered hereunder (including, without limitation, the reasonable fees and expenses of counsel for the Administrative Agent) in accordance with the terms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of the Credit Agreement.</w:t>
      </w:r>
    </w:p>
    <w:p>
      <w:pPr>
        <w:spacing w:after="0" w:line="180"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of (x) this Amendment and/or (y) any document, approval, consent, information, notice, certificate, request, statement disclosure or authorization related to this Amendment and/or the transactions contemplated hereby (each an “</w:t>
      </w:r>
      <w:r>
        <w:rPr>
          <w:rFonts w:ascii="Times New Roman" w:cs="Times New Roman" w:eastAsia="Times New Roman" w:hAnsi="Times New Roman"/>
          <w:sz w:val="18"/>
          <w:szCs w:val="18"/>
          <w:u w:val="single" w:color="auto"/>
          <w:color w:val="auto"/>
        </w:rPr>
        <w:t>Ancillary Document</w:t>
      </w:r>
      <w:r>
        <w:rPr>
          <w:rFonts w:ascii="Times New Roman" w:cs="Times New Roman" w:eastAsia="Times New Roman" w:hAnsi="Times New Roman"/>
          <w:sz w:val="18"/>
          <w:szCs w:val="18"/>
          <w:color w:val="auto"/>
        </w:rPr>
        <w:t xml:space="preserve">”) that is an Electronic Signature (as defined below) transmitted by telecopy, e-mailed .pdf or any other electronic means that reproduces an image of an actual executed signature page shall be effective as delivery of a manually executed counterpart of this Amendment or such Ancillary Document, as applicable. The words “execution,” “signed,” “signature,” “delivery,” and words of like import in or relating to this Amendment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For purposes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90"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Amendment shall be governed by, and construed in accordance with, the law of the State of New York.</w:t>
      </w:r>
    </w:p>
    <w:p>
      <w:pPr>
        <w:spacing w:after="0" w:line="225" w:lineRule="exact"/>
        <w:rPr>
          <w:sz w:val="20"/>
          <w:szCs w:val="20"/>
          <w:color w:val="auto"/>
        </w:rPr>
      </w:pPr>
    </w:p>
    <w:p>
      <w:pPr>
        <w:ind w:right="240" w:firstLine="648"/>
        <w:spacing w:after="0" w:line="270"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EACH PARTY HERETO HEREBY IRREVOCABLY WAIVES, TO THE FULLEST EXTENT PERMITTED BY APPLICABLE LAW, ANY RIGHT IT MAY HAVE TO A TRIAL BY JURY IN ANY LEGAL PROCEEDING DIRECTLY OR INDIRECTLY ARISING OUT OF OR RELATING TO THIS AMENDMENT OR ANY OTHER LOAN DOCUMENT OR THE TRANSACTIONS CONTEMPLATED HEREBY OR THEREBY (WHETHER BASED ON CONTRACT, TORT OR ANY OTHER THEORY). EACH PARTY HERETO</w:t>
      </w:r>
    </w:p>
    <w:p>
      <w:pPr>
        <w:spacing w:after="0" w:line="3" w:lineRule="exact"/>
        <w:rPr>
          <w:sz w:val="20"/>
          <w:szCs w:val="20"/>
          <w:color w:val="auto"/>
        </w:rPr>
      </w:pPr>
    </w:p>
    <w:p>
      <w:pPr>
        <w:ind w:right="20" w:firstLine="8"/>
        <w:spacing w:after="0" w:line="273" w:lineRule="auto"/>
        <w:tabs>
          <w:tab w:leader="none" w:pos="29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AND THE OTHER LOAN DOCUMENTS BY, AMONG OTHER THINGS, THE MUTUAL WAIVERS AND CERTIFICATIONS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center"/>
        <w:ind w:right="-319"/>
        <w:spacing w:after="0"/>
        <w:tabs>
          <w:tab w:leader="none" w:pos="1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Loan Document</w:t>
      </w:r>
      <w:r>
        <w:rPr>
          <w:rFonts w:ascii="Times New Roman" w:cs="Times New Roman" w:eastAsia="Times New Roman" w:hAnsi="Times New Roman"/>
          <w:sz w:val="17"/>
          <w:szCs w:val="17"/>
          <w:color w:val="auto"/>
        </w:rPr>
        <w:t>. This Amendment shall constitute and be deemed to be a Loan Document as defined in the Credit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94" w:lineRule="exact"/>
        <w:rPr>
          <w:sz w:val="20"/>
          <w:szCs w:val="20"/>
          <w:color w:val="auto"/>
        </w:rPr>
      </w:pPr>
    </w:p>
    <w:p>
      <w:pPr>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Amendment to be executed by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thereunto duly authorized,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AMC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Ed Schwartz</w:t>
      </w:r>
    </w:p>
    <w:p>
      <w:pPr>
        <w:spacing w:after="0" w:line="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Ed Schwartz</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EVP – Strategic Finance and Treasurer</w:t>
      </w:r>
    </w:p>
    <w:p>
      <w:pPr>
        <w:spacing w:after="0" w:line="200" w:lineRule="exact"/>
        <w:rPr>
          <w:sz w:val="20"/>
          <w:szCs w:val="20"/>
          <w:color w:val="auto"/>
        </w:rPr>
      </w:pPr>
    </w:p>
    <w:p>
      <w:pPr>
        <w:spacing w:after="0" w:line="2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AMC NETWORK ENTERTAINMENT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Ed Schwartz</w:t>
      </w:r>
    </w:p>
    <w:p>
      <w:pPr>
        <w:spacing w:after="0" w:line="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Name: Ed Schwartz</w:t>
      </w:r>
    </w:p>
    <w:p>
      <w:pPr>
        <w:spacing w:after="0" w:line="1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Title: EVP – Strategic Finance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i w:val="1"/>
          <w:iCs w:val="1"/>
          <w:color w:val="auto"/>
        </w:rPr>
        <w:t>Amendment No. 4 to Credit Agreement</w:t>
      </w:r>
    </w:p>
    <w:p>
      <w:pPr>
        <w:sectPr>
          <w:pgSz w:w="11900" w:h="16838" w:orient="portrait"/>
          <w:cols w:equalWidth="0" w:num="1">
            <w:col w:w="10880"/>
          </w:cols>
          <w:pgMar w:left="320" w:top="1440" w:right="699" w:bottom="1440" w:gutter="0" w:footer="0" w:header="0"/>
        </w:sectPr>
      </w:pPr>
    </w:p>
    <w:bookmarkStart w:id="127" w:name="page128"/>
    <w:bookmarkEnd w:id="127"/>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32" w:lineRule="exact"/>
        <w:rPr>
          <w:sz w:val="20"/>
          <w:szCs w:val="20"/>
          <w:color w:val="auto"/>
        </w:rPr>
      </w:pPr>
    </w:p>
    <w:p>
      <w:pPr>
        <w:ind w:left="2780"/>
        <w:spacing w:after="0" w:line="248" w:lineRule="auto"/>
        <w:rPr>
          <w:sz w:val="20"/>
          <w:szCs w:val="20"/>
          <w:color w:val="auto"/>
        </w:rPr>
      </w:pPr>
      <w:r>
        <w:rPr>
          <w:rFonts w:ascii="Times New Roman" w:cs="Times New Roman" w:eastAsia="Times New Roman" w:hAnsi="Times New Roman"/>
          <w:sz w:val="22"/>
          <w:szCs w:val="22"/>
          <w:color w:val="auto"/>
        </w:rPr>
        <w:t>as Administrative Agent, Collateral Agent, Lender, Swing Line Lender and an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Inderjeet Aneja</w:t>
      </w:r>
    </w:p>
    <w:p>
      <w:pPr>
        <w:spacing w:after="0" w:line="2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 Inderjeet Aneja</w:t>
      </w:r>
    </w:p>
    <w:p>
      <w:pPr>
        <w:spacing w:after="0" w:line="1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920"/>
          </w:cols>
          <w:pgMar w:left="1440" w:top="1440" w:right="539" w:bottom="1440" w:gutter="0" w:footer="0" w:header="0"/>
        </w:sectPr>
      </w:pPr>
    </w:p>
    <w:bookmarkStart w:id="128" w:name="page129"/>
    <w:bookmarkEnd w:id="128"/>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BANK OF AMERICA, N.A.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as a Lender and as an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Spencer Hunter</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 Spencer Hunter</w:t>
      </w:r>
    </w:p>
    <w:p>
      <w:pPr>
        <w:spacing w:after="0" w:line="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29" w:name="page130"/>
    <w:bookmarkEnd w:id="129"/>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CITIBANK, N.A.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Elizabeth Minnella Gonzalez</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 Elizabeth Minnella Gonzalez</w:t>
      </w:r>
    </w:p>
    <w:p>
      <w:pPr>
        <w:spacing w:after="0" w:line="5"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22"/>
          <w:szCs w:val="22"/>
          <w:color w:val="auto"/>
        </w:rPr>
        <w:t>Title: Vice President and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TRUIST BANK</w:t>
      </w:r>
      <w:r>
        <w:rPr>
          <w:rFonts w:ascii="Times New Roman" w:cs="Times New Roman" w:eastAsia="Times New Roman" w:hAnsi="Times New Roman"/>
          <w:sz w:val="22"/>
          <w:szCs w:val="22"/>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 Matthew Rowand</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J. Matthew Rowand</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U.S. BANK NATIONAL ASSOCIATION</w:t>
      </w:r>
      <w:r>
        <w:rPr>
          <w:rFonts w:ascii="Times New Roman" w:cs="Times New Roman" w:eastAsia="Times New Roman" w:hAnsi="Times New Roman"/>
          <w:sz w:val="21"/>
          <w:szCs w:val="21"/>
          <w:color w:val="auto"/>
        </w:rPr>
        <w:t>, as a Lender</w:t>
      </w:r>
    </w:p>
    <w:p>
      <w:pPr>
        <w:spacing w:after="0" w:line="23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Steven J. Correll</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 Steven J. Correll</w:t>
      </w:r>
    </w:p>
    <w:p>
      <w:pPr>
        <w:spacing w:after="0" w:line="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FIFTH THIRD BANK, NATIONAL ASSOCIATION</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Shrader</w:t>
      </w:r>
    </w:p>
    <w:p>
      <w:pPr>
        <w:spacing w:after="0" w:line="2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 Jason Shrader</w:t>
      </w:r>
    </w:p>
    <w:p>
      <w:pPr>
        <w:spacing w:after="0" w:line="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MORGAN STANLEY SENIOR FUNDING, INC.</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Atu Koffie-Lart</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Atu Koffie-Lart</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26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b w:val="1"/>
          <w:bCs w:val="1"/>
          <w:color w:val="auto"/>
        </w:rPr>
        <w:t>MORGAN STANLEY BANK, N.A.</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Atu Koffie-Lart</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Atu Koffie-Lart</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The Bank of Nova Scotia</w:t>
      </w:r>
      <w:r>
        <w:rPr>
          <w:rFonts w:ascii="Times New Roman" w:cs="Times New Roman" w:eastAsia="Times New Roman" w:hAnsi="Times New Roman"/>
          <w:sz w:val="21"/>
          <w:szCs w:val="21"/>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Joseph Ward</w:t>
      </w:r>
    </w:p>
    <w:p>
      <w:pPr>
        <w:spacing w:after="0" w:line="2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Name: Joseph Ward</w:t>
      </w:r>
    </w:p>
    <w:p>
      <w:pPr>
        <w:spacing w:after="0" w:line="18"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Amendment No.4 to Credit Agreement</w:t>
      </w:r>
    </w:p>
    <w:p>
      <w:pPr>
        <w:sectPr>
          <w:pgSz w:w="11900" w:h="16838" w:orient="portrait"/>
          <w:cols w:equalWidth="0" w:num="1">
            <w:col w:w="9019"/>
          </w:cols>
          <w:pgMar w:left="1440" w:top="1440" w:right="1440" w:bottom="1440" w:gutter="0" w:footer="0" w:header="0"/>
        </w:sectPr>
      </w:pPr>
    </w:p>
    <w:bookmarkStart w:id="136" w:name="page137"/>
    <w:bookmarkEnd w:id="136"/>
    <w:p>
      <w:pPr>
        <w:ind w:left="6400"/>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320" w:type="dxa"/>
            <w:vAlign w:val="bottom"/>
          </w:tcPr>
          <w:p>
            <w:pPr>
              <w:spacing w:after="0"/>
              <w:rPr>
                <w:sz w:val="24"/>
                <w:szCs w:val="24"/>
                <w:color w:val="auto"/>
              </w:rPr>
            </w:pPr>
          </w:p>
        </w:tc>
        <w:tc>
          <w:tcPr>
            <w:tcW w:w="7460" w:type="dxa"/>
            <w:vAlign w:val="bottom"/>
          </w:tcPr>
          <w:p>
            <w:pPr>
              <w:jc w:val="center"/>
              <w:ind w:left="872"/>
              <w:spacing w:after="0"/>
              <w:rPr>
                <w:sz w:val="20"/>
                <w:szCs w:val="20"/>
                <w:color w:val="auto"/>
              </w:rPr>
            </w:pPr>
            <w:r>
              <w:rPr>
                <w:rFonts w:ascii="Times New Roman" w:cs="Times New Roman" w:eastAsia="Times New Roman" w:hAnsi="Times New Roman"/>
                <w:sz w:val="22"/>
                <w:szCs w:val="22"/>
                <w:b w:val="1"/>
                <w:bCs w:val="1"/>
                <w:color w:val="auto"/>
                <w:w w:val="97"/>
              </w:rPr>
              <w:t>SCHEDULE 1.01(I)</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7460" w:type="dxa"/>
            <w:vAlign w:val="bottom"/>
          </w:tcPr>
          <w:p>
            <w:pPr>
              <w:jc w:val="center"/>
              <w:ind w:left="892"/>
              <w:spacing w:after="0"/>
              <w:rPr>
                <w:sz w:val="20"/>
                <w:szCs w:val="20"/>
                <w:color w:val="auto"/>
              </w:rPr>
            </w:pPr>
            <w:r>
              <w:rPr>
                <w:rFonts w:ascii="Times New Roman" w:cs="Times New Roman" w:eastAsia="Times New Roman" w:hAnsi="Times New Roman"/>
                <w:sz w:val="22"/>
                <w:szCs w:val="22"/>
                <w:b w:val="1"/>
                <w:bCs w:val="1"/>
                <w:color w:val="auto"/>
                <w:w w:val="98"/>
              </w:rPr>
              <w:t>RESTRICTED SUBSIDIARIES</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9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232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w w:val="97"/>
              </w:rPr>
              <w:t>JURISDICTION</w:t>
            </w:r>
          </w:p>
        </w:tc>
      </w:tr>
      <w:tr>
        <w:trPr>
          <w:trHeight w:val="20"/>
        </w:trPr>
        <w:tc>
          <w:tcPr>
            <w:tcW w:w="132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74"/>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Party LLC</w:t>
            </w:r>
          </w:p>
        </w:tc>
        <w:tc>
          <w:tcPr>
            <w:tcW w:w="7460" w:type="dxa"/>
            <w:vAlign w:val="bottom"/>
          </w:tcPr>
          <w:p>
            <w:pPr>
              <w:spacing w:after="0"/>
              <w:rPr>
                <w:sz w:val="24"/>
                <w:szCs w:val="24"/>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line="270" w:lineRule="exact"/>
              <w:rPr>
                <w:sz w:val="20"/>
                <w:szCs w:val="20"/>
                <w:color w:val="auto"/>
              </w:rPr>
            </w:pPr>
            <w:r>
              <w:rPr>
                <w:rFonts w:ascii="Times New Roman" w:cs="Times New Roman" w:eastAsia="Times New Roman" w:hAnsi="Times New Roman"/>
                <w:sz w:val="22"/>
                <w:szCs w:val="22"/>
                <w:color w:val="auto"/>
              </w:rPr>
              <w:t>61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Street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Across the River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Central Europe Holdings B.V.</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Channel Poland Limited (f/k/a MGM Channel Poland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Content Distribution LLC F/K/A/ Rainbow Film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International Productions B.V. (f/k/a AMC DMC Holdings B.V.)</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Film Holdings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Games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Global Holdings CV</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GP 2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GP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Minority Holdings B.V.</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Multicanal Topco C.V.</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 Entertainment LLC (f/k/a/ American Movie Classics Company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New York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Argentina S.C.A.</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Argentina</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Broadcasting &amp; Technology (f/k/a/ Rainbow Network Communications)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New York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Central Europe Kft</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Hungary</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Central Europe s.r.o.</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Czech Republic</w:t>
            </w:r>
          </w:p>
        </w:tc>
      </w:tr>
      <w:tr>
        <w:trPr>
          <w:trHeight w:val="309"/>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Colombia S.A.S.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Colombia</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India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International Broadcasting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International Channel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International Group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International Kids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International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International Zone Holdings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Latin America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Latin Programming Limited</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Cayman Islands</w:t>
            </w:r>
          </w:p>
        </w:tc>
      </w:tr>
    </w:tbl>
    <w:p>
      <w:pPr>
        <w:sectPr>
          <w:pgSz w:w="11900" w:h="16838" w:orient="portrait"/>
          <w:cols w:equalWidth="0" w:num="1">
            <w:col w:w="11100"/>
          </w:cols>
          <w:pgMar w:left="400" w:top="98" w:right="399" w:bottom="1440" w:gutter="0" w:footer="0" w:header="0"/>
        </w:sectPr>
      </w:pPr>
    </w:p>
    <w:bookmarkStart w:id="137" w:name="page138"/>
    <w:bookmarkEnd w:id="137"/>
    <w:p>
      <w:pPr>
        <w:ind w:left="6400"/>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232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w w:val="97"/>
              </w:rPr>
              <w:t>JURISDICTION</w:t>
            </w:r>
          </w:p>
        </w:tc>
      </w:tr>
      <w:tr>
        <w:trPr>
          <w:trHeight w:val="20"/>
        </w:trPr>
        <w:tc>
          <w:tcPr>
            <w:tcW w:w="132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74"/>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MovieCo Inc.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Programming South America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Colorado</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Servicos de Televisao do Brasil Ltda</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Brazil</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South America S.R.L.</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Argentina</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Uruguay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Zone Poland Sp z.o.o.</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Poland</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Plus Holdings LLC F/K/A Rainbow Programming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Premiere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Studios International B.V.</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Studios UK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TV Studios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UK Midco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UK Topco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AMC/Sundance Channel Global Networks LLC (f/k/a/ Rainbow Media Global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AMCN Properties LLC (f/k/a/ 11 Penn TV,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AMCNI Mexico S. de R.L. de C.V.</w:t>
            </w:r>
          </w:p>
        </w:tc>
        <w:tc>
          <w:tcPr>
            <w:tcW w:w="1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Mexico</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American Movie Classics IV Holding Corporation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57"/>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Animal Control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Anthem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5"/>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Badlands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Louisiana</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Badlands Productions 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Brockmire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Chello Zone Holdings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Cobalt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Comic Scribe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Crossed Pens Development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Dark Winds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5"/>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Digital Store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Dispatches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Expedition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Five Families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Five Moons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X LLC F/K/A Galyntine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Geese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Ground Work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Halt and Catch Fire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100"/>
          </w:cols>
          <w:pgMar w:left="400" w:top="98" w:right="399" w:bottom="1440" w:gutter="0" w:footer="0" w:header="0"/>
        </w:sectPr>
      </w:pPr>
    </w:p>
    <w:bookmarkStart w:id="138" w:name="page139"/>
    <w:bookmarkEnd w:id="138"/>
    <w:p>
      <w:pPr>
        <w:ind w:left="6400"/>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232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w w:val="97"/>
              </w:rPr>
              <w:t>JURISDICTION</w:t>
            </w:r>
          </w:p>
        </w:tc>
      </w:tr>
      <w:tr>
        <w:trPr>
          <w:trHeight w:val="20"/>
        </w:trPr>
        <w:tc>
          <w:tcPr>
            <w:tcW w:w="132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6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Halt and Catch Fire Productions 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Halt and Catch Fire Productions III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Halt and Catch Fire Productions IV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Halt and Catch Fire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Hap and Leonard Productions 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Hap and Leonard Productions III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Entertainment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Entertainment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Films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In Theaters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Television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Theatres Concessions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Theatres,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TV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TV Studios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IFC TV Studios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JimJam Television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Kinowelt Television GmbH</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Germany</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Kindred Spirits Productions LLC F/K/A Knifeman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Kopus Productions 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Kopus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KW Acquisition GmbH</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Germany</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Lodge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Lodge Productions 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5"/>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Making Waves Studio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56"/>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Mechanical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Moonhaven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MGM Programming Service India Private Limited</w:t>
            </w:r>
          </w:p>
        </w:tc>
        <w:tc>
          <w:tcPr>
            <w:tcW w:w="1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India</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Multicanal Iberia, S.L.U.</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Spain</w:t>
            </w:r>
          </w:p>
        </w:tc>
      </w:tr>
      <w:tr>
        <w:trPr>
          <w:trHeight w:val="257"/>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Newfound Lake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57"/>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NOS4A2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Rhode Island</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Peachwood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5"/>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Peach Pit Properties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Pens Down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Plator Holding BV</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Netherlands</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Premier Quills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Rainbow Media Enterprises, Inc.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bl>
    <w:p>
      <w:pPr>
        <w:sectPr>
          <w:pgSz w:w="11900" w:h="16838" w:orient="portrait"/>
          <w:cols w:equalWidth="0" w:num="1">
            <w:col w:w="11100"/>
          </w:cols>
          <w:pgMar w:left="400" w:top="98" w:right="399" w:bottom="1440" w:gutter="0" w:footer="0" w:header="0"/>
        </w:sectPr>
      </w:pPr>
    </w:p>
    <w:bookmarkStart w:id="139" w:name="page140"/>
    <w:bookmarkEnd w:id="139"/>
    <w:p>
      <w:pPr>
        <w:ind w:left="6400"/>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2320" w:type="dxa"/>
            <w:vAlign w:val="bottom"/>
            <w:gridSpan w:val="2"/>
          </w:tcPr>
          <w:p>
            <w:pPr>
              <w:jc w:val="right"/>
              <w:ind w:right="632"/>
              <w:spacing w:after="0"/>
              <w:rPr>
                <w:sz w:val="20"/>
                <w:szCs w:val="20"/>
                <w:color w:val="auto"/>
              </w:rPr>
            </w:pPr>
            <w:r>
              <w:rPr>
                <w:rFonts w:ascii="Times New Roman" w:cs="Times New Roman" w:eastAsia="Times New Roman" w:hAnsi="Times New Roman"/>
                <w:sz w:val="22"/>
                <w:szCs w:val="22"/>
                <w:b w:val="1"/>
                <w:bCs w:val="1"/>
                <w:color w:val="auto"/>
                <w:w w:val="97"/>
              </w:rPr>
              <w:t>JURISDICTION</w:t>
            </w:r>
          </w:p>
        </w:tc>
      </w:tr>
      <w:tr>
        <w:trPr>
          <w:trHeight w:val="20"/>
        </w:trPr>
        <w:tc>
          <w:tcPr>
            <w:tcW w:w="132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6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Rainbow Media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Rectify Productions 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Rectify Productions III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Rectify Productions IV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Rectify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Red Monday Programming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RNC Holding Corporation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RNC II Holding Corporation</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Roughhouse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Selects VOD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Shudder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Sleuth Secrets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Stalwart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Stan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Stan Productions 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Sundance Channel (UK) Limited</w:t>
            </w:r>
          </w:p>
        </w:tc>
        <w:tc>
          <w:tcPr>
            <w:tcW w:w="15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Sundance Channel Originals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Sundance Film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SundanceTV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Tales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Monument Productions I LLC F/K/A Turn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IX LLC F/K/A TWD Productions III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IV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VI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VII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VIII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56"/>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TWD Productions XI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57"/>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Universe Productions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Vampire Chronicles Productions I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Louisiana</w:t>
            </w:r>
          </w:p>
        </w:tc>
      </w:tr>
      <w:tr>
        <w:trPr>
          <w:trHeight w:val="285"/>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Voom HD Holdings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WE TV Holdings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We tv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WE TV Studios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Woodbury Studios LLC</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4"/>
        </w:trPr>
        <w:tc>
          <w:tcPr>
            <w:tcW w:w="8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Zonemedia Management Limited</w:t>
            </w:r>
          </w:p>
        </w:tc>
        <w:tc>
          <w:tcPr>
            <w:tcW w:w="15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bl>
    <w:p>
      <w:pPr>
        <w:sectPr>
          <w:pgSz w:w="11900" w:h="16838" w:orient="portrait"/>
          <w:cols w:equalWidth="0" w:num="1">
            <w:col w:w="11100"/>
          </w:cols>
          <w:pgMar w:left="400" w:top="98" w:right="399" w:bottom="1440" w:gutter="0" w:footer="0" w:header="0"/>
        </w:sectPr>
      </w:pPr>
    </w:p>
    <w:bookmarkStart w:id="140" w:name="page141"/>
    <w:bookmarkEnd w:id="140"/>
    <w:p>
      <w:pPr>
        <w:ind w:left="6400"/>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Aesir Media Group, LLC</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Texas</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Anime Network LLC</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Texas</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HIDIVE LLC</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Japan Creative Contents Alliance LLC</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1"/>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Sentai Filmworks, LLC</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Texas</w:t>
            </w: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Sentai Holdings, LLC</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Sxion 23, LLC</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Texas</w:t>
            </w:r>
          </w:p>
        </w:tc>
      </w:tr>
      <w:tr>
        <w:trPr>
          <w:trHeight w:val="297"/>
        </w:trPr>
        <w:tc>
          <w:tcPr>
            <w:tcW w:w="7280" w:type="dxa"/>
            <w:vAlign w:val="bottom"/>
          </w:tcPr>
          <w:p>
            <w:pPr>
              <w:spacing w:after="0"/>
              <w:rPr>
                <w:sz w:val="20"/>
                <w:szCs w:val="20"/>
                <w:color w:val="auto"/>
              </w:rPr>
            </w:pPr>
            <w:r>
              <w:rPr>
                <w:rFonts w:ascii="Times New Roman" w:cs="Times New Roman" w:eastAsia="Times New Roman" w:hAnsi="Times New Roman"/>
                <w:sz w:val="22"/>
                <w:szCs w:val="22"/>
                <w:color w:val="auto"/>
              </w:rPr>
              <w:t>AMC Networks International Enterprises Limited</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bl>
    <w:p>
      <w:pPr>
        <w:sectPr>
          <w:pgSz w:w="11900" w:h="16838" w:orient="portrait"/>
          <w:cols w:equalWidth="0" w:num="1">
            <w:col w:w="11100"/>
          </w:cols>
          <w:pgMar w:left="400" w:top="98" w:right="399" w:bottom="1440" w:gutter="0" w:footer="0" w:header="0"/>
        </w:sectPr>
      </w:pPr>
    </w:p>
    <w:bookmarkStart w:id="141" w:name="page142"/>
    <w:bookmarkEnd w:id="141"/>
    <w:p>
      <w:pPr>
        <w:ind w:left="6400"/>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320" w:type="dxa"/>
            <w:vAlign w:val="bottom"/>
          </w:tcPr>
          <w:p>
            <w:pPr>
              <w:spacing w:after="0"/>
              <w:rPr>
                <w:sz w:val="24"/>
                <w:szCs w:val="24"/>
                <w:color w:val="auto"/>
              </w:rPr>
            </w:pPr>
          </w:p>
        </w:tc>
        <w:tc>
          <w:tcPr>
            <w:tcW w:w="6920" w:type="dxa"/>
            <w:vAlign w:val="bottom"/>
          </w:tcPr>
          <w:p>
            <w:pPr>
              <w:jc w:val="center"/>
              <w:ind w:left="1432"/>
              <w:spacing w:after="0"/>
              <w:rPr>
                <w:sz w:val="20"/>
                <w:szCs w:val="20"/>
                <w:color w:val="auto"/>
              </w:rPr>
            </w:pPr>
            <w:r>
              <w:rPr>
                <w:rFonts w:ascii="Times New Roman" w:cs="Times New Roman" w:eastAsia="Times New Roman" w:hAnsi="Times New Roman"/>
                <w:sz w:val="22"/>
                <w:szCs w:val="22"/>
                <w:b w:val="1"/>
                <w:bCs w:val="1"/>
                <w:color w:val="auto"/>
                <w:w w:val="98"/>
              </w:rPr>
              <w:t>SCHEDULE 1.01(II)</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73"/>
        </w:trPr>
        <w:tc>
          <w:tcPr>
            <w:tcW w:w="1320" w:type="dxa"/>
            <w:vAlign w:val="bottom"/>
          </w:tcPr>
          <w:p>
            <w:pPr>
              <w:spacing w:after="0"/>
              <w:rPr>
                <w:sz w:val="24"/>
                <w:szCs w:val="24"/>
                <w:color w:val="auto"/>
              </w:rPr>
            </w:pPr>
          </w:p>
        </w:tc>
        <w:tc>
          <w:tcPr>
            <w:tcW w:w="6920" w:type="dxa"/>
            <w:vAlign w:val="bottom"/>
          </w:tcPr>
          <w:p>
            <w:pPr>
              <w:jc w:val="center"/>
              <w:ind w:left="1432"/>
              <w:spacing w:after="0"/>
              <w:rPr>
                <w:sz w:val="20"/>
                <w:szCs w:val="20"/>
                <w:color w:val="auto"/>
              </w:rPr>
            </w:pPr>
            <w:r>
              <w:rPr>
                <w:rFonts w:ascii="Times New Roman" w:cs="Times New Roman" w:eastAsia="Times New Roman" w:hAnsi="Times New Roman"/>
                <w:sz w:val="22"/>
                <w:szCs w:val="22"/>
                <w:b w:val="1"/>
                <w:bCs w:val="1"/>
                <w:color w:val="auto"/>
                <w:w w:val="98"/>
              </w:rPr>
              <w:t>UNRESTRICTED SUBSIDIARIES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9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1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JURISDICTION</w:t>
            </w:r>
          </w:p>
        </w:tc>
      </w:tr>
      <w:tr>
        <w:trPr>
          <w:trHeight w:val="20"/>
        </w:trPr>
        <w:tc>
          <w:tcPr>
            <w:tcW w:w="13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6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Acorn Media Enterprises Limited</w:t>
            </w:r>
          </w:p>
        </w:tc>
        <w:tc>
          <w:tcPr>
            <w:tcW w:w="1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Acorn Media Group, Inc.</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District of Columbia</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Agatha Christie Limited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Agatha Christie Productions Limited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Digital Entertainment Holdings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LEG Holdings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(UK) Limited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Portfolio Holdings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NETWORKS VENTURES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 New Video Holdings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AMC/Sundance Channel Latin America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Asia Television Advertising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CBS AMC Networks EMEA Channels Partnership</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CBS AMC Networks UK Channels Partnership JV</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DEH Ventures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EAF Acquisition Company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Encore International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Colorado</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Honey Bee Properties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Image Entertainment, Inc.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Image/Madacy Home Entertainment</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California</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Video Channel America,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Video Channel Productions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New Video Channel Scribes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Polsat JimJam Limited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Reality TV USA Limited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 Acquisition, Inc.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Nevada</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 Entertainment Australia Pty Ltd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Australia</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 Entertainment Holdings LLC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 Entertainment Holdings Ltd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 Entertainment Holdings Ltd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 Entertainment, Inc.</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Nevada</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 Entertainment Ltd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70"/>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RLJE International Ltd</w:t>
            </w:r>
          </w:p>
        </w:tc>
        <w:tc>
          <w:tcPr>
            <w:tcW w:w="128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82"/>
        </w:trPr>
        <w:tc>
          <w:tcPr>
            <w:tcW w:w="8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Romantica (East) Limited</w:t>
            </w:r>
          </w:p>
        </w:tc>
        <w:tc>
          <w:tcPr>
            <w:tcW w:w="1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bl>
    <w:p>
      <w:pPr>
        <w:sectPr>
          <w:pgSz w:w="11900" w:h="16838" w:orient="portrait"/>
          <w:cols w:equalWidth="0" w:num="1">
            <w:col w:w="11100"/>
          </w:cols>
          <w:pgMar w:left="400" w:top="98" w:right="399" w:bottom="1440" w:gutter="0" w:footer="0" w:header="0"/>
        </w:sectPr>
      </w:pPr>
    </w:p>
    <w:bookmarkStart w:id="142" w:name="page143"/>
    <w:bookmarkEnd w:id="142"/>
    <w:p>
      <w:pPr>
        <w:ind w:left="6400"/>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5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7"/>
              </w:rPr>
              <w:t>JURISDICTION</w:t>
            </w:r>
          </w:p>
        </w:tc>
      </w:tr>
      <w:tr>
        <w:trPr>
          <w:trHeight w:val="20"/>
        </w:trPr>
        <w:tc>
          <w:tcPr>
            <w:tcW w:w="1320" w:type="dxa"/>
            <w:vAlign w:val="bottom"/>
            <w:shd w:val="clear" w:color="auto" w:fill="000000"/>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60"/>
        </w:trPr>
        <w:tc>
          <w:tcPr>
            <w:tcW w:w="9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Silo 13 Productions Ltd</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r>
        <w:trPr>
          <w:trHeight w:val="282"/>
        </w:trPr>
        <w:tc>
          <w:tcPr>
            <w:tcW w:w="9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Zone Vision (China) Limited</w:t>
            </w: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UK</w:t>
            </w:r>
          </w:p>
        </w:tc>
      </w:tr>
    </w:tbl>
    <w:p>
      <w:pPr>
        <w:sectPr>
          <w:pgSz w:w="11900" w:h="16838" w:orient="portrait"/>
          <w:cols w:equalWidth="0" w:num="1">
            <w:col w:w="11100"/>
          </w:cols>
          <w:pgMar w:left="400" w:top="98" w:right="399"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w w:val="97"/>
              </w:rPr>
              <w:t>Exhibit 21</w:t>
            </w:r>
          </w:p>
        </w:tc>
      </w:tr>
      <w:tr>
        <w:trPr>
          <w:trHeight w:val="810"/>
        </w:trPr>
        <w:tc>
          <w:tcPr>
            <w:tcW w:w="4040" w:type="dxa"/>
            <w:vAlign w:val="bottom"/>
          </w:tcPr>
          <w:p>
            <w:pPr>
              <w:spacing w:after="0"/>
              <w:rPr>
                <w:sz w:val="24"/>
                <w:szCs w:val="24"/>
                <w:color w:val="auto"/>
              </w:rPr>
            </w:pPr>
          </w:p>
        </w:tc>
        <w:tc>
          <w:tcPr>
            <w:tcW w:w="544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Material Subsidiaries of the Registrant</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4040" w:type="dxa"/>
            <w:vAlign w:val="bottom"/>
          </w:tcPr>
          <w:p>
            <w:pPr>
              <w:spacing w:after="0"/>
              <w:rPr>
                <w:sz w:val="23"/>
                <w:szCs w:val="23"/>
                <w:color w:val="auto"/>
              </w:rPr>
            </w:pPr>
          </w:p>
        </w:tc>
        <w:tc>
          <w:tcPr>
            <w:tcW w:w="5440" w:type="dxa"/>
            <w:vAlign w:val="bottom"/>
            <w:gridSpan w:val="4"/>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AMC Networks Inc.</w:t>
            </w:r>
          </w:p>
        </w:tc>
        <w:tc>
          <w:tcPr>
            <w:tcW w:w="17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6"/>
        </w:trPr>
        <w:tc>
          <w:tcPr>
            <w:tcW w:w="4040" w:type="dxa"/>
            <w:vAlign w:val="bottom"/>
          </w:tcPr>
          <w:p>
            <w:pPr>
              <w:ind w:left="328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Jurisdiction of Formation</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w:t>
            </w:r>
          </w:p>
        </w:tc>
      </w:tr>
      <w:tr>
        <w:trPr>
          <w:trHeight w:val="23"/>
        </w:trPr>
        <w:tc>
          <w:tcPr>
            <w:tcW w:w="40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AMC Network Entertainment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AMC Networks International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Movie Classics IV Holding Corporation</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IFC 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Video Channel America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Rainbow Media Holdings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Rainbow Programming Holdings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SundanceTV LLC</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 tv LLC</w:t>
            </w:r>
          </w:p>
        </w:tc>
        <w:tc>
          <w:tcPr>
            <w:tcW w:w="3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r>
    </w:tbl>
    <w:p>
      <w:pPr>
        <w:sectPr>
          <w:pgSz w:w="11900" w:h="16838" w:orient="portrait"/>
          <w:cols w:equalWidth="0" w:num="1">
            <w:col w:w="11220"/>
          </w:cols>
          <w:pgMar w:left="340" w:top="135" w:right="3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Exhibit 22</w:t>
            </w:r>
          </w:p>
        </w:tc>
      </w:tr>
      <w:tr>
        <w:trPr>
          <w:trHeight w:val="810"/>
        </w:trPr>
        <w:tc>
          <w:tcPr>
            <w:tcW w:w="9220" w:type="dxa"/>
            <w:vAlign w:val="bottom"/>
            <w:gridSpan w:val="2"/>
          </w:tcPr>
          <w:p>
            <w:pPr>
              <w:ind w:left="4440"/>
              <w:spacing w:after="0"/>
              <w:rPr>
                <w:sz w:val="20"/>
                <w:szCs w:val="20"/>
                <w:color w:val="auto"/>
              </w:rPr>
            </w:pPr>
            <w:r>
              <w:rPr>
                <w:rFonts w:ascii="Times New Roman" w:cs="Times New Roman" w:eastAsia="Times New Roman" w:hAnsi="Times New Roman"/>
                <w:sz w:val="18"/>
                <w:szCs w:val="18"/>
                <w:b w:val="1"/>
                <w:bCs w:val="1"/>
                <w:color w:val="auto"/>
              </w:rPr>
              <w:t>List of Guarantor Subsidiaries</w:t>
            </w:r>
          </w:p>
        </w:tc>
        <w:tc>
          <w:tcPr>
            <w:tcW w:w="2020" w:type="dxa"/>
            <w:vAlign w:val="bottom"/>
          </w:tcPr>
          <w:p>
            <w:pPr>
              <w:spacing w:after="0"/>
              <w:rPr>
                <w:sz w:val="24"/>
                <w:szCs w:val="24"/>
                <w:color w:val="auto"/>
              </w:rPr>
            </w:pPr>
          </w:p>
        </w:tc>
      </w:tr>
      <w:tr>
        <w:trPr>
          <w:trHeight w:val="270"/>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the following subsidiaries of AMC Networks Inc. guarantee the notes issued by AMC Networks Inc.</w:t>
            </w:r>
          </w:p>
        </w:tc>
        <w:tc>
          <w:tcPr>
            <w:tcW w:w="2020" w:type="dxa"/>
            <w:vAlign w:val="bottom"/>
          </w:tcPr>
          <w:p>
            <w:pPr>
              <w:spacing w:after="0"/>
              <w:rPr>
                <w:sz w:val="23"/>
                <w:szCs w:val="23"/>
                <w:color w:val="auto"/>
              </w:rPr>
            </w:pPr>
          </w:p>
        </w:tc>
      </w:tr>
      <w:tr>
        <w:trPr>
          <w:trHeight w:val="294"/>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2nd Party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61st Street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Across the River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Aesir Media Group,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Content Distribution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Film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Games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 Entertainment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Broadcasting &amp; Technology</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Networks International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Networks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New Video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 Plus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AMC/Sundance Channel Global Networks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AMCN Properties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American Movie Classics IV Holding Corp</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Animal Control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Anime Network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Badlands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Badlands Productions 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Cobalt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Comic Scribe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Crossed Pens Development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Dark Winds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Digital Store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Expedition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Five Moons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Geese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Ground Work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HIDIVE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Entertainment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Entertainment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Films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In Theaters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Television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Theatres Concessions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IFC Theatres,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IFC TV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22"/>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Japan Creative Contents Alliance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135" w:right="339" w:bottom="144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gridSpan w:val="2"/>
          </w:tcPr>
          <w:p>
            <w:pPr>
              <w:ind w:left="4180"/>
              <w:spacing w:after="0"/>
              <w:rPr>
                <w:sz w:val="20"/>
                <w:szCs w:val="20"/>
                <w:color w:val="auto"/>
              </w:rPr>
            </w:pPr>
            <w:r>
              <w:rPr>
                <w:rFonts w:ascii="Times New Roman" w:cs="Times New Roman" w:eastAsia="Times New Roman" w:hAnsi="Times New Roman"/>
                <w:sz w:val="16"/>
                <w:szCs w:val="16"/>
                <w:b w:val="1"/>
                <w:bCs w:val="1"/>
                <w:color w:val="auto"/>
              </w:rPr>
              <w:t>Guarantor</w:t>
            </w:r>
          </w:p>
        </w:tc>
        <w:tc>
          <w:tcPr>
            <w:tcW w:w="2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Formation</w:t>
            </w:r>
          </w:p>
        </w:tc>
      </w:tr>
      <w:tr>
        <w:trPr>
          <w:trHeight w:val="212"/>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Making Waves Studio Productions LLC</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Mechanical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Monument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Moonhaven Productions 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Newfound Lake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Video Channel America,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NOS4A2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Peach Pit Properties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Peachwood Productions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Rainbow Media Enterprises, Inc.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Rainbow Media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Red Monday Programming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RNC Holding Corporation</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RNC II Holding Corporation</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Roughhouse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Selects VOD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Sentai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Sentai Filmworks,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Shudder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Stalwart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Sundance Film Holdings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SundanceTV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IV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IX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VII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VIII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TWD Productions X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TWD Productions XI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Universe Productions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Vampire Chronicles Productions I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Louisiana</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Voom HD Holdings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 tv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 TV Studios LLC</w:t>
            </w:r>
          </w:p>
        </w:tc>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9"/>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Woodbury Studios LLC</w:t>
            </w:r>
          </w:p>
        </w:tc>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20" w:top="866" w:right="339" w:bottom="1440" w:gutter="0" w:footer="0" w:header="0"/>
        </w:sectPr>
      </w:pPr>
    </w:p>
    <w:bookmarkStart w:id="146" w:name="page147"/>
    <w:bookmarkEnd w:id="14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333-214083, 333-250143, 333-282832, and 333-290775) on Form S-8 of our reports dated February 11, 2026, with respect to the consolidated financial statements of AMC Networks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2026</w:t>
      </w:r>
    </w:p>
    <w:p>
      <w:pPr>
        <w:sectPr>
          <w:pgSz w:w="11900" w:h="16838" w:orient="portrait"/>
          <w:cols w:equalWidth="0" w:num="1">
            <w:col w:w="11100"/>
          </w:cols>
          <w:pgMar w:left="320" w:top="1400" w:right="47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Kristin A. Dolan, certify that:</w:t>
      </w:r>
    </w:p>
    <w:p>
      <w:pPr>
        <w:spacing w:after="0" w:line="171" w:lineRule="exact"/>
        <w:rPr>
          <w:sz w:val="20"/>
          <w:szCs w:val="20"/>
          <w:color w:val="auto"/>
        </w:rPr>
      </w:pPr>
    </w:p>
    <w:p>
      <w:pPr>
        <w:ind w:left="180" w:hanging="172"/>
        <w:spacing w:after="0"/>
        <w:tabs>
          <w:tab w:leader="none" w:pos="1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61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Kristin A. Dolan</w:t>
            </w:r>
          </w:p>
        </w:tc>
      </w:tr>
      <w:tr>
        <w:trPr>
          <w:trHeight w:val="218"/>
        </w:trPr>
        <w:tc>
          <w:tcPr>
            <w:tcW w:w="4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r>
      <w:tr>
        <w:trPr>
          <w:trHeight w:val="234"/>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O'Connell, certify that:</w:t>
      </w:r>
    </w:p>
    <w:p>
      <w:pPr>
        <w:spacing w:after="0" w:line="171" w:lineRule="exact"/>
        <w:rPr>
          <w:sz w:val="20"/>
          <w:szCs w:val="20"/>
          <w:color w:val="auto"/>
        </w:rPr>
      </w:pPr>
    </w:p>
    <w:p>
      <w:pPr>
        <w:ind w:left="180" w:hanging="172"/>
        <w:spacing w:after="0"/>
        <w:tabs>
          <w:tab w:leader="none" w:pos="1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AMC Networks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8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20" w:hanging="164"/>
        <w:spacing w:after="0" w:line="282" w:lineRule="auto"/>
        <w:tabs>
          <w:tab w:leader="none" w:pos="878"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20" w:hanging="164"/>
        <w:spacing w:after="0" w:line="266" w:lineRule="auto"/>
        <w:tabs>
          <w:tab w:leader="none" w:pos="8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19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20" w:hanging="164"/>
        <w:spacing w:after="0" w:line="282" w:lineRule="auto"/>
        <w:tabs>
          <w:tab w:leader="none" w:pos="8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11, 2026</w:t>
            </w:r>
          </w:p>
        </w:tc>
        <w:tc>
          <w:tcPr>
            <w:tcW w:w="618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  /s/ Patrick O'Connell</w:t>
            </w:r>
          </w:p>
        </w:tc>
      </w:tr>
      <w:tr>
        <w:trPr>
          <w:trHeight w:val="218"/>
        </w:trPr>
        <w:tc>
          <w:tcPr>
            <w:tcW w:w="4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r>
      <w:tr>
        <w:trPr>
          <w:trHeight w:val="180"/>
        </w:trPr>
        <w:tc>
          <w:tcPr>
            <w:tcW w:w="42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4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4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Pursuant to 18 U.S.C. § 1350, each of the undersigned officers of AMC Networks Inc. (“AMC Networks”) hereby certifies, to such officer’s knowledge, that AMC Networks’ Annual Report on Form 10-K for the period ended December 31, 2025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11, 2026</w:t>
            </w: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Kristin A. Dolan</w:t>
            </w:r>
          </w:p>
        </w:tc>
        <w:tc>
          <w:tcPr>
            <w:tcW w:w="20" w:type="dxa"/>
            <w:vAlign w:val="bottom"/>
          </w:tcPr>
          <w:p>
            <w:pPr>
              <w:spacing w:after="0"/>
              <w:rPr>
                <w:sz w:val="20"/>
                <w:szCs w:val="20"/>
                <w:color w:val="auto"/>
              </w:rPr>
            </w:pPr>
          </w:p>
        </w:tc>
      </w:tr>
      <w:tr>
        <w:trPr>
          <w:trHeight w:val="218"/>
        </w:trPr>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A. Dolan</w:t>
            </w: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 w:type="dxa"/>
            <w:vAlign w:val="bottom"/>
          </w:tcPr>
          <w:p>
            <w:pPr>
              <w:spacing w:after="0"/>
              <w:rPr>
                <w:sz w:val="20"/>
                <w:szCs w:val="20"/>
                <w:color w:val="auto"/>
              </w:rPr>
            </w:pPr>
          </w:p>
        </w:tc>
      </w:tr>
      <w:tr>
        <w:trPr>
          <w:trHeight w:val="62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February 11, 2026</w:t>
            </w:r>
          </w:p>
        </w:tc>
        <w:tc>
          <w:tcPr>
            <w:tcW w:w="2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O'Connell</w:t>
            </w:r>
          </w:p>
        </w:tc>
        <w:tc>
          <w:tcPr>
            <w:tcW w:w="20" w:type="dxa"/>
            <w:vAlign w:val="bottom"/>
            <w:tcBorders>
              <w:bottom w:val="single" w:sz="8" w:color="auto"/>
            </w:tcBorders>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O'Connell</w:t>
            </w:r>
          </w:p>
        </w:tc>
        <w:tc>
          <w:tcPr>
            <w:tcW w:w="20" w:type="dxa"/>
            <w:vAlign w:val="bottom"/>
          </w:tcPr>
          <w:p>
            <w:pPr>
              <w:spacing w:after="0"/>
              <w:rPr>
                <w:sz w:val="18"/>
                <w:szCs w:val="18"/>
                <w:color w:val="auto"/>
              </w:rPr>
            </w:pPr>
          </w:p>
        </w:tc>
      </w:tr>
      <w:tr>
        <w:trPr>
          <w:trHeight w:val="180"/>
        </w:trPr>
        <w:tc>
          <w:tcPr>
            <w:tcW w:w="5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7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and Chief Financial</w:t>
            </w:r>
          </w:p>
        </w:tc>
        <w:tc>
          <w:tcPr>
            <w:tcW w:w="20" w:type="dxa"/>
            <w:vAlign w:val="bottom"/>
          </w:tcPr>
          <w:p>
            <w:pPr>
              <w:spacing w:after="0"/>
              <w:rPr>
                <w:sz w:val="15"/>
                <w:szCs w:val="15"/>
                <w:color w:val="auto"/>
              </w:rPr>
            </w:pPr>
          </w:p>
        </w:tc>
      </w:tr>
      <w:tr>
        <w:trPr>
          <w:trHeight w:val="234"/>
        </w:trPr>
        <w:tc>
          <w:tcPr>
            <w:tcW w:w="5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lvl w:ilvl="1">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Roman"/>
      <w:start w:val="1"/>
    </w:lvl>
  </w:abstractNum>
  <w:abstractNum w:abstractNumId="32">
    <w:nsid w:val="7A6D8D3C"/>
    <w:multiLevelType w:val="hybridMultilevel"/>
    <w:lvl w:ilvl="0">
      <w:lvlJc w:val="left"/>
      <w:lvlText w:val="(%1)"/>
      <w:numFmt w:val="lowerLetter"/>
      <w:start w:val="1"/>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Letter"/>
      <w:start w:val="1"/>
    </w:lvl>
  </w:abstractNum>
  <w:abstractNum w:abstractNumId="36">
    <w:nsid w:val="38437FDB"/>
    <w:multiLevelType w:val="hybridMultilevel"/>
    <w:lvl w:ilvl="0">
      <w:lvlJc w:val="left"/>
      <w:lvlText w:val="(%1)"/>
      <w:numFmt w:val="lowerRoman"/>
      <w:start w:val="2"/>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decimal"/>
      <w:start w:val="97"/>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lowerLetter"/>
      <w:start w:val="4"/>
    </w:lvl>
  </w:abstractNum>
  <w:abstractNum w:abstractNumId="55">
    <w:nsid w:val="1CF10FD8"/>
    <w:multiLevelType w:val="hybridMultilevel"/>
    <w:lvl w:ilvl="0">
      <w:lvlJc w:val="left"/>
      <w:lvlText w:val="(%1)"/>
      <w:numFmt w:val="upp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19" Type="http://schemas.openxmlformats.org/officeDocument/2006/relationships/image" Target="media/image98.png"/><Relationship Id="rId133"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105" Type="http://schemas.openxmlformats.org/officeDocument/2006/relationships/hyperlink" Target="https://www.sec.gov/Archives/edgar/data/1514991/000119312525137075/d70345dex21.htm" TargetMode="External"/><Relationship Id="rId106" Type="http://schemas.openxmlformats.org/officeDocument/2006/relationships/hyperlink" Target="https://www.sec.gov/Archives/edgar/data/1514991/000119312525137075/d70345dex31.htm" TargetMode="External"/><Relationship Id="rId107" Type="http://schemas.openxmlformats.org/officeDocument/2006/relationships/hyperlink" Target="https://www.sec.gov/Archives/edgar/data/1514991/000119312525137075/d70345dex32.htm" TargetMode="External"/><Relationship Id="rId108" Type="http://schemas.openxmlformats.org/officeDocument/2006/relationships/hyperlink" Target="https://www.sec.gov/Archives/edgar/data/1514991/000095012311056616/y91125a5exv3w5.htm" TargetMode="External"/><Relationship Id="rId109" Type="http://schemas.openxmlformats.org/officeDocument/2006/relationships/hyperlink" Target="https://www.sec.gov/Archives/edgar/data/1514991/000095012311056616/y91125a5exv3w6.htm" TargetMode="External"/><Relationship Id="rId110" Type="http://schemas.openxmlformats.org/officeDocument/2006/relationships/hyperlink" Target="https://www.sec.gov/Archives/edgar/data/1514991/000095012311063740/y91900exv99w2.htm" TargetMode="External"/><Relationship Id="rId111" Type="http://schemas.openxmlformats.org/officeDocument/2006/relationships/hyperlink" Target="https://www.sec.gov/Archives/edgar/data/1514991/000119312517240565/d435389dex41.htm" TargetMode="External"/><Relationship Id="rId112" Type="http://schemas.openxmlformats.org/officeDocument/2006/relationships/hyperlink" Target="https://www.sec.gov/Archives/edgar/data/1514991/000119312521032506/d78130dex42.htm" TargetMode="External"/><Relationship Id="rId113" Type="http://schemas.openxmlformats.org/officeDocument/2006/relationships/hyperlink" Target="https://www.sec.gov/Archives/edgar/data/1514991/000151499124000013/amcx2024securednotes-inden.htm" TargetMode="External"/><Relationship Id="rId114" Type="http://schemas.openxmlformats.org/officeDocument/2006/relationships/hyperlink" Target="https://www.sec.gov/Archives/edgar/data/1514991/000119312524165686/d766262dex41.htm" TargetMode="External"/><Relationship Id="rId115" Type="http://schemas.openxmlformats.org/officeDocument/2006/relationships/hyperlink" Target="https://www.sec.gov/Archives/edgar/data/1514991/000151499125000024/ex-41amc2025securednotesxi.htm" TargetMode="External"/><Relationship Id="rId116" Type="http://schemas.openxmlformats.org/officeDocument/2006/relationships/hyperlink" Target="https://www.sec.gov/Archives/edgar/data/1514991/000151499121000014/amcx-123120xex410.htm" TargetMode="External"/><Relationship Id="rId117" Type="http://schemas.openxmlformats.org/officeDocument/2006/relationships/hyperlink" Target="https://www.sec.gov/Archives/edgar/data/1514991/000095012311056616/y91125a5exv10w5.htm" TargetMode="External"/><Relationship Id="rId118" Type="http://schemas.openxmlformats.org/officeDocument/2006/relationships/hyperlink" Target="https://www.sec.gov/Archives/edgar/data/1514991/000119312517240565/d435389dex101.htm" TargetMode="External"/><Relationship Id="rId120" Type="http://schemas.openxmlformats.org/officeDocument/2006/relationships/hyperlink" Target="https://www.sec.gov/Archives/edgar/data/1514991/000119312521032506/d78130dex101.htm" TargetMode="External"/><Relationship Id="rId121" Type="http://schemas.openxmlformats.org/officeDocument/2006/relationships/hyperlink" Target="https://www.sec.gov/Archives/edgar/data/1514991/000151499123000017/amc-amendmentno2.htm" TargetMode="External"/><Relationship Id="rId122" Type="http://schemas.openxmlformats.org/officeDocument/2006/relationships/hyperlink" Target="https://www.sec.gov/Archives/edgar/data/1514991/000151499124000013/amc-thirdamendmenttosecond.htm" TargetMode="External"/><Relationship Id="rId123" Type="http://schemas.openxmlformats.org/officeDocument/2006/relationships/hyperlink" Target="https://www.sec.gov/Archives/edgar/data/1514991/000151499125000048/amcx-103025xex101.htm" TargetMode="External"/><Relationship Id="rId124" Type="http://schemas.openxmlformats.org/officeDocument/2006/relationships/hyperlink" Target="https://www.sec.gov/ix?doc=/Archives/edgar/data/1514991/000119312524116051/d636357ddef14a.htm" TargetMode="External"/><Relationship Id="rId125" Type="http://schemas.openxmlformats.org/officeDocument/2006/relationships/hyperlink" Target="https://www.sec.gov/ix?doc=/Archives/edgar/data/1514991/000119312525095068/d866673ddef14a.htm#toc866673_61" TargetMode="External"/><Relationship Id="rId126" Type="http://schemas.openxmlformats.org/officeDocument/2006/relationships/hyperlink" Target="https://www.sec.gov/Archives/edgar/data/1514991/000151499122000043/amcx-9302022xex102.htm" TargetMode="External"/><Relationship Id="rId127" Type="http://schemas.openxmlformats.org/officeDocument/2006/relationships/hyperlink" Target="https://www.sec.gov/Archives/edgar/data/1514991/000119312512347653/d392047dex104.htm" TargetMode="External"/><Relationship Id="rId128" Type="http://schemas.openxmlformats.org/officeDocument/2006/relationships/hyperlink" Target="https://www.sec.gov/Archives/edgar/data/1514991/000151499118000004/amcx-12312017xex1022.htm" TargetMode="External"/><Relationship Id="rId129" Type="http://schemas.openxmlformats.org/officeDocument/2006/relationships/hyperlink" Target="https://www.sec.gov/Archives/edgar/data/1514991/000151499122000007/amcx-12312021xex1027.htm" TargetMode="External"/><Relationship Id="rId130" Type="http://schemas.openxmlformats.org/officeDocument/2006/relationships/hyperlink" Target="https://www.sec.gov/Archives/edgar/data/1514991/000151499122000007/amcx-12312021xex1029.htm" TargetMode="External"/><Relationship Id="rId131" Type="http://schemas.openxmlformats.org/officeDocument/2006/relationships/hyperlink" Target="https://www.sec.gov/Archives/edgar/data/1514991/000151499123000033/amcx-6302023xex102.htm" TargetMode="External"/><Relationship Id="rId132" Type="http://schemas.openxmlformats.org/officeDocument/2006/relationships/hyperlink" Target="https://www.sec.gov/Archives/edgar/data/1514991/000151499123000044/amcx-9302023xex101.htm" TargetMode="External"/><Relationship Id="rId134" Type="http://schemas.openxmlformats.org/officeDocument/2006/relationships/hyperlink" Target="https://www.sec.gov/Archives/edgar/data/1514991/000151499125000017/amcx-3312025xex101.htm" TargetMode="External"/><Relationship Id="rId135" Type="http://schemas.openxmlformats.org/officeDocument/2006/relationships/hyperlink" Target="https://www.sec.gov/Archives/edgar/data/1514991/000151499125000055/amcx-9302025xex101.htm" TargetMode="External"/><Relationship Id="rId136" Type="http://schemas.openxmlformats.org/officeDocument/2006/relationships/hyperlink" Target="https://www.sec.gov/Archives/edgar/data/1514991/000151499125000055/amcx-9302025xex102.htm" TargetMode="External"/><Relationship Id="rId137" Type="http://schemas.openxmlformats.org/officeDocument/2006/relationships/hyperlink" Target="https://www.sec.gov/Archives/edgar/data/1514991/000151499125000068/amcx-112025xexx101.htm" TargetMode="External"/><Relationship Id="rId138" Type="http://schemas.openxmlformats.org/officeDocument/2006/relationships/hyperlink" Target="https://www.sec.gov/Archives/edgar/data/1514991/000151499125000009/amcx-123124xexx19.htm" TargetMode="External"/><Relationship Id="rId139" Type="http://schemas.openxmlformats.org/officeDocument/2006/relationships/hyperlink" Target="https://www.sec.gov/Archives/edgar/data/1514991/000151499124000007/amcx-12312023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2026-02-11T16:23:34Z</dcterms:created>
  <dcterms:modified xsi:type="dcterms:W3CDTF">2026-02-11T16:23:34Z</dcterms:modified>
</cp:coreProperties>
</file>