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91440</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53975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2" w:lineRule="exact"/>
        <w:rPr>
          <w:sz w:val="24"/>
          <w:szCs w:val="24"/>
          <w:color w:val="auto"/>
        </w:rPr>
      </w:pPr>
    </w:p>
    <w:p>
      <w:pPr>
        <w:ind w:left="2640" w:hanging="1410"/>
        <w:spacing w:after="0"/>
        <w:tabs>
          <w:tab w:leader="none" w:pos="2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0"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2520" w:hanging="1290"/>
        <w:spacing w:after="0"/>
        <w:tabs>
          <w:tab w:leader="none" w:pos="2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94615</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180340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AMC Networks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52070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2" w:lineRule="exact"/>
        <w:rPr>
          <w:sz w:val="24"/>
          <w:szCs w:val="24"/>
          <w:color w:val="auto"/>
        </w:rPr>
      </w:pPr>
    </w:p>
    <w:tbl>
      <w:tblPr>
        <w:tblLayout w:type="fixed"/>
        <w:tblInd w:w="440" w:type="dxa"/>
        <w:tblCellMar>
          <w:top w:w="0" w:type="dxa"/>
          <w:left w:w="0" w:type="dxa"/>
          <w:bottom w:w="0" w:type="dxa"/>
          <w:right w:w="0" w:type="dxa"/>
        </w:tblCellMar>
      </w:tblPr>
      <w:tr>
        <w:trPr>
          <w:trHeight w:val="225"/>
        </w:trPr>
        <w:tc>
          <w:tcPr>
            <w:tcW w:w="1020" w:type="dxa"/>
            <w:vAlign w:val="bottom"/>
          </w:tcPr>
          <w:p>
            <w:pPr>
              <w:spacing w:after="0"/>
              <w:rPr>
                <w:sz w:val="19"/>
                <w:szCs w:val="19"/>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60" w:type="dxa"/>
            <w:vAlign w:val="bottom"/>
            <w:gridSpan w:val="2"/>
          </w:tcPr>
          <w:p>
            <w:pPr>
              <w:jc w:val="right"/>
              <w:ind w:right="1026"/>
              <w:spacing w:after="0"/>
              <w:rPr>
                <w:sz w:val="20"/>
                <w:szCs w:val="20"/>
                <w:color w:val="auto"/>
              </w:rPr>
            </w:pPr>
            <w:r>
              <w:rPr>
                <w:rFonts w:ascii="Arial" w:cs="Arial" w:eastAsia="Arial" w:hAnsi="Arial"/>
                <w:sz w:val="18"/>
                <w:szCs w:val="18"/>
                <w:b w:val="1"/>
                <w:bCs w:val="1"/>
                <w:color w:val="auto"/>
              </w:rPr>
              <w:t>27-5403694</w:t>
            </w:r>
          </w:p>
        </w:tc>
      </w:tr>
      <w:tr>
        <w:trPr>
          <w:trHeight w:val="149"/>
        </w:trPr>
        <w:tc>
          <w:tcPr>
            <w:tcW w:w="1020" w:type="dxa"/>
            <w:vAlign w:val="bottom"/>
          </w:tcPr>
          <w:p>
            <w:pPr>
              <w:spacing w:after="0"/>
              <w:rPr>
                <w:sz w:val="12"/>
                <w:szCs w:val="12"/>
                <w:color w:val="auto"/>
              </w:rPr>
            </w:pP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spacing w:after="0"/>
              <w:rPr>
                <w:sz w:val="16"/>
                <w:szCs w:val="16"/>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502"/>
        </w:trPr>
        <w:tc>
          <w:tcPr>
            <w:tcW w:w="1020" w:type="dxa"/>
            <w:vAlign w:val="bottom"/>
          </w:tcPr>
          <w:p>
            <w:pPr>
              <w:spacing w:after="0"/>
              <w:rPr>
                <w:sz w:val="24"/>
                <w:szCs w:val="24"/>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1"/>
              </w:rPr>
              <w:t>11 Penn Plaza, New York, NY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gridSpan w:val="2"/>
          </w:tcPr>
          <w:p>
            <w:pPr>
              <w:jc w:val="right"/>
              <w:ind w:right="1246"/>
              <w:spacing w:after="0"/>
              <w:rPr>
                <w:sz w:val="20"/>
                <w:szCs w:val="20"/>
                <w:color w:val="auto"/>
              </w:rPr>
            </w:pPr>
            <w:r>
              <w:rPr>
                <w:rFonts w:ascii="Arial" w:cs="Arial" w:eastAsia="Arial" w:hAnsi="Arial"/>
                <w:sz w:val="18"/>
                <w:szCs w:val="18"/>
                <w:b w:val="1"/>
                <w:bCs w:val="1"/>
                <w:color w:val="auto"/>
              </w:rPr>
              <w:t>10001</w:t>
            </w:r>
          </w:p>
        </w:tc>
      </w:tr>
      <w:tr>
        <w:trPr>
          <w:trHeight w:val="186"/>
        </w:trPr>
        <w:tc>
          <w:tcPr>
            <w:tcW w:w="1020" w:type="dxa"/>
            <w:vAlign w:val="bottom"/>
          </w:tcPr>
          <w:p>
            <w:pPr>
              <w:spacing w:after="0"/>
              <w:rPr>
                <w:sz w:val="16"/>
                <w:szCs w:val="16"/>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624"/>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8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90"/>
              </w:rPr>
              <w:t>(212) 324-8500</w:t>
            </w: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140" w:type="dxa"/>
            <w:vAlign w:val="bottom"/>
            <w:gridSpan w:val="5"/>
          </w:tcPr>
          <w:p>
            <w:pPr>
              <w:jc w:val="center"/>
              <w:ind w:right="274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86"/>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gridSpan w:val="6"/>
          </w:tcPr>
          <w:p>
            <w:pPr>
              <w:jc w:val="center"/>
              <w:ind w:right="14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55"/>
        </w:trPr>
        <w:tc>
          <w:tcPr>
            <w:tcW w:w="1020" w:type="dxa"/>
            <w:vAlign w:val="bottom"/>
          </w:tcPr>
          <w:p>
            <w:pPr>
              <w:spacing w:after="0"/>
              <w:rPr>
                <w:sz w:val="22"/>
                <w:szCs w:val="22"/>
                <w:color w:val="auto"/>
              </w:rPr>
            </w:pPr>
          </w:p>
        </w:tc>
        <w:tc>
          <w:tcPr>
            <w:tcW w:w="2500" w:type="dxa"/>
            <w:vAlign w:val="bottom"/>
            <w:gridSpan w:val="2"/>
          </w:tcPr>
          <w:p>
            <w:pPr>
              <w:jc w:val="center"/>
              <w:ind w:right="1208"/>
              <w:spacing w:after="0"/>
              <w:rPr>
                <w:sz w:val="20"/>
                <w:szCs w:val="20"/>
                <w:color w:val="auto"/>
              </w:rPr>
            </w:pPr>
            <w:r>
              <w:rPr>
                <w:rFonts w:ascii="Arial" w:cs="Arial" w:eastAsia="Arial" w:hAnsi="Arial"/>
                <w:sz w:val="16"/>
                <w:szCs w:val="16"/>
                <w:b w:val="1"/>
                <w:bCs w:val="1"/>
                <w:color w:val="auto"/>
                <w:w w:val="88"/>
              </w:rPr>
              <w:t>Title of each class</w:t>
            </w:r>
          </w:p>
        </w:tc>
        <w:tc>
          <w:tcPr>
            <w:tcW w:w="440" w:type="dxa"/>
            <w:vAlign w:val="bottom"/>
          </w:tcPr>
          <w:p>
            <w:pPr>
              <w:spacing w:after="0"/>
              <w:rPr>
                <w:sz w:val="22"/>
                <w:szCs w:val="22"/>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gridSpan w:val="2"/>
          </w:tcPr>
          <w:p>
            <w:pPr>
              <w:jc w:val="center"/>
              <w:ind w:left="35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520" w:type="dxa"/>
            <w:vAlign w:val="bottom"/>
            <w:gridSpan w:val="3"/>
          </w:tcPr>
          <w:p>
            <w:pPr>
              <w:jc w:val="center"/>
              <w:ind w:right="188"/>
              <w:spacing w:after="0"/>
              <w:rPr>
                <w:sz w:val="20"/>
                <w:szCs w:val="20"/>
                <w:color w:val="auto"/>
              </w:rPr>
            </w:pPr>
            <w:r>
              <w:rPr>
                <w:rFonts w:ascii="Arial" w:cs="Arial" w:eastAsia="Arial" w:hAnsi="Arial"/>
                <w:sz w:val="16"/>
                <w:szCs w:val="16"/>
                <w:color w:val="auto"/>
                <w:w w:val="90"/>
              </w:rPr>
              <w:t>Class A Common Stock, par value $0.01 per share</w:t>
            </w:r>
          </w:p>
        </w:tc>
        <w:tc>
          <w:tcPr>
            <w:tcW w:w="440" w:type="dxa"/>
            <w:vAlign w:val="bottom"/>
          </w:tcPr>
          <w:p>
            <w:pPr>
              <w:spacing w:after="0"/>
              <w:rPr>
                <w:sz w:val="20"/>
                <w:szCs w:val="20"/>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color w:val="auto"/>
              </w:rPr>
              <w:t>AMCX</w:t>
            </w:r>
          </w:p>
        </w:tc>
        <w:tc>
          <w:tcPr>
            <w:tcW w:w="4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13335</wp:posOffset>
            </wp:positionV>
            <wp:extent cx="3472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7360" w:val="left"/>
          <w:tab w:leader="none" w:pos="80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7" w:lineRule="exact"/>
        <w:rPr>
          <w:sz w:val="20"/>
          <w:szCs w:val="20"/>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3" w:lineRule="exact"/>
        <w:rPr>
          <w:sz w:val="20"/>
          <w:szCs w:val="20"/>
          <w:color w:val="auto"/>
        </w:rPr>
      </w:pPr>
    </w:p>
    <w:p>
      <w:pPr>
        <w:ind w:right="30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3" w:lineRule="exact"/>
        <w:rPr>
          <w:sz w:val="20"/>
          <w:szCs w:val="20"/>
          <w:color w:val="auto"/>
        </w:rPr>
      </w:pPr>
    </w:p>
    <w:p>
      <w:pPr>
        <w:ind w:right="320"/>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2022 (the last business day of the registrant's most recently completed second fiscal quarter) was approximately $879 million.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February 10, 2023:</w:t>
            </w:r>
          </w:p>
        </w:tc>
        <w:tc>
          <w:tcPr>
            <w:tcW w:w="3420" w:type="dxa"/>
            <w:vAlign w:val="bottom"/>
          </w:tcPr>
          <w:p>
            <w:pPr>
              <w:spacing w:after="0"/>
              <w:rPr>
                <w:sz w:val="17"/>
                <w:szCs w:val="17"/>
                <w:color w:val="auto"/>
              </w:rPr>
            </w:pPr>
          </w:p>
        </w:tc>
      </w:tr>
      <w:tr>
        <w:trPr>
          <w:trHeight w:val="338"/>
        </w:trPr>
        <w:tc>
          <w:tcPr>
            <w:tcW w:w="7720" w:type="dxa"/>
            <w:vAlign w:val="bottom"/>
          </w:tcPr>
          <w:p>
            <w:pPr>
              <w:ind w:left="20"/>
              <w:spacing w:after="0"/>
              <w:rPr>
                <w:sz w:val="20"/>
                <w:szCs w:val="20"/>
                <w:color w:val="auto"/>
              </w:rPr>
            </w:pPr>
            <w:r>
              <w:rPr>
                <w:rFonts w:ascii="Arial" w:cs="Arial" w:eastAsia="Arial" w:hAnsi="Arial"/>
                <w:sz w:val="16"/>
                <w:szCs w:val="16"/>
                <w:color w:val="auto"/>
              </w:rPr>
              <w:t>Class A Common Stock par value $0.01 per share</w:t>
            </w:r>
          </w:p>
        </w:tc>
        <w:tc>
          <w:tcPr>
            <w:tcW w:w="3420" w:type="dxa"/>
            <w:vAlign w:val="bottom"/>
          </w:tcPr>
          <w:p>
            <w:pPr>
              <w:jc w:val="right"/>
              <w:spacing w:after="0"/>
              <w:rPr>
                <w:sz w:val="20"/>
                <w:szCs w:val="20"/>
                <w:color w:val="auto"/>
              </w:rPr>
            </w:pPr>
            <w:r>
              <w:rPr>
                <w:rFonts w:ascii="Arial" w:cs="Arial" w:eastAsia="Arial" w:hAnsi="Arial"/>
                <w:sz w:val="16"/>
                <w:szCs w:val="16"/>
                <w:color w:val="auto"/>
              </w:rPr>
              <w:t>31,524,521</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Class B Common Stock par value $0.01 per share</w:t>
            </w:r>
          </w:p>
        </w:tc>
        <w:tc>
          <w:tcPr>
            <w:tcW w:w="342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149860</wp:posOffset>
            </wp:positionV>
            <wp:extent cx="347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Certain information required in Item 10 through Item 14 of Part III of this Annual Report on Form 10-K is incorporated herein by reference to the Registrant's definitive Proxy Statement for its 2023 Annual Meeting of Stockholders, which shall be filed with the Securities and Exchange Commission pursuant to Regulation 14A of the Securities Exchange Act of 1934, as amended, within 120 days of the Registrant's fiscal year end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3120" w:type="dxa"/>
            <w:vAlign w:val="bottom"/>
            <w:gridSpan w:val="8"/>
          </w:tcPr>
          <w:p>
            <w:pPr>
              <w:spacing w:after="0" w:line="182" w:lineRule="exact"/>
              <w:rPr>
                <w:sz w:val="20"/>
                <w:szCs w:val="20"/>
                <w:color w:val="auto"/>
              </w:rPr>
            </w:pPr>
            <w:r>
              <w:rPr>
                <w:rFonts w:ascii="Arial" w:cs="Arial" w:eastAsia="Arial" w:hAnsi="Arial"/>
                <w:sz w:val="18"/>
                <w:szCs w:val="18"/>
                <w:b w:val="1"/>
                <w:bCs w:val="1"/>
                <w:color w:val="0000FF"/>
                <w:w w:val="99"/>
              </w:rPr>
              <w:t>FORWARD-LOOKING STATEMENTS</w:t>
            </w:r>
          </w:p>
        </w:tc>
        <w:tc>
          <w:tcPr>
            <w:tcW w:w="7460" w:type="dxa"/>
            <w:vAlign w:val="bottom"/>
            <w:gridSpan w:val="16"/>
          </w:tcPr>
          <w:p>
            <w:pPr>
              <w:spacing w:after="0"/>
              <w:rPr>
                <w:sz w:val="15"/>
                <w:szCs w:val="15"/>
                <w:color w:val="auto"/>
              </w:rPr>
            </w:pPr>
          </w:p>
        </w:tc>
        <w:tc>
          <w:tcPr>
            <w:tcW w:w="600" w:type="dxa"/>
            <w:vAlign w:val="bottom"/>
            <w:gridSpan w:val="4"/>
          </w:tcPr>
          <w:p>
            <w:pPr>
              <w:jc w:val="right"/>
              <w:ind w:right="20"/>
              <w:spacing w:after="0" w:line="182" w:lineRule="exact"/>
              <w:rPr>
                <w:sz w:val="20"/>
                <w:szCs w:val="20"/>
                <w:color w:val="auto"/>
              </w:rPr>
            </w:pPr>
            <w:r>
              <w:rPr>
                <w:rFonts w:ascii="Arial" w:cs="Arial" w:eastAsia="Arial" w:hAnsi="Arial"/>
                <w:sz w:val="18"/>
                <w:szCs w:val="18"/>
                <w:b w:val="1"/>
                <w:bCs w:val="1"/>
                <w:color w:val="0000FF"/>
              </w:rPr>
              <w:t>4</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0000FF"/>
              </w:rPr>
              <w:t>5</w:t>
            </w:r>
          </w:p>
        </w:tc>
        <w:tc>
          <w:tcPr>
            <w:tcW w:w="0" w:type="dxa"/>
            <w:vAlign w:val="bottom"/>
          </w:tcPr>
          <w:p>
            <w:pPr>
              <w:spacing w:after="0"/>
              <w:rPr>
                <w:sz w:val="1"/>
                <w:szCs w:val="1"/>
                <w:color w:val="auto"/>
              </w:rPr>
            </w:pPr>
          </w:p>
        </w:tc>
      </w:tr>
      <w:tr>
        <w:trPr>
          <w:trHeight w:val="19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0000FF"/>
              </w:rPr>
              <w:t>Business</w:t>
            </w:r>
          </w:p>
        </w:tc>
        <w:tc>
          <w:tcPr>
            <w:tcW w:w="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79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Unresolved Staff Comments</w:t>
            </w:r>
          </w:p>
        </w:tc>
        <w:tc>
          <w:tcPr>
            <w:tcW w:w="6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8140" w:type="dxa"/>
            <w:vAlign w:val="bottom"/>
            <w:gridSpan w:val="2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3.</w:t>
            </w:r>
          </w:p>
        </w:tc>
        <w:tc>
          <w:tcPr>
            <w:tcW w:w="888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100" w:type="dxa"/>
            <w:vAlign w:val="bottom"/>
            <w:gridSpan w:val="14"/>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5.</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89"/>
              </w:rPr>
              <w:t>[Reserved]</w:t>
            </w:r>
          </w:p>
        </w:tc>
        <w:tc>
          <w:tcPr>
            <w:tcW w:w="7280" w:type="dxa"/>
            <w:vAlign w:val="bottom"/>
            <w:tcBorders>
              <w:top w:val="single" w:sz="8" w:color="0000FF"/>
            </w:tcBorders>
            <w:gridSpan w:val="18"/>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Arial" w:cs="Arial" w:eastAsia="Arial" w:hAnsi="Arial"/>
                <w:sz w:val="18"/>
                <w:szCs w:val="18"/>
                <w:b w:val="1"/>
                <w:bCs w:val="1"/>
                <w:color w:val="0000FF"/>
                <w:w w:val="79"/>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7.</w:t>
            </w:r>
          </w:p>
        </w:tc>
        <w:tc>
          <w:tcPr>
            <w:tcW w:w="88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 About Market Risk</w:t>
            </w:r>
          </w:p>
        </w:tc>
        <w:tc>
          <w:tcPr>
            <w:tcW w:w="2160" w:type="dxa"/>
            <w:vAlign w:val="bottom"/>
            <w:tcBorders>
              <w:top w:val="single" w:sz="8" w:color="0000FF"/>
            </w:tcBorders>
            <w:gridSpan w:val="3"/>
          </w:tcPr>
          <w:p>
            <w:pPr>
              <w:spacing w:after="0"/>
              <w:rPr>
                <w:sz w:val="18"/>
                <w:szCs w:val="18"/>
                <w:color w:val="auto"/>
              </w:rPr>
            </w:pPr>
          </w:p>
        </w:tc>
        <w:tc>
          <w:tcPr>
            <w:tcW w:w="24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5540" w:type="dxa"/>
            <w:vAlign w:val="bottom"/>
            <w:gridSpan w:val="9"/>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9.</w:t>
            </w:r>
          </w:p>
        </w:tc>
        <w:tc>
          <w:tcPr>
            <w:tcW w:w="8880" w:type="dxa"/>
            <w:vAlign w:val="bottom"/>
            <w:gridSpan w:val="22"/>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58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88"/>
              </w:rPr>
              <w:t>Controls and Procedures</w:t>
            </w:r>
          </w:p>
        </w:tc>
        <w:tc>
          <w:tcPr>
            <w:tcW w:w="4700" w:type="dxa"/>
            <w:vAlign w:val="bottom"/>
            <w:tcBorders>
              <w:top w:val="single" w:sz="8" w:color="0000FF"/>
            </w:tcBorders>
            <w:gridSpan w:val="11"/>
          </w:tcPr>
          <w:p>
            <w:pPr>
              <w:spacing w:after="0"/>
              <w:rPr>
                <w:sz w:val="16"/>
                <w:szCs w:val="16"/>
                <w:color w:val="auto"/>
              </w:rPr>
            </w:pPr>
          </w:p>
        </w:tc>
        <w:tc>
          <w:tcPr>
            <w:tcW w:w="240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Arial" w:cs="Arial" w:eastAsia="Arial" w:hAnsi="Arial"/>
                <w:sz w:val="18"/>
                <w:szCs w:val="18"/>
                <w:b w:val="1"/>
                <w:bCs w:val="1"/>
                <w:color w:val="0000FF"/>
                <w:w w:val="79"/>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9B.</w:t>
            </w:r>
          </w:p>
        </w:tc>
        <w:tc>
          <w:tcPr>
            <w:tcW w:w="88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9C.</w:t>
            </w:r>
          </w:p>
        </w:tc>
        <w:tc>
          <w:tcPr>
            <w:tcW w:w="88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rPr>
              <w:t>54</w:t>
            </w: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10.</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4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90"/>
              </w:rPr>
              <w:t>Executive Compensation</w:t>
            </w:r>
          </w:p>
        </w:tc>
        <w:tc>
          <w:tcPr>
            <w:tcW w:w="2280" w:type="dxa"/>
            <w:vAlign w:val="bottom"/>
            <w:tcBorders>
              <w:top w:val="single" w:sz="8" w:color="0000FF"/>
            </w:tcBorders>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Arial" w:cs="Arial" w:eastAsia="Arial" w:hAnsi="Arial"/>
                <w:sz w:val="18"/>
                <w:szCs w:val="18"/>
                <w:b w:val="1"/>
                <w:bCs w:val="1"/>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0"/>
          </w:tcPr>
          <w:p>
            <w:pPr>
              <w:spacing w:after="0" w:line="189" w:lineRule="exact"/>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b w:val="1"/>
                <w:bCs w:val="1"/>
                <w:color w:val="0000FF"/>
                <w:w w:val="79"/>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4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14.</w:t>
            </w:r>
          </w:p>
        </w:tc>
        <w:tc>
          <w:tcPr>
            <w:tcW w:w="888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15.</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0000FF"/>
              </w:rPr>
              <w:t>Exhibits and Financial Statement Schedules</w:t>
            </w:r>
          </w:p>
        </w:tc>
        <w:tc>
          <w:tcPr>
            <w:tcW w:w="4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2"/>
              </w:rPr>
              <w:t>Form 10-K Summary</w:t>
            </w:r>
          </w:p>
        </w:tc>
        <w:tc>
          <w:tcPr>
            <w:tcW w:w="1600" w:type="dxa"/>
            <w:vAlign w:val="bottom"/>
            <w:tcBorders>
              <w:top w:val="single" w:sz="8" w:color="0000FF"/>
            </w:tcBorders>
            <w:gridSpan w:val="5"/>
          </w:tcPr>
          <w:p>
            <w:pPr>
              <w:spacing w:after="0"/>
              <w:rPr>
                <w:sz w:val="18"/>
                <w:szCs w:val="18"/>
                <w:color w:val="auto"/>
              </w:rPr>
            </w:pPr>
          </w:p>
        </w:tc>
        <w:tc>
          <w:tcPr>
            <w:tcW w:w="572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9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0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3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3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our streaming services in countries outside of the United States;</w:t>
      </w:r>
    </w:p>
    <w:p>
      <w:pPr>
        <w:spacing w:after="0" w:line="3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 including increases in inflation rates and recession risk;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47" w:lineRule="exact"/>
        <w:rPr>
          <w:rFonts w:ascii="Arial" w:cs="Arial" w:eastAsia="Arial" w:hAnsi="Arial"/>
          <w:sz w:val="17"/>
          <w:szCs w:val="17"/>
          <w:color w:val="auto"/>
        </w:rPr>
      </w:pPr>
    </w:p>
    <w:p>
      <w:pPr>
        <w:ind w:left="660" w:right="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59" w:lineRule="exact"/>
        <w:rPr>
          <w:rFonts w:ascii="Arial" w:cs="Arial" w:eastAsia="Arial" w:hAnsi="Arial"/>
          <w:sz w:val="16"/>
          <w:szCs w:val="16"/>
          <w:color w:val="auto"/>
        </w:rPr>
      </w:pPr>
    </w:p>
    <w:p>
      <w:pPr>
        <w:ind w:left="660" w:right="48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1" w:lineRule="exact"/>
        <w:rPr>
          <w:rFonts w:ascii="Arial" w:cs="Arial" w:eastAsia="Arial" w:hAnsi="Arial"/>
          <w:sz w:val="18"/>
          <w:szCs w:val="18"/>
          <w:color w:val="auto"/>
        </w:rPr>
      </w:pPr>
    </w:p>
    <w:p>
      <w:pPr>
        <w:ind w:left="660" w:right="62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pandemics or other health emergencies, such as the COVID-19 pandemic, on the economy and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pacing w:after="0" w:line="13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6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AMC Networks is a global entertainment company known for its popular and award-winning content. We distribute our content to audiences globally on an array of distribution platforms, including linear networks and subscription streaming services, as well as through licensing arrangements. We have an extensive library of television and film properties that we own and control, including several storied franchises such as The Walking Dead Universe, Anne Rice catalog, and Agatha Christie library that are well-known to a global audience.</w:t>
      </w:r>
    </w:p>
    <w:p>
      <w:pPr>
        <w:spacing w:after="0" w:line="79"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We have operated in the entertainment industry for more than 40 years, and over that time we have created targeted and focused video entertainment products that we own and operate and that are powered by distinguished brands, including AMC, AMC+, BBC AMERICA (which we operate through a joint venture with BBC Studios), IFC, SundanceTV, WE tv, Acorn TV, Shudder, Sundance Now, ALLBLK, HIDIVE and IFC Films. Our distinctive, critically-acclaimed content spans multiple genres, including drama, documentary, comedy, reality, anime, anthology, feature film and short form. Our content and our brands are well known and well regarded by our key constituents — our viewers and subscribers as well as distributors and advertisers. Our network, streaming and show brands have developed strong, dedicated followings within their respective targeted demographics, increasing their value</w:t>
      </w:r>
    </w:p>
    <w:p>
      <w:pPr>
        <w:spacing w:after="0" w:line="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our key constituents. Through our AMC Studios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w:t>
      </w:r>
    </w:p>
    <w:p>
      <w:pPr>
        <w:spacing w:after="0" w:line="63"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Internationally, we deliver programming that reaches subscribers in approximately 110 countries and territories around the world. The international division of the Company, AMC Networks International ("AMCNI"), consists of our premier AMC global brand as well as a portfolio of popular, locally recognized brands delivering programming in a wide range of genres.</w:t>
      </w:r>
    </w:p>
    <w:p>
      <w:pPr>
        <w:spacing w:after="0" w:line="76" w:lineRule="exact"/>
        <w:rPr>
          <w:sz w:val="20"/>
          <w:szCs w:val="20"/>
          <w:color w:val="auto"/>
        </w:rPr>
      </w:pPr>
    </w:p>
    <w:p>
      <w:pPr>
        <w:jc w:val="both"/>
        <w:ind w:right="20" w:firstLine="364"/>
        <w:spacing w:after="0" w:line="296" w:lineRule="auto"/>
        <w:rPr>
          <w:sz w:val="20"/>
          <w:szCs w:val="20"/>
          <w:color w:val="auto"/>
        </w:rPr>
      </w:pPr>
      <w:r>
        <w:rPr>
          <w:rFonts w:ascii="Arial" w:cs="Arial" w:eastAsia="Arial" w:hAnsi="Arial"/>
          <w:sz w:val="16"/>
          <w:szCs w:val="16"/>
          <w:color w:val="auto"/>
        </w:rPr>
        <w:t>AMC Networks also operates IFC Films, a film distribution business that distributes independent narrative and documentary films under the IFC Films label as well as the IFC Midnight distribution label. IFC Films is known for attracting high-profile talent and distributing films that regularly garner critical acclaim and industry honors, including numerous Academy Award, Golden Globe, and Cannes Film Festival Award winning titles, and has been behind some of the most culturally impactful and successful independent film and documentary releases of all time. IFC Films also operates IFC Films Unlimited, a subscription streaming service comprised of a broad range of theatrically-released and award winning titles from its distribution labels.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strategy is to create, showcase and curate high-quality, brand-defining content that appeals to distinct audiences as we maximize our distribution, advertising and content licensing revenue of each of our branded services.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strategic areas of focus are: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Continued Development of High-Quality Original Content. </w:t>
      </w:r>
      <w:r>
        <w:rPr>
          <w:rFonts w:ascii="Arial" w:cs="Arial" w:eastAsia="Arial" w:hAnsi="Arial"/>
          <w:sz w:val="18"/>
          <w:szCs w:val="18"/>
          <w:color w:val="auto"/>
        </w:rPr>
        <w:t>We intend to continue developing strong high-quality original content across our linear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and streaming services to optimize our distribution, advertising and content licensing revenue, further enhance our brands, strengthen our engagement with our viewers, subscribers, distributors and advertisers, and to build viewership and attract and retain subscribers for our streaming services.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Increased Ownership and Control of Content and Valuable IP</w:t>
      </w:r>
      <w:r>
        <w:rPr>
          <w:rFonts w:ascii="Arial" w:cs="Arial" w:eastAsia="Arial" w:hAnsi="Arial"/>
          <w:sz w:val="18"/>
          <w:szCs w:val="18"/>
          <w:color w:val="auto"/>
        </w:rPr>
        <w:t>. AMC Networks’ wholly-owned or majority-controlled library includes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6,000 episodes and 1,300 films, as well as more than 20,000 episodes of highly localized unscripted lifestyle content from our AMC Networks International business. In addition, we have storied titles and brands known to a global audience, such as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the Anne Rice catalog, and we own a majority interest in the Agatha Christie library.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ind w:firstLine="364"/>
        <w:spacing w:after="0" w:line="257" w:lineRule="auto"/>
        <w:rPr>
          <w:sz w:val="20"/>
          <w:szCs w:val="20"/>
          <w:color w:val="auto"/>
        </w:rPr>
      </w:pPr>
      <w:r>
        <w:rPr>
          <w:rFonts w:ascii="Arial" w:cs="Arial" w:eastAsia="Arial" w:hAnsi="Arial"/>
          <w:sz w:val="18"/>
          <w:szCs w:val="18"/>
          <w:color w:val="1C1D20"/>
        </w:rPr>
        <w:t xml:space="preserve">By leveraging our library of titles and original content, we are able to enrich the content mix across all of our linear and streaming platforms. </w:t>
      </w:r>
      <w:r>
        <w:rPr>
          <w:rFonts w:ascii="Arial" w:cs="Arial" w:eastAsia="Arial" w:hAnsi="Arial"/>
          <w:sz w:val="18"/>
          <w:szCs w:val="18"/>
          <w:color w:val="000000"/>
        </w:rPr>
        <w:t>As some</w:t>
      </w:r>
      <w:r>
        <w:rPr>
          <w:rFonts w:ascii="Arial" w:cs="Arial" w:eastAsia="Arial" w:hAnsi="Arial"/>
          <w:sz w:val="18"/>
          <w:szCs w:val="18"/>
          <w:color w:val="1C1D20"/>
        </w:rPr>
        <w:t xml:space="preserve"> </w:t>
      </w:r>
      <w:r>
        <w:rPr>
          <w:rFonts w:ascii="Arial" w:cs="Arial" w:eastAsia="Arial" w:hAnsi="Arial"/>
          <w:sz w:val="18"/>
          <w:szCs w:val="18"/>
          <w:color w:val="000000"/>
        </w:rPr>
        <w:t xml:space="preserve">current content licensing deals with third parties expire, hundreds of hours of our popular and acclaimed shows and films will become an exclusive part of our owned and controlled library which we can then utilize across our various services or re-license to third parties, including critically acclaimed hit series, such as </w:t>
      </w:r>
      <w:r>
        <w:rPr>
          <w:rFonts w:ascii="Arial" w:cs="Arial" w:eastAsia="Arial" w:hAnsi="Arial"/>
          <w:sz w:val="18"/>
          <w:szCs w:val="18"/>
          <w:i w:val="1"/>
          <w:iCs w:val="1"/>
          <w:color w:val="000000"/>
        </w:rPr>
        <w:t>Halt and Catch Fire, Turn</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Rectify</w:t>
      </w:r>
      <w:r>
        <w:rPr>
          <w:rFonts w:ascii="Arial" w:cs="Arial" w:eastAsia="Arial" w:hAnsi="Arial"/>
          <w:sz w:val="18"/>
          <w:szCs w:val="18"/>
          <w:color w:val="000000"/>
        </w:rPr>
        <w:t xml:space="preserve">, as well as all 11 seasons of </w:t>
      </w:r>
      <w:r>
        <w:rPr>
          <w:rFonts w:ascii="Arial" w:cs="Arial" w:eastAsia="Arial" w:hAnsi="Arial"/>
          <w:sz w:val="18"/>
          <w:szCs w:val="18"/>
          <w:i w:val="1"/>
          <w:iCs w:val="1"/>
          <w:color w:val="000000"/>
        </w:rPr>
        <w:t>The Walking Dead</w:t>
      </w:r>
      <w:r>
        <w:rPr>
          <w:rFonts w:ascii="Arial" w:cs="Arial" w:eastAsia="Arial" w:hAnsi="Arial"/>
          <w:sz w:val="18"/>
          <w:szCs w:val="18"/>
          <w:color w:val="000000"/>
        </w:rPr>
        <w:t>, to be discovered and rediscovered by viewers and subscribers, driving growth and value across our portfolio.</w:t>
      </w:r>
    </w:p>
    <w:p>
      <w:pPr>
        <w:spacing w:after="0" w:line="120"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i w:val="1"/>
          <w:iCs w:val="1"/>
          <w:color w:val="auto"/>
        </w:rPr>
        <w:t xml:space="preserve">Develop and Grow Streaming Offerings and Brands. </w:t>
      </w:r>
      <w:r>
        <w:rPr>
          <w:rFonts w:ascii="Arial" w:cs="Arial" w:eastAsia="Arial" w:hAnsi="Arial"/>
          <w:sz w:val="17"/>
          <w:szCs w:val="17"/>
          <w:color w:val="auto"/>
        </w:rPr>
        <w:t>Our targeted streaming strategy is to serve distinct audiences and build loyal and engaged fan</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around each service. With our targeted approach, we are serving audiences with streaming offerings that are companions to (rather than competitive with) the larger general entertainment streaming services. As we assess the optimal level and mix of programming across our platforms, we will prioritize curation to provide compelling offerings that maximize impact on subscriber engagement and retention.</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launched several of our services, most notably AMC+, Acorn TV and Shudder, in key international markets, including Canada, the United Kingdom (the "U.K."), parts of Europe, South Korea, India, Australia and New Zealand. We will continue to be opportunistic in determining the most optimal monetization strategy for new international markets.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Multi-Platform Content Monetization and Distribution</w:t>
      </w:r>
      <w:r>
        <w:rPr>
          <w:rFonts w:ascii="Arial" w:cs="Arial" w:eastAsia="Arial" w:hAnsi="Arial"/>
          <w:sz w:val="18"/>
          <w:szCs w:val="18"/>
          <w:color w:val="auto"/>
        </w:rPr>
        <w:t>. We distribute our content across other platforms so that our viewers can access our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where, when and how they want it. To that end, we have partnerships with all major streaming services and digital platforms, including Netflix, Hulu, Apple TV, Amazon Prime and Roku, to make our content available on various platforms permitting subscribers to access programs at their convenience, including electronic-sell-through (EST) and physical (DVD and Blu-ray) formats.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Growth and Innovation in Advertising</w:t>
      </w:r>
      <w:r>
        <w:rPr>
          <w:rFonts w:ascii="Arial" w:cs="Arial" w:eastAsia="Arial" w:hAnsi="Arial"/>
          <w:sz w:val="17"/>
          <w:szCs w:val="17"/>
          <w:color w:val="auto"/>
        </w:rPr>
        <w:t>. We continue to leverage our high-quality popular content on our networks to optimize our advertising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are embracing an array of new advertising opportunities, including an expanding and robust presence on free ad-supported streaming (FAST) and advertising video on demand (AVOD) platforms. To date, we have launched a total of 15 distinct channels featuring our content, in different configurations, across major FAST platforms, such as Pluto TV, Sling TV and Samsung TV Plus. We have increased the value of our linear and digital advertising inventory by establishing a leadership position in advanced advertising technologies, including addressable advertising and programmatic buying, to make it easier for a wider variety of advertisers to partner with us and to make the impressions they buy smarter and more effective. We have seen the number of advertisers utilizing these tools increase and our targeted audience advertising sales have grown as a result. In addition to our own initiatives, we are also participating in broader industry efforts focused on expanding the availability of addressable advertising. We believe our products enhance our value to advertisers through better targeting, data and measurement and we believe they will contribute to growth of our overall business in the mid and long term.</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create opportunities for leading consumer brands to leverage the strength of our content and our proven ability to build and engage large, vibrant and passionate fan communities around our shows and franchises. Through an initiative called the AMC Networks “Content Room,” we offer brands and advertisers opportunities to reach fans of our shows and franchises in compelling and innovative ways including through custom short-form content, on social media platforms and through on-the-ground live events.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earn revenue principally from the distribution of our programming and the sale of advertising. In 2022, distribution revenues and advertising sales accounted for 72% and 28% of our consolidated revenues, net, respectively. For the year ended December 31, 2022, one distributor accounted for greater than 10% of our consolidated revenues, net.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Distribution revenue primarily includes: fees charged to distributors that carry our network brands and content; subscription fees paid for our streaming services; and revenue earned from the licensing of our original programming.</w:t>
      </w:r>
    </w:p>
    <w:p>
      <w:pPr>
        <w:spacing w:after="0" w:line="6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Subscription revenue: Our programming networks as well as our streaming services are distributed to our viewing audience throughout the United States (“U.S.”) and around the world via cable and other multichannel video programming distribution platforms, including direct broadcast satellite ("DBS"), platforms operated by telecommunications providers, virtual or digital multi-channel video programming distributors ("MVPDs" and collectively "distributors"), and through our direct to consumer apps. Our programming networks are available on every major U.S. distribution platform. Our programming networks' distribution agreements expire at various dates through 2028. For our streaming services, we earn monthly or annual subscription fees as the streaming service is provided to our customers.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frequently negotiate with distributors in an effort to increase the subscriber base for our networks. We have in some instances made upfront payments to distributors in exchange for these additional subscribers. We also may help fund the distributors' efforts to market our programming networks and streaming services or we may permit distributors to offer limited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Content licensing revenue: We sell rights to our owned original programming and content acquired under long-term distribution arrangements for distribution in a variety of forms including television markets worldwide, streaming services or digital platform providers, such as Netflix, Hulu, and Amazon Prime, electronic-sell-through (EST) and physical (DVD and Blu-ray) formats.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earn advertising revenue by selling advertising time on our programming networks, on digital platforms we own and on an increasing number of AVOD and FAST platforms.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we are generally represented by third-party sales agents.</w:t>
      </w:r>
    </w:p>
    <w:p>
      <w:pPr>
        <w:spacing w:after="0" w:line="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arrangements with advertisers provide for a set number of advertising units to air over a specific period of time at a negotiated price per unit. In most domestic advertising sales arrangements, we guarantee specified viewer ratings. If these guarantees are not met, we are generally required to provide additional advertising units to the advertiser at no charge. For these types of arrangements, a portion of the related revenue is deferred if the guarantees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programming strategy is to target audiences with high-quality, compelling stories and powerful brands. We obtain programming through a combination of development, production and licensing; and we distribute programming directly to consumers in the U.S. and throughout the world through our programming networks, streaming services, theatrical release of acquired films and other forms of distribution. Our programming includes original programming that we control, either through outright ownership or through long-term licensing arrangements, as well as acquired programming that we license from studios and other rights holders.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Through our AMC Studios operation, we produce owned original programming primarily for our programming networks and streaming services, and also for license to third parties worldwide. Decisions as to how to distribute programming are made on the basis of a variety of factors including the relative value of any particular alternative.</w:t>
      </w:r>
    </w:p>
    <w:p>
      <w:pPr>
        <w:spacing w:after="0" w:line="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contract with some of the industry's leading production companies to produce original programming that appears on our programming networks and streaming services.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majority of the content on our programming networks and streaming services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8"/>
          <w:szCs w:val="18"/>
          <w:i w:val="1"/>
          <w:iCs w:val="1"/>
          <w:color w:val="auto"/>
        </w:rPr>
        <w:t xml:space="preserve">Law and Order, The X-Files, Criminal Minds, CSI: Miami, Two and a Half Men </w:t>
      </w:r>
      <w:r>
        <w:rPr>
          <w:rFonts w:ascii="Arial" w:cs="Arial" w:eastAsia="Arial" w:hAnsi="Arial"/>
          <w:sz w:val="18"/>
          <w:szCs w:val="18"/>
          <w:color w:val="auto"/>
        </w:rPr>
        <w:t>and</w:t>
      </w:r>
      <w:r>
        <w:rPr>
          <w:rFonts w:ascii="Arial" w:cs="Arial" w:eastAsia="Arial" w:hAnsi="Arial"/>
          <w:sz w:val="18"/>
          <w:szCs w:val="18"/>
          <w:i w:val="1"/>
          <w:iCs w:val="1"/>
          <w:color w:val="auto"/>
        </w:rPr>
        <w:t xml:space="preserve"> Batman</w:t>
      </w:r>
      <w:r>
        <w:rPr>
          <w:rFonts w:ascii="Arial" w:cs="Arial" w:eastAsia="Arial" w:hAnsi="Arial"/>
          <w:sz w:val="18"/>
          <w:szCs w:val="18"/>
          <w:color w:val="auto"/>
        </w:rPr>
        <w:t>, as well as an extensive film library. The rights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content are of varying duration and generally permit our programming networks and streaming services to carry these series, films and other programming during certain window periods.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980" w:hanging="486"/>
        <w:spacing w:after="0" w:line="254"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five national programming networks, our global streaming services, our AMC Studios operations, and IFC Films. Our national programming networks are AMC, WE tv, BBC AMERICA, IFC, and SundanceTV. Our global streaming services consist of our targeted subscription streaming services (Acorn TV, Shudder, Sundance Now, ALLBLK, and HIDIVE), AMC+ and other streaming initiatives. Our AMC Studios operation produces original programming for our programming services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color w:val="auto"/>
        </w:rPr>
      </w:pPr>
    </w:p>
    <w:p>
      <w:pPr>
        <w:jc w:val="both"/>
        <w:ind w:left="980" w:right="20" w:hanging="486"/>
        <w:spacing w:after="0" w:line="286"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and Other: </w:t>
      </w:r>
      <w:r>
        <w:rPr>
          <w:rFonts w:ascii="Arial" w:cs="Arial" w:eastAsia="Arial" w:hAnsi="Arial"/>
          <w:sz w:val="17"/>
          <w:szCs w:val="17"/>
          <w:color w:val="auto"/>
        </w:rPr>
        <w:t>Includes AMC Networks International (“AMCNI”), our international programming businesses consisting of a</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of channels around the world, and 25/7 Media (formerly Levity), our production services business. See Note 4 to the consolidated financial statements for additional information relating to the 2021 spin-off of the Levity comedy venues business.</w:t>
      </w:r>
    </w:p>
    <w:p>
      <w:pPr>
        <w:spacing w:after="0" w:line="71" w:lineRule="exact"/>
        <w:rPr>
          <w:sz w:val="20"/>
          <w:szCs w:val="20"/>
          <w:color w:val="auto"/>
        </w:rPr>
      </w:pPr>
    </w:p>
    <w:p>
      <w:pPr>
        <w:ind w:firstLine="405"/>
        <w:spacing w:after="0" w:line="324"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23 to the accompanying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Programming Networks - </w:t>
      </w:r>
      <w:r>
        <w:rPr>
          <w:rFonts w:ascii="Arial" w:cs="Arial" w:eastAsia="Arial" w:hAnsi="Arial"/>
          <w:sz w:val="18"/>
          <w:szCs w:val="18"/>
          <w:color w:val="auto"/>
        </w:rPr>
        <w:t>Our programming networks consist of the following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8655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55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2022, AMC reached approximately 70 million Nielsen subscribers and had distribution agreements with all major U.S. and Canada distributors.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AMC is home to some of the most popular and acclaimed dramas on television, including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highest-rated series in cable history;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w:t>
      </w:r>
      <w:r>
        <w:rPr>
          <w:rFonts w:ascii="Arial" w:cs="Arial" w:eastAsia="Arial" w:hAnsi="Arial"/>
          <w:sz w:val="18"/>
          <w:szCs w:val="18"/>
          <w:i w:val="1"/>
          <w:iCs w:val="1"/>
          <w:color w:val="auto"/>
        </w:rPr>
        <w:t>Interview with the Vampire</w:t>
      </w:r>
      <w:r>
        <w:rPr>
          <w:rFonts w:ascii="Arial" w:cs="Arial" w:eastAsia="Arial" w:hAnsi="Arial"/>
          <w:sz w:val="18"/>
          <w:szCs w:val="18"/>
          <w:color w:val="auto"/>
        </w:rPr>
        <w:t xml:space="preserve"> and </w:t>
      </w:r>
      <w:r>
        <w:rPr>
          <w:rFonts w:ascii="Arial" w:cs="Arial" w:eastAsia="Arial" w:hAnsi="Arial"/>
          <w:sz w:val="18"/>
          <w:szCs w:val="18"/>
          <w:i w:val="1"/>
          <w:iCs w:val="1"/>
          <w:color w:val="auto"/>
        </w:rPr>
        <w:t>Gangs of London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2022, AMC aired the epic conclusion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while expanding The Walking Dead Universe franchise, with the premiere of episodic anthology series </w:t>
      </w:r>
      <w:r>
        <w:rPr>
          <w:rFonts w:ascii="Arial" w:cs="Arial" w:eastAsia="Arial" w:hAnsi="Arial"/>
          <w:sz w:val="18"/>
          <w:szCs w:val="18"/>
          <w:i w:val="1"/>
          <w:iCs w:val="1"/>
          <w:color w:val="auto"/>
        </w:rPr>
        <w:t>Tales of the Walking Dead,</w:t>
      </w:r>
      <w:r>
        <w:rPr>
          <w:rFonts w:ascii="Arial" w:cs="Arial" w:eastAsia="Arial" w:hAnsi="Arial"/>
          <w:sz w:val="18"/>
          <w:szCs w:val="18"/>
          <w:color w:val="auto"/>
        </w:rPr>
        <w:t xml:space="preserve"> and production on new series built around iconic characters from the franchise including </w:t>
      </w:r>
      <w:r>
        <w:rPr>
          <w:rFonts w:ascii="Arial" w:cs="Arial" w:eastAsia="Arial" w:hAnsi="Arial"/>
          <w:sz w:val="18"/>
          <w:szCs w:val="18"/>
          <w:i w:val="1"/>
          <w:iCs w:val="1"/>
          <w:color w:val="auto"/>
        </w:rPr>
        <w:t>The Walking Dead: Dead City</w:t>
      </w:r>
      <w:r>
        <w:rPr>
          <w:rFonts w:ascii="Arial" w:cs="Arial" w:eastAsia="Arial" w:hAnsi="Arial"/>
          <w:sz w:val="18"/>
          <w:szCs w:val="18"/>
          <w:color w:val="auto"/>
        </w:rPr>
        <w:t>;</w:t>
      </w:r>
      <w:r>
        <w:rPr>
          <w:rFonts w:ascii="Arial" w:cs="Arial" w:eastAsia="Arial" w:hAnsi="Arial"/>
          <w:sz w:val="18"/>
          <w:szCs w:val="18"/>
          <w:i w:val="1"/>
          <w:iCs w:val="1"/>
          <w:color w:val="auto"/>
        </w:rPr>
        <w:t xml:space="preserve"> The Walking Dead: Daryl Dixon</w:t>
      </w:r>
      <w:r>
        <w:rPr>
          <w:rFonts w:ascii="Arial" w:cs="Arial" w:eastAsia="Arial" w:hAnsi="Arial"/>
          <w:sz w:val="18"/>
          <w:szCs w:val="18"/>
          <w:color w:val="auto"/>
        </w:rPr>
        <w:t>, and a new series centered on the epic love story of central characters Rick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Michonne. AMC also aired the sixth and final season of the critically acclaimed </w:t>
      </w:r>
      <w:r>
        <w:rPr>
          <w:rFonts w:ascii="Arial" w:cs="Arial" w:eastAsia="Arial" w:hAnsi="Arial"/>
          <w:sz w:val="18"/>
          <w:szCs w:val="18"/>
          <w:i w:val="1"/>
          <w:iCs w:val="1"/>
          <w:color w:val="auto"/>
        </w:rPr>
        <w:t>Better Call Saul</w:t>
      </w:r>
      <w:r>
        <w:rPr>
          <w:rFonts w:ascii="Arial" w:cs="Arial" w:eastAsia="Arial" w:hAnsi="Arial"/>
          <w:sz w:val="18"/>
          <w:szCs w:val="18"/>
          <w:color w:val="auto"/>
        </w:rPr>
        <w:t>, which was nominated for seven Emmy Awards and was the #3 cable drama for its season in key demographics.</w:t>
      </w:r>
    </w:p>
    <w:p>
      <w:pPr>
        <w:spacing w:after="0" w:line="79"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2022, AMC launched a new universe of stories built around the iconic works of author Anne Rice beginning with the premiere of Anne Rice’s </w:t>
      </w:r>
      <w:r>
        <w:rPr>
          <w:rFonts w:ascii="Arial" w:cs="Arial" w:eastAsia="Arial" w:hAnsi="Arial"/>
          <w:sz w:val="18"/>
          <w:szCs w:val="18"/>
          <w:i w:val="1"/>
          <w:iCs w:val="1"/>
          <w:color w:val="auto"/>
        </w:rPr>
        <w:t>Interview with the Vampire</w:t>
      </w:r>
      <w:r>
        <w:rPr>
          <w:rFonts w:ascii="Arial" w:cs="Arial" w:eastAsia="Arial" w:hAnsi="Arial"/>
          <w:sz w:val="18"/>
          <w:szCs w:val="18"/>
          <w:color w:val="auto"/>
        </w:rPr>
        <w:t xml:space="preserve">. The widely-acclaimed first season became the #1 new drama on ad-supported cable in 2022. AMC renewed the series, starring Jacob Anderson, Sam Reid, Bailey Bass, and Eric Bogosian, for a second season. In 2023 the network launched the highly anticipated </w:t>
      </w:r>
      <w:r>
        <w:rPr>
          <w:rFonts w:ascii="Arial" w:cs="Arial" w:eastAsia="Arial" w:hAnsi="Arial"/>
          <w:sz w:val="18"/>
          <w:szCs w:val="18"/>
          <w:i w:val="1"/>
          <w:iCs w:val="1"/>
          <w:color w:val="auto"/>
        </w:rPr>
        <w:t>Anne Rice’s Mayfair Witches,</w:t>
      </w:r>
      <w:r>
        <w:rPr>
          <w:rFonts w:ascii="Arial" w:cs="Arial" w:eastAsia="Arial" w:hAnsi="Arial"/>
          <w:sz w:val="18"/>
          <w:szCs w:val="18"/>
          <w:color w:val="auto"/>
        </w:rPr>
        <w:t xml:space="preserve"> the second endeavor in the Anne Rice Immortal Universe, debuting on the heels of </w:t>
      </w:r>
      <w:r>
        <w:rPr>
          <w:rFonts w:ascii="Arial" w:cs="Arial" w:eastAsia="Arial" w:hAnsi="Arial"/>
          <w:sz w:val="18"/>
          <w:szCs w:val="18"/>
          <w:i w:val="1"/>
          <w:iCs w:val="1"/>
          <w:color w:val="auto"/>
        </w:rPr>
        <w:t>Anne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Rice’s Interview with the Vampire </w:t>
      </w:r>
      <w:r>
        <w:rPr>
          <w:rFonts w:ascii="Arial" w:cs="Arial" w:eastAsia="Arial" w:hAnsi="Arial"/>
          <w:sz w:val="18"/>
          <w:szCs w:val="18"/>
          <w:color w:val="auto"/>
        </w:rPr>
        <w:t>and has renewed the series for a second season</w:t>
      </w:r>
      <w:r>
        <w:rPr>
          <w:rFonts w:ascii="Arial" w:cs="Arial" w:eastAsia="Arial" w:hAnsi="Arial"/>
          <w:sz w:val="18"/>
          <w:szCs w:val="18"/>
          <w:i w:val="1"/>
          <w:iCs w:val="1"/>
          <w:color w:val="auto"/>
        </w:rPr>
        <w:t>.</w:t>
      </w:r>
    </w:p>
    <w:p>
      <w:pPr>
        <w:spacing w:after="0" w:line="79"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AMC also premiered </w:t>
      </w:r>
      <w:r>
        <w:rPr>
          <w:rFonts w:ascii="Arial" w:cs="Arial" w:eastAsia="Arial" w:hAnsi="Arial"/>
          <w:sz w:val="18"/>
          <w:szCs w:val="18"/>
          <w:i w:val="1"/>
          <w:iCs w:val="1"/>
          <w:color w:val="auto"/>
        </w:rPr>
        <w:t>Dark Winds</w:t>
      </w:r>
      <w:r>
        <w:rPr>
          <w:rFonts w:ascii="Arial" w:cs="Arial" w:eastAsia="Arial" w:hAnsi="Arial"/>
          <w:sz w:val="18"/>
          <w:szCs w:val="18"/>
          <w:color w:val="auto"/>
        </w:rPr>
        <w:t>, “perhaps the most ambitious Native-led TV show ever made,” according to The Hollywood Reporter, starring Zahn McClarnon and executive produced by Robert Redford and George R.R. Martin. The series sustained a 100% Fresh rating on Rotten Tomatoes and will return for a second season in 2023.</w:t>
      </w:r>
    </w:p>
    <w:p>
      <w:pPr>
        <w:spacing w:after="0" w:line="75"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6426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42620" cy="488315"/>
                    </a:xfrm>
                    <a:prstGeom prst="rect">
                      <a:avLst/>
                    </a:prstGeom>
                    <a:noFill/>
                  </pic:spPr>
                </pic:pic>
              </a:graphicData>
            </a:graphic>
          </wp:anchor>
        </w:drawing>
      </w:r>
    </w:p>
    <w:p>
      <w:pPr>
        <w:spacing w:after="0" w:line="335" w:lineRule="exact"/>
        <w:rPr>
          <w:sz w:val="20"/>
          <w:szCs w:val="20"/>
          <w:color w:val="auto"/>
        </w:rPr>
      </w:pPr>
    </w:p>
    <w:p>
      <w:pPr>
        <w:ind w:left="486" w:right="20" w:hanging="486"/>
        <w:spacing w:after="0" w:line="277" w:lineRule="auto"/>
        <w:tabs>
          <w:tab w:leader="none" w:pos="481"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As of December 31, 2022, WE tv reached approximately 68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jc w:val="both"/>
        <w:ind w:left="486" w:hanging="486"/>
        <w:spacing w:after="0" w:line="263"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Driven by unscripted originals, WE tv is the #1 U.S. cable network for African American women on Friday nights and home to a popular slate of series and franchises including </w:t>
      </w:r>
      <w:r>
        <w:rPr>
          <w:rFonts w:ascii="Arial" w:cs="Arial" w:eastAsia="Arial" w:hAnsi="Arial"/>
          <w:sz w:val="18"/>
          <w:szCs w:val="18"/>
          <w:i w:val="1"/>
          <w:iCs w:val="1"/>
          <w:color w:val="auto"/>
        </w:rPr>
        <w:t>Love After Lockup, Life After Lockup, Marriage Boot Camp and Growing Up Hip Hop</w:t>
      </w:r>
      <w:r>
        <w:rPr>
          <w:rFonts w:ascii="Arial" w:cs="Arial" w:eastAsia="Arial" w:hAnsi="Arial"/>
          <w:sz w:val="18"/>
          <w:szCs w:val="18"/>
          <w:color w:val="auto"/>
        </w:rPr>
        <w:t xml:space="preserve">, as well as fan favorites </w:t>
      </w:r>
      <w:r>
        <w:rPr>
          <w:rFonts w:ascii="Arial" w:cs="Arial" w:eastAsia="Arial" w:hAnsi="Arial"/>
          <w:sz w:val="18"/>
          <w:szCs w:val="18"/>
          <w:i w:val="1"/>
          <w:iCs w:val="1"/>
          <w:color w:val="auto"/>
        </w:rPr>
        <w:t>Waka &amp; Tammy, Brat Loves Judy and Mama June: Road to Redemption.</w:t>
      </w:r>
    </w:p>
    <w:p>
      <w:pPr>
        <w:spacing w:after="0" w:line="75"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2022, the network also premiered new unscripted series </w:t>
      </w:r>
      <w:r>
        <w:rPr>
          <w:rFonts w:ascii="Arial" w:cs="Arial" w:eastAsia="Arial" w:hAnsi="Arial"/>
          <w:sz w:val="18"/>
          <w:szCs w:val="18"/>
          <w:i w:val="1"/>
          <w:iCs w:val="1"/>
          <w:color w:val="auto"/>
        </w:rPr>
        <w:t>Commit or Quit with Judge Lynn Toler and Super Sized Salon</w:t>
      </w:r>
      <w:r>
        <w:rPr>
          <w:rFonts w:ascii="Arial" w:cs="Arial" w:eastAsia="Arial" w:hAnsi="Arial"/>
          <w:sz w:val="18"/>
          <w:szCs w:val="18"/>
          <w:color w:val="auto"/>
        </w:rPr>
        <w:t xml:space="preserve"> as well as docuseries, </w:t>
      </w:r>
      <w:r>
        <w:rPr>
          <w:rFonts w:ascii="Arial" w:cs="Arial" w:eastAsia="Arial" w:hAnsi="Arial"/>
          <w:sz w:val="18"/>
          <w:szCs w:val="18"/>
          <w:i w:val="1"/>
          <w:iCs w:val="1"/>
          <w:color w:val="auto"/>
        </w:rPr>
        <w:t>Hip Hop Homicides</w:t>
      </w:r>
      <w:r>
        <w:rPr>
          <w:rFonts w:ascii="Arial" w:cs="Arial" w:eastAsia="Arial" w:hAnsi="Arial"/>
          <w:sz w:val="18"/>
          <w:szCs w:val="18"/>
          <w:color w:val="auto"/>
        </w:rPr>
        <w:t>, produced by Curtis “50 Cent” Jackson and hosted by Van Lathan.</w:t>
      </w:r>
    </w:p>
    <w:p>
      <w:pPr>
        <w:spacing w:after="0" w:line="62"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tv's programming also includes popular series </w:t>
      </w:r>
      <w:r>
        <w:rPr>
          <w:rFonts w:ascii="Arial" w:cs="Arial" w:eastAsia="Arial" w:hAnsi="Arial"/>
          <w:sz w:val="18"/>
          <w:szCs w:val="18"/>
          <w:i w:val="1"/>
          <w:iCs w:val="1"/>
          <w:color w:val="auto"/>
        </w:rPr>
        <w:t>CSI: Miami and 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426085</wp:posOffset>
            </wp:positionV>
            <wp:extent cx="831215"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6" w:hanging="486"/>
        <w:spacing w:after="0" w:line="308" w:lineRule="auto"/>
        <w:tabs>
          <w:tab w:leader="none" w:pos="481"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A joint venture between AMC Networks and BBC Studios (the commercial arm of the BBC), BBC AMERICA reached approximately 65 million Nielsen subscribers and had distribution agreements with all major U.S. distributors as of December 31, 2022.</w:t>
      </w:r>
    </w:p>
    <w:p>
      <w:pPr>
        <w:spacing w:after="0" w:line="38" w:lineRule="exact"/>
        <w:rPr>
          <w:rFonts w:ascii="Arial" w:cs="Arial" w:eastAsia="Arial" w:hAnsi="Arial"/>
          <w:sz w:val="17"/>
          <w:szCs w:val="17"/>
          <w:i w:val="1"/>
          <w:iCs w:val="1"/>
          <w:color w:val="auto"/>
        </w:rPr>
      </w:pPr>
    </w:p>
    <w:p>
      <w:pPr>
        <w:jc w:val="both"/>
        <w:ind w:left="486" w:hanging="486"/>
        <w:spacing w:after="0" w:line="259"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BBC AMERICA is a hub of innovative, culturally contagious programming. The network has attracted wide critical acclaim for its influential series, including </w:t>
      </w:r>
      <w:r>
        <w:rPr>
          <w:rFonts w:ascii="Arial" w:cs="Arial" w:eastAsia="Arial" w:hAnsi="Arial"/>
          <w:sz w:val="18"/>
          <w:szCs w:val="18"/>
          <w:i w:val="1"/>
          <w:iCs w:val="1"/>
          <w:color w:val="auto"/>
        </w:rPr>
        <w:t>Orphan Black;</w:t>
      </w:r>
      <w:r>
        <w:rPr>
          <w:rFonts w:ascii="Arial" w:cs="Arial" w:eastAsia="Arial" w:hAnsi="Arial"/>
          <w:sz w:val="18"/>
          <w:szCs w:val="18"/>
          <w:color w:val="auto"/>
        </w:rPr>
        <w:t xml:space="preserve"> the timeless fan favorite </w:t>
      </w:r>
      <w:r>
        <w:rPr>
          <w:rFonts w:ascii="Arial" w:cs="Arial" w:eastAsia="Arial" w:hAnsi="Arial"/>
          <w:sz w:val="18"/>
          <w:szCs w:val="18"/>
          <w:i w:val="1"/>
          <w:iCs w:val="1"/>
          <w:color w:val="auto"/>
        </w:rPr>
        <w:t>Doctor Who</w:t>
      </w:r>
      <w:r>
        <w:rPr>
          <w:rFonts w:ascii="Arial" w:cs="Arial" w:eastAsia="Arial" w:hAnsi="Arial"/>
          <w:sz w:val="18"/>
          <w:szCs w:val="18"/>
          <w:color w:val="auto"/>
        </w:rPr>
        <w:t xml:space="preserve">, one of the longest running series in the world; and its highly-awarded original series </w:t>
      </w:r>
      <w:r>
        <w:rPr>
          <w:rFonts w:ascii="Arial" w:cs="Arial" w:eastAsia="Arial" w:hAnsi="Arial"/>
          <w:sz w:val="18"/>
          <w:szCs w:val="18"/>
          <w:i w:val="1"/>
          <w:iCs w:val="1"/>
          <w:color w:val="auto"/>
        </w:rPr>
        <w:t>Killing Eve,</w:t>
      </w:r>
      <w:r>
        <w:rPr>
          <w:rFonts w:ascii="Arial" w:cs="Arial" w:eastAsia="Arial" w:hAnsi="Arial"/>
          <w:sz w:val="18"/>
          <w:szCs w:val="18"/>
          <w:color w:val="auto"/>
        </w:rPr>
        <w:t xml:space="preserve"> which has garnered Emmy, Golden Globe, Peabody, Critics’ Choice and BAFTA Awards, among others, and concluded its fourth and final season in 2022.</w:t>
      </w:r>
    </w:p>
    <w:p>
      <w:pPr>
        <w:spacing w:after="0" w:line="78" w:lineRule="exact"/>
        <w:rPr>
          <w:rFonts w:ascii="Arial" w:cs="Arial" w:eastAsia="Arial" w:hAnsi="Arial"/>
          <w:sz w:val="18"/>
          <w:szCs w:val="18"/>
          <w:color w:val="auto"/>
        </w:rPr>
      </w:pPr>
    </w:p>
    <w:p>
      <w:pPr>
        <w:ind w:left="486" w:hanging="486"/>
        <w:spacing w:after="0" w:line="291"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BBC AMERICA is also the definitive home and co-producer of iconic nature programming from the BBC. In 2023 the network will debut </w:t>
      </w:r>
      <w:r>
        <w:rPr>
          <w:rFonts w:ascii="Arial" w:cs="Arial" w:eastAsia="Arial" w:hAnsi="Arial"/>
          <w:sz w:val="18"/>
          <w:szCs w:val="18"/>
          <w:i w:val="1"/>
          <w:iCs w:val="1"/>
          <w:color w:val="auto"/>
        </w:rPr>
        <w:t xml:space="preserve">Frozen Planet II, </w:t>
      </w:r>
      <w:r>
        <w:rPr>
          <w:rFonts w:ascii="Arial" w:cs="Arial" w:eastAsia="Arial" w:hAnsi="Arial"/>
          <w:sz w:val="18"/>
          <w:szCs w:val="18"/>
          <w:color w:val="auto"/>
        </w:rPr>
        <w:t>the highly anticipated sequel to the four-time Emmy</w:t>
      </w:r>
      <w:r>
        <w:rPr>
          <w:rFonts w:ascii="Arial" w:cs="Arial" w:eastAsia="Arial" w:hAnsi="Arial"/>
          <w:sz w:val="23"/>
          <w:szCs w:val="23"/>
          <w:color w:val="auto"/>
          <w:vertAlign w:val="superscript"/>
        </w:rPr>
        <w:t>®</w:t>
      </w:r>
      <w:r>
        <w:rPr>
          <w:rFonts w:ascii="Arial" w:cs="Arial" w:eastAsia="Arial" w:hAnsi="Arial"/>
          <w:sz w:val="18"/>
          <w:szCs w:val="18"/>
          <w:color w:val="auto"/>
        </w:rPr>
        <w:t>-winning series</w:t>
      </w:r>
      <w:r>
        <w:rPr>
          <w:rFonts w:ascii="Arial" w:cs="Arial" w:eastAsia="Arial" w:hAnsi="Arial"/>
          <w:sz w:val="18"/>
          <w:szCs w:val="18"/>
          <w:i w:val="1"/>
          <w:iCs w:val="1"/>
          <w:color w:val="auto"/>
        </w:rPr>
        <w:t xml:space="preserve"> Frozen Planet.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1"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As of December 31, 2022, IFC reached approximately 60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jc w:val="both"/>
        <w:ind w:left="486" w:hanging="486"/>
        <w:spacing w:after="0" w:line="259"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IFC is the home of offbeat, unexpected comedies. The network’s 2022 slate included the Emmy-nominated </w:t>
      </w:r>
      <w:r>
        <w:rPr>
          <w:rFonts w:ascii="Arial" w:cs="Arial" w:eastAsia="Arial" w:hAnsi="Arial"/>
          <w:sz w:val="18"/>
          <w:szCs w:val="18"/>
          <w:i w:val="1"/>
          <w:iCs w:val="1"/>
          <w:color w:val="auto"/>
        </w:rPr>
        <w:t>Documentary Now!</w:t>
      </w:r>
      <w:r>
        <w:rPr>
          <w:rFonts w:ascii="Arial" w:cs="Arial" w:eastAsia="Arial" w:hAnsi="Arial"/>
          <w:sz w:val="18"/>
          <w:szCs w:val="18"/>
          <w:color w:val="auto"/>
        </w:rPr>
        <w:t xml:space="preserve">, created by Seth Meyers, Bill Hader and Fred Armisen and executive produced by Lorne Michaels, and the Critics' Choice Award-nominated </w:t>
      </w:r>
      <w:r>
        <w:rPr>
          <w:rFonts w:ascii="Arial" w:cs="Arial" w:eastAsia="Arial" w:hAnsi="Arial"/>
          <w:sz w:val="18"/>
          <w:szCs w:val="18"/>
          <w:i w:val="1"/>
          <w:iCs w:val="1"/>
          <w:color w:val="auto"/>
        </w:rPr>
        <w:t>Sherman’s</w:t>
      </w:r>
      <w:r>
        <w:rPr>
          <w:rFonts w:ascii="Arial" w:cs="Arial" w:eastAsia="Arial" w:hAnsi="Arial"/>
          <w:sz w:val="18"/>
          <w:szCs w:val="18"/>
          <w:color w:val="auto"/>
        </w:rPr>
        <w:t xml:space="preserve"> </w:t>
      </w:r>
      <w:r>
        <w:rPr>
          <w:rFonts w:ascii="Arial" w:cs="Arial" w:eastAsia="Arial" w:hAnsi="Arial"/>
          <w:sz w:val="18"/>
          <w:szCs w:val="18"/>
          <w:i w:val="1"/>
          <w:iCs w:val="1"/>
          <w:color w:val="auto"/>
        </w:rPr>
        <w:t>Showcase</w:t>
      </w:r>
      <w:r>
        <w:rPr>
          <w:rFonts w:ascii="Arial" w:cs="Arial" w:eastAsia="Arial" w:hAnsi="Arial"/>
          <w:sz w:val="18"/>
          <w:szCs w:val="18"/>
          <w:color w:val="auto"/>
        </w:rPr>
        <w:t>, created by and starring Bashir Salahuddin and Diallo Riddle and executive produced by John Legend’s Get Lifted Film Co. and</w:t>
      </w:r>
      <w:r>
        <w:rPr>
          <w:rFonts w:ascii="Arial" w:cs="Arial" w:eastAsia="Arial" w:hAnsi="Arial"/>
          <w:sz w:val="18"/>
          <w:szCs w:val="18"/>
          <w:i w:val="1"/>
          <w:iCs w:val="1"/>
          <w:color w:val="auto"/>
        </w:rPr>
        <w:t xml:space="preserve"> </w:t>
      </w:r>
      <w:r>
        <w:rPr>
          <w:rFonts w:ascii="Arial" w:cs="Arial" w:eastAsia="Arial" w:hAnsi="Arial"/>
          <w:sz w:val="18"/>
          <w:szCs w:val="18"/>
          <w:color w:val="auto"/>
        </w:rPr>
        <w:t>RadicalMedia.</w:t>
      </w:r>
    </w:p>
    <w:p>
      <w:pPr>
        <w:spacing w:after="0" w:line="78" w:lineRule="exact"/>
        <w:rPr>
          <w:rFonts w:ascii="Arial" w:cs="Arial" w:eastAsia="Arial" w:hAnsi="Arial"/>
          <w:sz w:val="18"/>
          <w:szCs w:val="18"/>
          <w:color w:val="auto"/>
        </w:rPr>
      </w:pPr>
    </w:p>
    <w:p>
      <w:pPr>
        <w:ind w:left="486" w:right="20" w:hanging="486"/>
        <w:spacing w:after="0" w:line="277"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IFC also continued as the broadcast home of the Independent Spirit Awards, the annual celebration of the spirited pioneers who bring a unique vision to filmmaking.</w:t>
      </w:r>
    </w:p>
    <w:p>
      <w:pPr>
        <w:spacing w:after="0" w:line="62" w:lineRule="exact"/>
        <w:rPr>
          <w:rFonts w:ascii="Arial" w:cs="Arial" w:eastAsia="Arial" w:hAnsi="Arial"/>
          <w:sz w:val="18"/>
          <w:szCs w:val="18"/>
          <w:color w:val="auto"/>
        </w:rPr>
      </w:pPr>
    </w:p>
    <w:p>
      <w:pPr>
        <w:ind w:left="486" w:right="20" w:hanging="486"/>
        <w:spacing w:after="0" w:line="277"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IFC's programming also includes films from various film distributors, including Fox, Miramax, Sony, Lionsgate, Universal, Paramount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-2239645</wp:posOffset>
            </wp:positionV>
            <wp:extent cx="88265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26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9" w:name="page10"/>
    <w:bookmarkEnd w:id="9"/>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645795</wp:posOffset>
            </wp:positionV>
            <wp:extent cx="125984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59840" cy="248285"/>
                    </a:xfrm>
                    <a:prstGeom prst="rect">
                      <a:avLst/>
                    </a:prstGeom>
                    <a:noFill/>
                  </pic:spPr>
                </pic:pic>
              </a:graphicData>
            </a:graphic>
          </wp:anchor>
        </w:drawing>
      </w:r>
    </w:p>
    <w:p>
      <w:pPr>
        <w:ind w:left="980" w:right="20" w:hanging="486"/>
        <w:spacing w:after="0" w:line="277" w:lineRule="auto"/>
        <w:tabs>
          <w:tab w:leader="none" w:pos="97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As of December 31, 2022, SundanceTV reached approximately 58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ind w:left="980" w:right="20" w:hanging="486"/>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SundanceTV has remained true to founder Robert Redford’s mission to celebrate creativity and distinctive storytelling through unique voices and narratives since its launch in 1996.</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Working with today's most innovative talent, SundanceTV attracts viewer and critical acclaim for its original scripted programming and true-crime documentaries. In 2022, the network premiered new seasons of its </w:t>
      </w:r>
      <w:r>
        <w:rPr>
          <w:rFonts w:ascii="Arial" w:cs="Arial" w:eastAsia="Arial" w:hAnsi="Arial"/>
          <w:sz w:val="18"/>
          <w:szCs w:val="18"/>
          <w:i w:val="1"/>
          <w:iCs w:val="1"/>
          <w:color w:val="auto"/>
        </w:rPr>
        <w:t>True Crime Story</w:t>
      </w:r>
      <w:r>
        <w:rPr>
          <w:rFonts w:ascii="Arial" w:cs="Arial" w:eastAsia="Arial" w:hAnsi="Arial"/>
          <w:sz w:val="18"/>
          <w:szCs w:val="18"/>
          <w:color w:val="auto"/>
        </w:rPr>
        <w:t xml:space="preserve"> franchise with </w:t>
      </w:r>
      <w:r>
        <w:rPr>
          <w:rFonts w:ascii="Arial" w:cs="Arial" w:eastAsia="Arial" w:hAnsi="Arial"/>
          <w:sz w:val="18"/>
          <w:szCs w:val="18"/>
          <w:i w:val="1"/>
          <w:iCs w:val="1"/>
          <w:color w:val="auto"/>
        </w:rPr>
        <w:t>It Couldn’t Happen Here</w:t>
      </w:r>
      <w:r>
        <w:rPr>
          <w:rFonts w:ascii="Arial" w:cs="Arial" w:eastAsia="Arial" w:hAnsi="Arial"/>
          <w:sz w:val="18"/>
          <w:szCs w:val="18"/>
          <w:color w:val="auto"/>
        </w:rPr>
        <w:t xml:space="preserve"> from Hilarie Burton Morgan and </w:t>
      </w:r>
      <w:r>
        <w:rPr>
          <w:rFonts w:ascii="Arial" w:cs="Arial" w:eastAsia="Arial" w:hAnsi="Arial"/>
          <w:sz w:val="18"/>
          <w:szCs w:val="18"/>
          <w:i w:val="1"/>
          <w:iCs w:val="1"/>
          <w:color w:val="auto"/>
        </w:rPr>
        <w:t>Indefensible</w:t>
      </w:r>
      <w:r>
        <w:rPr>
          <w:rFonts w:ascii="Arial" w:cs="Arial" w:eastAsia="Arial" w:hAnsi="Arial"/>
          <w:sz w:val="18"/>
          <w:szCs w:val="18"/>
          <w:color w:val="auto"/>
        </w:rPr>
        <w:t xml:space="preserve"> with Jena Friedman as well as the second season of the Emmy Award-winning short form anthology series </w:t>
      </w:r>
      <w:r>
        <w:rPr>
          <w:rFonts w:ascii="Arial" w:cs="Arial" w:eastAsia="Arial" w:hAnsi="Arial"/>
          <w:sz w:val="18"/>
          <w:szCs w:val="18"/>
          <w:i w:val="1"/>
          <w:iCs w:val="1"/>
          <w:color w:val="auto"/>
        </w:rPr>
        <w:t>State of the Union</w:t>
      </w:r>
      <w:r>
        <w:rPr>
          <w:rFonts w:ascii="Arial" w:cs="Arial" w:eastAsia="Arial" w:hAnsi="Arial"/>
          <w:sz w:val="18"/>
          <w:szCs w:val="18"/>
          <w:color w:val="auto"/>
        </w:rPr>
        <w:t xml:space="preserve"> starring Brendan Gleeson and Patricia Clarkson.</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Streaming Services</w:t>
      </w:r>
    </w:p>
    <w:p>
      <w:pPr>
        <w:spacing w:after="0" w:line="117"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Company’s streaming portfolio of branded subscription services serve a targeted, passionate fanbase with content depth, curation and community. The content on these platforms is a mix of licensed and owned original programming. Our various services are distributed in several key markets internationally, including Canada, the U.K., parts of Europe, Korea, India, Australia, New Zealand and Latin America.</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streaming services ended 2022 with approximately 11.8 million aggregate paid streaming subscribers</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streaming portfolio includes the following targeted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83185</wp:posOffset>
            </wp:positionV>
            <wp:extent cx="711200"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00" w:hanging="325"/>
        <w:spacing w:after="0" w:line="279" w:lineRule="auto"/>
        <w:tabs>
          <w:tab w:leader="none" w:pos="89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Launched in 2020, AMC+ is the Company’s premium streaming bundle featuring an extensive lineup of popular and critically acclaimed programming from AMC, BBC America, IFC, and SundanceTV along with full access to targeted streaming services Shudder, Sundance Now and IFC Films Unlimited. Its library of commercial free content includes fan favorites </w:t>
      </w:r>
      <w:r>
        <w:rPr>
          <w:rFonts w:ascii="Arial" w:cs="Arial" w:eastAsia="Arial" w:hAnsi="Arial"/>
          <w:sz w:val="17"/>
          <w:szCs w:val="17"/>
          <w:i w:val="1"/>
          <w:iCs w:val="1"/>
          <w:color w:val="auto"/>
        </w:rPr>
        <w:t>Mad Men, Halt &amp; Catch Fire, Hell on Wheels, Turn: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Washington’s Spies, Rectify, Portlandia, </w:t>
      </w:r>
      <w:r>
        <w:rPr>
          <w:rFonts w:ascii="Arial" w:cs="Arial" w:eastAsia="Arial" w:hAnsi="Arial"/>
          <w:sz w:val="17"/>
          <w:szCs w:val="17"/>
          <w:color w:val="auto"/>
        </w:rPr>
        <w:t>and series from</w:t>
      </w:r>
      <w:r>
        <w:rPr>
          <w:rFonts w:ascii="Arial" w:cs="Arial" w:eastAsia="Arial" w:hAnsi="Arial"/>
          <w:sz w:val="17"/>
          <w:szCs w:val="17"/>
          <w:i w:val="1"/>
          <w:iCs w:val="1"/>
          <w:color w:val="auto"/>
        </w:rPr>
        <w:t xml:space="preserve"> The Walking Dead Universe</w:t>
      </w:r>
      <w:r>
        <w:rPr>
          <w:rFonts w:ascii="Arial" w:cs="Arial" w:eastAsia="Arial" w:hAnsi="Arial"/>
          <w:sz w:val="17"/>
          <w:szCs w:val="17"/>
          <w:color w:val="auto"/>
        </w:rPr>
        <w:t>, among many others.</w:t>
      </w:r>
    </w:p>
    <w:p>
      <w:pPr>
        <w:spacing w:after="0" w:line="63" w:lineRule="exact"/>
        <w:rPr>
          <w:rFonts w:ascii="Arial" w:cs="Arial" w:eastAsia="Arial" w:hAnsi="Arial"/>
          <w:sz w:val="17"/>
          <w:szCs w:val="17"/>
          <w:color w:val="auto"/>
        </w:rPr>
      </w:pPr>
    </w:p>
    <w:p>
      <w:pPr>
        <w:jc w:val="both"/>
        <w:ind w:left="900" w:hanging="325"/>
        <w:spacing w:after="0" w:line="275" w:lineRule="auto"/>
        <w:tabs>
          <w:tab w:leader="none" w:pos="89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2022, AMC+ featured the epic conclusions of three iconic series: the Peabody Award-winning </w:t>
      </w:r>
      <w:r>
        <w:rPr>
          <w:rFonts w:ascii="Arial" w:cs="Arial" w:eastAsia="Arial" w:hAnsi="Arial"/>
          <w:sz w:val="17"/>
          <w:szCs w:val="17"/>
          <w:i w:val="1"/>
          <w:iCs w:val="1"/>
          <w:color w:val="auto"/>
        </w:rPr>
        <w:t>Killing Eve</w:t>
      </w:r>
      <w:r>
        <w:rPr>
          <w:rFonts w:ascii="Arial" w:cs="Arial" w:eastAsia="Arial" w:hAnsi="Arial"/>
          <w:sz w:val="17"/>
          <w:szCs w:val="17"/>
          <w:color w:val="auto"/>
        </w:rPr>
        <w:t xml:space="preserve"> starring Golden Globe® and SAG® Award-winner Sandra Oh and Emmy® Award-winner Jodie Comer; </w:t>
      </w:r>
      <w:r>
        <w:rPr>
          <w:rFonts w:ascii="Arial" w:cs="Arial" w:eastAsia="Arial" w:hAnsi="Arial"/>
          <w:sz w:val="17"/>
          <w:szCs w:val="17"/>
          <w:i w:val="1"/>
          <w:iCs w:val="1"/>
          <w:color w:val="auto"/>
        </w:rPr>
        <w:t>Better Call Saul</w:t>
      </w:r>
      <w:r>
        <w:rPr>
          <w:rFonts w:ascii="Arial" w:cs="Arial" w:eastAsia="Arial" w:hAnsi="Arial"/>
          <w:sz w:val="17"/>
          <w:szCs w:val="17"/>
          <w:color w:val="auto"/>
        </w:rPr>
        <w:t xml:space="preserve"> starring Emmy® Award nominees Bob Odenkirk, Rhea Seehorn, Giancarlo Esposito, and Jonathan Banks; and the highest-rated series in cable television history,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AMC+ also featured a slate of original and exclusive series including the second season of </w:t>
      </w:r>
      <w:r>
        <w:rPr>
          <w:rFonts w:ascii="Arial" w:cs="Arial" w:eastAsia="Arial" w:hAnsi="Arial"/>
          <w:sz w:val="17"/>
          <w:szCs w:val="17"/>
          <w:i w:val="1"/>
          <w:iCs w:val="1"/>
          <w:color w:val="auto"/>
        </w:rPr>
        <w:t>Gangs of London</w:t>
      </w:r>
      <w:r>
        <w:rPr>
          <w:rFonts w:ascii="Arial" w:cs="Arial" w:eastAsia="Arial" w:hAnsi="Arial"/>
          <w:sz w:val="17"/>
          <w:szCs w:val="17"/>
          <w:color w:val="auto"/>
        </w:rPr>
        <w:t xml:space="preserve">, the Gotham Award-winning </w:t>
      </w:r>
      <w:r>
        <w:rPr>
          <w:rFonts w:ascii="Arial" w:cs="Arial" w:eastAsia="Arial" w:hAnsi="Arial"/>
          <w:sz w:val="17"/>
          <w:szCs w:val="17"/>
          <w:i w:val="1"/>
          <w:iCs w:val="1"/>
          <w:color w:val="auto"/>
        </w:rPr>
        <w:t>This Is Going to</w:t>
      </w:r>
      <w:r>
        <w:rPr>
          <w:rFonts w:ascii="Arial" w:cs="Arial" w:eastAsia="Arial" w:hAnsi="Arial"/>
          <w:sz w:val="17"/>
          <w:szCs w:val="17"/>
          <w:color w:val="auto"/>
        </w:rPr>
        <w:t xml:space="preserve"> </w:t>
      </w:r>
      <w:r>
        <w:rPr>
          <w:rFonts w:ascii="Arial" w:cs="Arial" w:eastAsia="Arial" w:hAnsi="Arial"/>
          <w:sz w:val="17"/>
          <w:szCs w:val="17"/>
          <w:i w:val="1"/>
          <w:iCs w:val="1"/>
          <w:color w:val="auto"/>
        </w:rPr>
        <w:t>Hurt</w:t>
      </w:r>
      <w:r>
        <w:rPr>
          <w:rFonts w:ascii="Arial" w:cs="Arial" w:eastAsia="Arial" w:hAnsi="Arial"/>
          <w:sz w:val="17"/>
          <w:szCs w:val="17"/>
          <w:color w:val="auto"/>
        </w:rPr>
        <w:t>, the third and final season of</w:t>
      </w:r>
      <w:r>
        <w:rPr>
          <w:rFonts w:ascii="Arial" w:cs="Arial" w:eastAsia="Arial" w:hAnsi="Arial"/>
          <w:sz w:val="17"/>
          <w:szCs w:val="17"/>
          <w:i w:val="1"/>
          <w:iCs w:val="1"/>
          <w:color w:val="auto"/>
        </w:rPr>
        <w:t xml:space="preserve"> A Discovery of Witches</w:t>
      </w:r>
      <w:r>
        <w:rPr>
          <w:rFonts w:ascii="Arial" w:cs="Arial" w:eastAsia="Arial" w:hAnsi="Arial"/>
          <w:sz w:val="17"/>
          <w:szCs w:val="17"/>
          <w:color w:val="auto"/>
        </w:rPr>
        <w:t>, and</w:t>
      </w:r>
      <w:r>
        <w:rPr>
          <w:rFonts w:ascii="Arial" w:cs="Arial" w:eastAsia="Arial" w:hAnsi="Arial"/>
          <w:sz w:val="17"/>
          <w:szCs w:val="17"/>
          <w:i w:val="1"/>
          <w:iCs w:val="1"/>
          <w:color w:val="auto"/>
        </w:rPr>
        <w:t xml:space="preserve"> That Dirty Black Bag.</w:t>
      </w:r>
    </w:p>
    <w:p>
      <w:pPr>
        <w:spacing w:after="0" w:line="68" w:lineRule="exact"/>
        <w:rPr>
          <w:rFonts w:ascii="Arial" w:cs="Arial" w:eastAsia="Arial" w:hAnsi="Arial"/>
          <w:sz w:val="17"/>
          <w:szCs w:val="17"/>
          <w:color w:val="auto"/>
        </w:rPr>
      </w:pPr>
    </w:p>
    <w:p>
      <w:pPr>
        <w:jc w:val="both"/>
        <w:ind w:left="900" w:hanging="325"/>
        <w:spacing w:after="0" w:line="263"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2022 AMC+ also became the exclusive streaming home of the Company’s full slate of films from IFC Films, IFC Midnight and RLJE Films following theatrical and digital distribution, with new films released every Friday including </w:t>
      </w:r>
      <w:r>
        <w:rPr>
          <w:rFonts w:ascii="Arial" w:cs="Arial" w:eastAsia="Arial" w:hAnsi="Arial"/>
          <w:sz w:val="18"/>
          <w:szCs w:val="18"/>
          <w:i w:val="1"/>
          <w:iCs w:val="1"/>
          <w:color w:val="auto"/>
        </w:rPr>
        <w:t>Christmas With the Campbells</w:t>
      </w:r>
      <w:r>
        <w:rPr>
          <w:rFonts w:ascii="Arial" w:cs="Arial" w:eastAsia="Arial" w:hAnsi="Arial"/>
          <w:sz w:val="18"/>
          <w:szCs w:val="18"/>
          <w:color w:val="auto"/>
        </w:rPr>
        <w:t>, which was the top acquisition driver of any film on AMC+ in 2022.</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895" w:val="left"/>
        </w:tabs>
        <w:numPr>
          <w:ilvl w:val="0"/>
          <w:numId w:val="9"/>
        </w:numPr>
        <w:rPr>
          <w:rFonts w:ascii="Arial" w:cs="Arial" w:eastAsia="Arial" w:hAnsi="Arial"/>
          <w:sz w:val="17"/>
          <w:szCs w:val="17"/>
          <w:color w:val="auto"/>
        </w:rPr>
      </w:pPr>
      <w:r>
        <w:rPr>
          <w:rFonts w:ascii="Arial" w:cs="Arial" w:eastAsia="Arial" w:hAnsi="Arial"/>
          <w:sz w:val="17"/>
          <w:szCs w:val="17"/>
          <w:color w:val="auto"/>
        </w:rPr>
        <w:t>AMC+ is available to subscribers commercial free through our direct to consumer (“DTC”) app, as well as through MVPDs and virtual MVPDs, and digital streaming platforms such as Amazon Prime Video Channels, Apple TV Channels and The Roku Channel.</w:t>
      </w:r>
    </w:p>
    <w:p>
      <w:pPr>
        <w:spacing w:after="0" w:line="38"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AMC+ is currently available in several international markets including Canada, Spain, South Korea, India,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1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34" w:lineRule="exact"/>
        <w:rPr>
          <w:sz w:val="20"/>
          <w:szCs w:val="20"/>
          <w:color w:val="auto"/>
        </w:rPr>
      </w:pPr>
    </w:p>
    <w:p>
      <w:pPr>
        <w:ind w:right="100" w:firstLine="8"/>
        <w:spacing w:after="0" w:line="201" w:lineRule="auto"/>
        <w:tabs>
          <w:tab w:leader="none" w:pos="103"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A paid subscription is defined as a subscription to a direct-to-consumer service or a subscription received through distributor arrangements, in which we receive a fee for the distribution of our streaming services, and includes an estimate of subscribers that converted to paying status in the subsequent period based on historical conversion percentages.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783590</wp:posOffset>
            </wp:positionV>
            <wp:extent cx="12858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ind w:left="325" w:hanging="325"/>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201F1E"/>
        </w:rPr>
        <w:t>Acorn TV is North America’s largest streaming service specializing in British and international television with exclusive new programs and a deep library of mysteries, dramas and comedies.</w:t>
      </w:r>
    </w:p>
    <w:p>
      <w:pPr>
        <w:spacing w:after="0" w:line="62" w:lineRule="exact"/>
        <w:rPr>
          <w:rFonts w:ascii="Arial" w:cs="Arial" w:eastAsia="Arial" w:hAnsi="Arial"/>
          <w:sz w:val="18"/>
          <w:szCs w:val="18"/>
          <w:color w:val="auto"/>
        </w:rPr>
      </w:pPr>
    </w:p>
    <w:p>
      <w:pPr>
        <w:jc w:val="both"/>
        <w:ind w:left="325" w:hanging="325"/>
        <w:spacing w:after="0" w:line="25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201F1E"/>
        </w:rPr>
        <w:t xml:space="preserve">In 2022, the service premiered hit series </w:t>
      </w:r>
      <w:r>
        <w:rPr>
          <w:rFonts w:ascii="Arial" w:cs="Arial" w:eastAsia="Arial" w:hAnsi="Arial"/>
          <w:sz w:val="18"/>
          <w:szCs w:val="18"/>
          <w:i w:val="1"/>
          <w:iCs w:val="1"/>
          <w:color w:val="201F1E"/>
        </w:rPr>
        <w:t>Harry Wild</w:t>
      </w:r>
      <w:r>
        <w:rPr>
          <w:rFonts w:ascii="Arial" w:cs="Arial" w:eastAsia="Arial" w:hAnsi="Arial"/>
          <w:sz w:val="18"/>
          <w:szCs w:val="18"/>
          <w:color w:val="201F1E"/>
        </w:rPr>
        <w:t xml:space="preserve">, starring and executive produced by Jane Seymour, the most watched new series and most watched single season of any series on Acorn TV. Additional recent commissioned and original series include popular New Zealand detective series </w:t>
      </w:r>
      <w:r>
        <w:rPr>
          <w:rFonts w:ascii="Arial" w:cs="Arial" w:eastAsia="Arial" w:hAnsi="Arial"/>
          <w:sz w:val="18"/>
          <w:szCs w:val="18"/>
          <w:i w:val="1"/>
          <w:iCs w:val="1"/>
          <w:color w:val="201F1E"/>
        </w:rPr>
        <w:t>My Life Is Murder</w:t>
      </w:r>
      <w:r>
        <w:rPr>
          <w:rFonts w:ascii="Arial" w:cs="Arial" w:eastAsia="Arial" w:hAnsi="Arial"/>
          <w:sz w:val="18"/>
          <w:szCs w:val="18"/>
          <w:color w:val="201F1E"/>
        </w:rPr>
        <w:t xml:space="preserve"> starring Lucy Lawless, acclaimed Irish crime thriller </w:t>
      </w:r>
      <w:r>
        <w:rPr>
          <w:rFonts w:ascii="Arial" w:cs="Arial" w:eastAsia="Arial" w:hAnsi="Arial"/>
          <w:sz w:val="18"/>
          <w:szCs w:val="18"/>
          <w:i w:val="1"/>
          <w:iCs w:val="1"/>
          <w:color w:val="201F1E"/>
        </w:rPr>
        <w:t>Bloodlands</w:t>
      </w:r>
      <w:r>
        <w:rPr>
          <w:rFonts w:ascii="Arial" w:cs="Arial" w:eastAsia="Arial" w:hAnsi="Arial"/>
          <w:sz w:val="18"/>
          <w:szCs w:val="18"/>
          <w:color w:val="201F1E"/>
        </w:rPr>
        <w:t xml:space="preserve"> starring James Nesbitt, British crime drama </w:t>
      </w:r>
      <w:r>
        <w:rPr>
          <w:rFonts w:ascii="Arial" w:cs="Arial" w:eastAsia="Arial" w:hAnsi="Arial"/>
          <w:sz w:val="18"/>
          <w:szCs w:val="18"/>
          <w:i w:val="1"/>
          <w:iCs w:val="1"/>
          <w:color w:val="201F1E"/>
        </w:rPr>
        <w:t>Whitstable Pearl</w:t>
      </w:r>
      <w:r>
        <w:rPr>
          <w:rFonts w:ascii="Arial" w:cs="Arial" w:eastAsia="Arial" w:hAnsi="Arial"/>
          <w:sz w:val="18"/>
          <w:szCs w:val="18"/>
          <w:color w:val="201F1E"/>
        </w:rPr>
        <w:t>, Emmy® Award nominated</w:t>
      </w:r>
      <w:r>
        <w:rPr>
          <w:rFonts w:ascii="Arial" w:cs="Arial" w:eastAsia="Arial" w:hAnsi="Arial"/>
          <w:sz w:val="18"/>
          <w:szCs w:val="18"/>
          <w:i w:val="1"/>
          <w:iCs w:val="1"/>
          <w:color w:val="201F1E"/>
        </w:rPr>
        <w:t xml:space="preserve"> Queens of Mystery</w:t>
      </w:r>
      <w:r>
        <w:rPr>
          <w:rFonts w:ascii="Arial" w:cs="Arial" w:eastAsia="Arial" w:hAnsi="Arial"/>
          <w:sz w:val="18"/>
          <w:szCs w:val="18"/>
          <w:color w:val="201F1E"/>
        </w:rPr>
        <w:t>, Kiwi romantic comedy</w:t>
      </w:r>
      <w:r>
        <w:rPr>
          <w:rFonts w:ascii="Arial" w:cs="Arial" w:eastAsia="Arial" w:hAnsi="Arial"/>
          <w:sz w:val="18"/>
          <w:szCs w:val="18"/>
          <w:i w:val="1"/>
          <w:iCs w:val="1"/>
          <w:color w:val="201F1E"/>
        </w:rPr>
        <w:t xml:space="preserve"> Under the Vines</w:t>
      </w:r>
      <w:r>
        <w:rPr>
          <w:rFonts w:ascii="Arial" w:cs="Arial" w:eastAsia="Arial" w:hAnsi="Arial"/>
          <w:sz w:val="18"/>
          <w:szCs w:val="18"/>
          <w:color w:val="201F1E"/>
        </w:rPr>
        <w:t>, and British detective drama</w:t>
      </w:r>
      <w:r>
        <w:rPr>
          <w:rFonts w:ascii="Arial" w:cs="Arial" w:eastAsia="Arial" w:hAnsi="Arial"/>
          <w:sz w:val="18"/>
          <w:szCs w:val="18"/>
          <w:i w:val="1"/>
          <w:iCs w:val="1"/>
          <w:color w:val="201F1E"/>
        </w:rPr>
        <w:t xml:space="preserve"> Dalgliesh</w:t>
      </w:r>
      <w:r>
        <w:rPr>
          <w:rFonts w:ascii="Arial" w:cs="Arial" w:eastAsia="Arial" w:hAnsi="Arial"/>
          <w:sz w:val="18"/>
          <w:szCs w:val="18"/>
          <w:color w:val="201F1E"/>
        </w:rPr>
        <w:t>.</w:t>
      </w:r>
    </w:p>
    <w:p>
      <w:pPr>
        <w:spacing w:after="0" w:line="79" w:lineRule="exact"/>
        <w:rPr>
          <w:rFonts w:ascii="Arial" w:cs="Arial" w:eastAsia="Arial" w:hAnsi="Arial"/>
          <w:sz w:val="18"/>
          <w:szCs w:val="18"/>
          <w:color w:val="auto"/>
        </w:rPr>
      </w:pPr>
    </w:p>
    <w:p>
      <w:pPr>
        <w:ind w:left="325" w:hanging="325"/>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201F1E"/>
        </w:rPr>
        <w:t xml:space="preserve">These are in addition to a growing catalog of bingeable and fan-favorite dramas including </w:t>
      </w:r>
      <w:r>
        <w:rPr>
          <w:rFonts w:ascii="Arial" w:cs="Arial" w:eastAsia="Arial" w:hAnsi="Arial"/>
          <w:sz w:val="18"/>
          <w:szCs w:val="18"/>
          <w:i w:val="1"/>
          <w:iCs w:val="1"/>
          <w:color w:val="201F1E"/>
        </w:rPr>
        <w:t>Agatha Raisin, A Place to Call Home, Jack Irish,</w:t>
      </w:r>
      <w:r>
        <w:rPr>
          <w:rFonts w:ascii="Arial" w:cs="Arial" w:eastAsia="Arial" w:hAnsi="Arial"/>
          <w:sz w:val="18"/>
          <w:szCs w:val="18"/>
          <w:color w:val="201F1E"/>
        </w:rPr>
        <w:t xml:space="preserve"> </w:t>
      </w:r>
      <w:r>
        <w:rPr>
          <w:rFonts w:ascii="Arial" w:cs="Arial" w:eastAsia="Arial" w:hAnsi="Arial"/>
          <w:sz w:val="18"/>
          <w:szCs w:val="18"/>
          <w:i w:val="1"/>
          <w:iCs w:val="1"/>
          <w:color w:val="201F1E"/>
        </w:rPr>
        <w:t>Doc Martin, Deadwater Fel, and Midsomer Murders.</w:t>
      </w:r>
    </w:p>
    <w:p>
      <w:pPr>
        <w:spacing w:after="0" w:line="62" w:lineRule="exact"/>
        <w:rPr>
          <w:rFonts w:ascii="Arial" w:cs="Arial" w:eastAsia="Arial" w:hAnsi="Arial"/>
          <w:sz w:val="18"/>
          <w:szCs w:val="18"/>
          <w:color w:val="auto"/>
        </w:rPr>
      </w:pPr>
    </w:p>
    <w:p>
      <w:pPr>
        <w:ind w:left="325" w:hanging="325"/>
        <w:spacing w:after="0"/>
        <w:tabs>
          <w:tab w:leader="none" w:pos="325" w:val="left"/>
        </w:tabs>
        <w:numPr>
          <w:ilvl w:val="0"/>
          <w:numId w:val="11"/>
        </w:numPr>
        <w:rPr>
          <w:rFonts w:ascii="Arial" w:cs="Arial" w:eastAsia="Arial" w:hAnsi="Arial"/>
          <w:sz w:val="17"/>
          <w:szCs w:val="17"/>
          <w:color w:val="auto"/>
        </w:rPr>
      </w:pPr>
      <w:r>
        <w:rPr>
          <w:rFonts w:ascii="Arial" w:cs="Arial" w:eastAsia="Arial" w:hAnsi="Arial"/>
          <w:sz w:val="17"/>
          <w:szCs w:val="17"/>
          <w:color w:val="201F1E"/>
        </w:rPr>
        <w:t>Acorn TV’s international distribution is growing, with the service available in key markets including Canada, the U.K., and across Europe.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325" w:hanging="325"/>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201F1E"/>
        </w:rPr>
        <w:t>Shudder serves subscribers with a premium selection in genre entertainment covering horror, thrillers and the supernatural and brings subscribers Hollywood favorites, cult classics and original series and critically acclaimed new genre films.</w:t>
      </w:r>
    </w:p>
    <w:p>
      <w:pPr>
        <w:spacing w:after="0" w:line="62" w:lineRule="exact"/>
        <w:rPr>
          <w:rFonts w:ascii="Arial" w:cs="Arial" w:eastAsia="Arial" w:hAnsi="Arial"/>
          <w:sz w:val="18"/>
          <w:szCs w:val="18"/>
          <w:color w:val="auto"/>
        </w:rPr>
      </w:pPr>
    </w:p>
    <w:p>
      <w:pPr>
        <w:jc w:val="both"/>
        <w:ind w:left="325" w:hanging="325"/>
        <w:spacing w:after="0" w:line="259"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2022 premieres on the service included the return of hit found footage anthology </w:t>
      </w:r>
      <w:r>
        <w:rPr>
          <w:rFonts w:ascii="Arial" w:cs="Arial" w:eastAsia="Arial" w:hAnsi="Arial"/>
          <w:sz w:val="18"/>
          <w:szCs w:val="18"/>
          <w:i w:val="1"/>
          <w:iCs w:val="1"/>
          <w:color w:val="auto"/>
        </w:rPr>
        <w:t>V/H/S</w:t>
      </w:r>
      <w:r>
        <w:rPr>
          <w:rFonts w:ascii="Arial" w:cs="Arial" w:eastAsia="Arial" w:hAnsi="Arial"/>
          <w:sz w:val="18"/>
          <w:szCs w:val="18"/>
          <w:color w:val="auto"/>
        </w:rPr>
        <w:t xml:space="preserve"> with all-new installment </w:t>
      </w:r>
      <w:r>
        <w:rPr>
          <w:rFonts w:ascii="Arial" w:cs="Arial" w:eastAsia="Arial" w:hAnsi="Arial"/>
          <w:sz w:val="18"/>
          <w:szCs w:val="18"/>
          <w:i w:val="1"/>
          <w:iCs w:val="1"/>
          <w:color w:val="auto"/>
        </w:rPr>
        <w:t>V/H/S/99,</w:t>
      </w:r>
      <w:r>
        <w:rPr>
          <w:rFonts w:ascii="Arial" w:cs="Arial" w:eastAsia="Arial" w:hAnsi="Arial"/>
          <w:sz w:val="18"/>
          <w:szCs w:val="18"/>
          <w:color w:val="auto"/>
        </w:rPr>
        <w:t xml:space="preserve"> the animated film </w:t>
      </w:r>
      <w:r>
        <w:rPr>
          <w:rFonts w:ascii="Arial" w:cs="Arial" w:eastAsia="Arial" w:hAnsi="Arial"/>
          <w:sz w:val="18"/>
          <w:szCs w:val="18"/>
          <w:i w:val="1"/>
          <w:iCs w:val="1"/>
          <w:color w:val="auto"/>
        </w:rPr>
        <w:t xml:space="preserve">Mad God </w:t>
      </w:r>
      <w:r>
        <w:rPr>
          <w:rFonts w:ascii="Arial" w:cs="Arial" w:eastAsia="Arial" w:hAnsi="Arial"/>
          <w:sz w:val="18"/>
          <w:szCs w:val="18"/>
          <w:color w:val="auto"/>
        </w:rPr>
        <w:t>from Oscar-winner Phil Tippett, the award-winning documentary</w:t>
      </w:r>
      <w:r>
        <w:rPr>
          <w:rFonts w:ascii="Arial" w:cs="Arial" w:eastAsia="Arial" w:hAnsi="Arial"/>
          <w:sz w:val="18"/>
          <w:szCs w:val="18"/>
          <w:i w:val="1"/>
          <w:iCs w:val="1"/>
          <w:color w:val="auto"/>
        </w:rPr>
        <w:t xml:space="preserve"> This Is Gwar</w:t>
      </w:r>
      <w:r>
        <w:rPr>
          <w:rFonts w:ascii="Arial" w:cs="Arial" w:eastAsia="Arial" w:hAnsi="Arial"/>
          <w:sz w:val="18"/>
          <w:szCs w:val="18"/>
          <w:color w:val="auto"/>
        </w:rPr>
        <w:t>,</w:t>
      </w:r>
      <w:r>
        <w:rPr>
          <w:rFonts w:ascii="Arial" w:cs="Arial" w:eastAsia="Arial" w:hAnsi="Arial"/>
          <w:sz w:val="18"/>
          <w:szCs w:val="18"/>
          <w:i w:val="1"/>
          <w:iCs w:val="1"/>
          <w:color w:val="auto"/>
        </w:rPr>
        <w:t xml:space="preserve"> Queer For Fear: The History of Queer Horror,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 biggest series launch of the year, </w:t>
      </w:r>
      <w:r>
        <w:rPr>
          <w:rFonts w:ascii="Arial" w:cs="Arial" w:eastAsia="Arial" w:hAnsi="Arial"/>
          <w:sz w:val="18"/>
          <w:szCs w:val="18"/>
          <w:i w:val="1"/>
          <w:iCs w:val="1"/>
          <w:color w:val="auto"/>
        </w:rPr>
        <w:t>The 101 Scariest Movie Moments of All Time</w:t>
      </w:r>
      <w:r>
        <w:rPr>
          <w:rFonts w:ascii="Arial" w:cs="Arial" w:eastAsia="Arial" w:hAnsi="Arial"/>
          <w:sz w:val="18"/>
          <w:szCs w:val="18"/>
          <w:color w:val="auto"/>
        </w:rPr>
        <w:t xml:space="preserve">. These join returning series </w:t>
      </w:r>
      <w:r>
        <w:rPr>
          <w:rFonts w:ascii="Arial" w:cs="Arial" w:eastAsia="Arial" w:hAnsi="Arial"/>
          <w:sz w:val="18"/>
          <w:szCs w:val="18"/>
          <w:i w:val="1"/>
          <w:iCs w:val="1"/>
          <w:color w:val="auto"/>
        </w:rPr>
        <w:t>Creepshow</w:t>
      </w:r>
      <w:r>
        <w:rPr>
          <w:rFonts w:ascii="Arial" w:cs="Arial" w:eastAsia="Arial" w:hAnsi="Arial"/>
          <w:sz w:val="18"/>
          <w:szCs w:val="18"/>
          <w:color w:val="auto"/>
        </w:rPr>
        <w:t xml:space="preserve">, </w:t>
      </w:r>
      <w:r>
        <w:rPr>
          <w:rFonts w:ascii="Arial" w:cs="Arial" w:eastAsia="Arial" w:hAnsi="Arial"/>
          <w:sz w:val="18"/>
          <w:szCs w:val="18"/>
          <w:i w:val="1"/>
          <w:iCs w:val="1"/>
          <w:color w:val="auto"/>
        </w:rPr>
        <w:t>The Boulet Brothers’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Dragula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Last Drive-In with Joe Bob Briggs.</w:t>
      </w:r>
    </w:p>
    <w:p>
      <w:pPr>
        <w:spacing w:after="0" w:line="78" w:lineRule="exact"/>
        <w:rPr>
          <w:rFonts w:ascii="Arial" w:cs="Arial" w:eastAsia="Arial" w:hAnsi="Arial"/>
          <w:sz w:val="18"/>
          <w:szCs w:val="18"/>
          <w:color w:val="auto"/>
        </w:rPr>
      </w:pPr>
    </w:p>
    <w:p>
      <w:pPr>
        <w:ind w:left="305" w:hanging="305"/>
        <w:spacing w:after="0"/>
        <w:tabs>
          <w:tab w:leader="none" w:pos="305" w:val="left"/>
        </w:tabs>
        <w:numPr>
          <w:ilvl w:val="0"/>
          <w:numId w:val="11"/>
        </w:numPr>
        <w:rPr>
          <w:rFonts w:ascii="Arial" w:cs="Arial" w:eastAsia="Arial" w:hAnsi="Arial"/>
          <w:sz w:val="18"/>
          <w:szCs w:val="18"/>
          <w:color w:val="auto"/>
        </w:rPr>
      </w:pPr>
      <w:r>
        <w:rPr>
          <w:rFonts w:ascii="Arial" w:cs="Arial" w:eastAsia="Arial" w:hAnsi="Arial"/>
          <w:sz w:val="16"/>
          <w:szCs w:val="16"/>
          <w:color w:val="auto"/>
        </w:rPr>
        <w:t>Shudder is currently available in several international markets including Canada, the United Kingdom, Ireland, Australia and New Zealand.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jc w:val="both"/>
        <w:ind w:left="325" w:hanging="325"/>
        <w:spacing w:after="0" w:line="279"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Sundance Now offers cross-genre escapism for viewers seeking fresh perspectives, thought-provoking experiences and transportive journeys to far-off places. In 2022, the service housed critically-acclaimed and award-winning original and streaming exclusive series including supernatural thriller </w:t>
      </w:r>
      <w:r>
        <w:rPr>
          <w:rFonts w:ascii="Arial" w:cs="Arial" w:eastAsia="Arial" w:hAnsi="Arial"/>
          <w:sz w:val="17"/>
          <w:szCs w:val="17"/>
          <w:i w:val="1"/>
          <w:iCs w:val="1"/>
          <w:color w:val="auto"/>
        </w:rPr>
        <w:t>A Discovery of Witches</w:t>
      </w:r>
      <w:r>
        <w:rPr>
          <w:rFonts w:ascii="Arial" w:cs="Arial" w:eastAsia="Arial" w:hAnsi="Arial"/>
          <w:sz w:val="17"/>
          <w:szCs w:val="17"/>
          <w:color w:val="auto"/>
        </w:rPr>
        <w:t xml:space="preserve">, the U.K. adaptation of the French hit </w:t>
      </w:r>
      <w:r>
        <w:rPr>
          <w:rFonts w:ascii="Arial" w:cs="Arial" w:eastAsia="Arial" w:hAnsi="Arial"/>
          <w:sz w:val="17"/>
          <w:szCs w:val="17"/>
          <w:i w:val="1"/>
          <w:iCs w:val="1"/>
          <w:color w:val="auto"/>
        </w:rPr>
        <w:t>Call My Agent!, Ten Percent</w:t>
      </w:r>
      <w:r>
        <w:rPr>
          <w:rFonts w:ascii="Arial" w:cs="Arial" w:eastAsia="Arial" w:hAnsi="Arial"/>
          <w:sz w:val="17"/>
          <w:szCs w:val="17"/>
          <w:color w:val="auto"/>
        </w:rPr>
        <w:t xml:space="preserve">, the multi- Emmy® winner </w:t>
      </w:r>
      <w:r>
        <w:rPr>
          <w:rFonts w:ascii="Arial" w:cs="Arial" w:eastAsia="Arial" w:hAnsi="Arial"/>
          <w:sz w:val="17"/>
          <w:szCs w:val="17"/>
          <w:i w:val="1"/>
          <w:iCs w:val="1"/>
          <w:color w:val="auto"/>
        </w:rPr>
        <w:t>State of the Union</w:t>
      </w:r>
      <w:r>
        <w:rPr>
          <w:rFonts w:ascii="Arial" w:cs="Arial" w:eastAsia="Arial" w:hAnsi="Arial"/>
          <w:sz w:val="17"/>
          <w:szCs w:val="17"/>
          <w:color w:val="auto"/>
        </w:rPr>
        <w:t>, crime thriller</w:t>
      </w:r>
      <w:r>
        <w:rPr>
          <w:rFonts w:ascii="Arial" w:cs="Arial" w:eastAsia="Arial" w:hAnsi="Arial"/>
          <w:sz w:val="17"/>
          <w:szCs w:val="17"/>
          <w:i w:val="1"/>
          <w:iCs w:val="1"/>
          <w:color w:val="auto"/>
        </w:rPr>
        <w:t xml:space="preserve"> The Suspect</w:t>
      </w:r>
      <w:r>
        <w:rPr>
          <w:rFonts w:ascii="Arial" w:cs="Arial" w:eastAsia="Arial" w:hAnsi="Arial"/>
          <w:sz w:val="17"/>
          <w:szCs w:val="17"/>
          <w:color w:val="auto"/>
        </w:rPr>
        <w:t>, and four-part drama</w:t>
      </w:r>
      <w:r>
        <w:rPr>
          <w:rFonts w:ascii="Arial" w:cs="Arial" w:eastAsia="Arial" w:hAnsi="Arial"/>
          <w:sz w:val="17"/>
          <w:szCs w:val="17"/>
          <w:i w:val="1"/>
          <w:iCs w:val="1"/>
          <w:color w:val="auto"/>
        </w:rPr>
        <w:t xml:space="preserve"> Litvinenko, </w:t>
      </w:r>
      <w:r>
        <w:rPr>
          <w:rFonts w:ascii="Arial" w:cs="Arial" w:eastAsia="Arial" w:hAnsi="Arial"/>
          <w:sz w:val="17"/>
          <w:szCs w:val="17"/>
          <w:color w:val="auto"/>
        </w:rPr>
        <w:t>among many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-2539365</wp:posOffset>
            </wp:positionV>
            <wp:extent cx="128587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20574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-979170</wp:posOffset>
            </wp:positionV>
            <wp:extent cx="171450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28257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271780</wp:posOffset>
            </wp:positionV>
            <wp:extent cx="1311275" cy="651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2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5" w:hanging="325"/>
        <w:spacing w:after="0"/>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ALLBLK is focused on Black content from Black storytellers</w:t>
      </w:r>
    </w:p>
    <w:p>
      <w:pPr>
        <w:spacing w:after="0" w:line="117" w:lineRule="exact"/>
        <w:rPr>
          <w:rFonts w:ascii="Arial" w:cs="Arial" w:eastAsia="Arial" w:hAnsi="Arial"/>
          <w:sz w:val="18"/>
          <w:szCs w:val="18"/>
          <w:color w:val="auto"/>
        </w:rPr>
      </w:pPr>
    </w:p>
    <w:p>
      <w:pPr>
        <w:jc w:val="both"/>
        <w:ind w:left="325" w:hanging="325"/>
        <w:spacing w:after="0" w:line="25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ALLBLK is an invitation to a world of streaming entertainment that is inclusively, but unapologetically – Black. Featuring a diverse lineup of content that spans across genres and generations, in 2022 ALLBLK premiered several new series including provocative drama series </w:t>
      </w:r>
      <w:r>
        <w:rPr>
          <w:rFonts w:ascii="Arial" w:cs="Arial" w:eastAsia="Arial" w:hAnsi="Arial"/>
          <w:sz w:val="18"/>
          <w:szCs w:val="18"/>
          <w:i w:val="1"/>
          <w:iCs w:val="1"/>
          <w:color w:val="auto"/>
        </w:rPr>
        <w:t>Hush</w:t>
      </w:r>
      <w:r>
        <w:rPr>
          <w:rFonts w:ascii="Arial" w:cs="Arial" w:eastAsia="Arial" w:hAnsi="Arial"/>
          <w:sz w:val="18"/>
          <w:szCs w:val="18"/>
          <w:color w:val="auto"/>
        </w:rPr>
        <w:t xml:space="preserve">, psychological thriller limited series </w:t>
      </w:r>
      <w:r>
        <w:rPr>
          <w:rFonts w:ascii="Arial" w:cs="Arial" w:eastAsia="Arial" w:hAnsi="Arial"/>
          <w:sz w:val="18"/>
          <w:szCs w:val="18"/>
          <w:i w:val="1"/>
          <w:iCs w:val="1"/>
          <w:color w:val="auto"/>
        </w:rPr>
        <w:t>Snap</w:t>
      </w:r>
      <w:r>
        <w:rPr>
          <w:rFonts w:ascii="Arial" w:cs="Arial" w:eastAsia="Arial" w:hAnsi="Arial"/>
          <w:sz w:val="18"/>
          <w:szCs w:val="18"/>
          <w:color w:val="auto"/>
        </w:rPr>
        <w:t xml:space="preserve"> created by Grammy-nominated artist Eric Benét, supernatural drama </w:t>
      </w:r>
      <w:r>
        <w:rPr>
          <w:rFonts w:ascii="Arial" w:cs="Arial" w:eastAsia="Arial" w:hAnsi="Arial"/>
          <w:sz w:val="18"/>
          <w:szCs w:val="18"/>
          <w:i w:val="1"/>
          <w:iCs w:val="1"/>
          <w:color w:val="auto"/>
        </w:rPr>
        <w:t>Wicked City</w:t>
      </w:r>
      <w:r>
        <w:rPr>
          <w:rFonts w:ascii="Arial" w:cs="Arial" w:eastAsia="Arial" w:hAnsi="Arial"/>
          <w:sz w:val="18"/>
          <w:szCs w:val="18"/>
          <w:color w:val="auto"/>
        </w:rPr>
        <w:t xml:space="preserve">, dramedy </w:t>
      </w:r>
      <w:r>
        <w:rPr>
          <w:rFonts w:ascii="Arial" w:cs="Arial" w:eastAsia="Arial" w:hAnsi="Arial"/>
          <w:sz w:val="18"/>
          <w:szCs w:val="18"/>
          <w:i w:val="1"/>
          <w:iCs w:val="1"/>
          <w:color w:val="auto"/>
        </w:rPr>
        <w:t>Send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Help </w:t>
      </w:r>
      <w:r>
        <w:rPr>
          <w:rFonts w:ascii="Arial" w:cs="Arial" w:eastAsia="Arial" w:hAnsi="Arial"/>
          <w:sz w:val="18"/>
          <w:szCs w:val="18"/>
          <w:color w:val="auto"/>
        </w:rPr>
        <w:t>from</w:t>
      </w:r>
      <w:r>
        <w:rPr>
          <w:rFonts w:ascii="Arial" w:cs="Arial" w:eastAsia="Arial" w:hAnsi="Arial"/>
          <w:sz w:val="18"/>
          <w:szCs w:val="18"/>
          <w:i w:val="1"/>
          <w:iCs w:val="1"/>
          <w:color w:val="auto"/>
        </w:rPr>
        <w:t xml:space="preserve"> Insecure </w:t>
      </w:r>
      <w:r>
        <w:rPr>
          <w:rFonts w:ascii="Arial" w:cs="Arial" w:eastAsia="Arial" w:hAnsi="Arial"/>
          <w:sz w:val="18"/>
          <w:szCs w:val="18"/>
          <w:color w:val="auto"/>
        </w:rPr>
        <w:t>alums Jean Elie and Mike Gauyo, and dramedy</w:t>
      </w:r>
      <w:r>
        <w:rPr>
          <w:rFonts w:ascii="Arial" w:cs="Arial" w:eastAsia="Arial" w:hAnsi="Arial"/>
          <w:sz w:val="18"/>
          <w:szCs w:val="18"/>
          <w:i w:val="1"/>
          <w:iCs w:val="1"/>
          <w:color w:val="auto"/>
        </w:rPr>
        <w:t xml:space="preserve"> À La Carte. </w:t>
      </w:r>
      <w:r>
        <w:rPr>
          <w:rFonts w:ascii="Arial" w:cs="Arial" w:eastAsia="Arial" w:hAnsi="Arial"/>
          <w:sz w:val="18"/>
          <w:szCs w:val="18"/>
          <w:color w:val="auto"/>
        </w:rPr>
        <w:t>The service’s lineup also includes original series</w:t>
      </w:r>
      <w:r>
        <w:rPr>
          <w:rFonts w:ascii="Arial" w:cs="Arial" w:eastAsia="Arial" w:hAnsi="Arial"/>
          <w:sz w:val="18"/>
          <w:szCs w:val="18"/>
          <w:i w:val="1"/>
          <w:iCs w:val="1"/>
          <w:color w:val="auto"/>
        </w:rPr>
        <w:t xml:space="preserve"> Craig Ross Jr.’s Monogamy, A House Divided, Double Cross</w:t>
      </w:r>
      <w:r>
        <w:rPr>
          <w:rFonts w:ascii="Arial" w:cs="Arial" w:eastAsia="Arial" w:hAnsi="Arial"/>
          <w:sz w:val="18"/>
          <w:szCs w:val="18"/>
          <w:color w:val="auto"/>
        </w:rPr>
        <w:t>,</w:t>
      </w:r>
      <w:r>
        <w:rPr>
          <w:rFonts w:ascii="Arial" w:cs="Arial" w:eastAsia="Arial" w:hAnsi="Arial"/>
          <w:sz w:val="18"/>
          <w:szCs w:val="18"/>
          <w:i w:val="1"/>
          <w:iCs w:val="1"/>
          <w:color w:val="auto"/>
        </w:rPr>
        <w:t xml:space="preserve"> Millennials,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Partners In Rhyme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440" w:right="339" w:bottom="1440" w:gutter="0" w:footer="0" w:header="0"/>
        </w:sectPr>
      </w:pPr>
    </w:p>
    <w:bookmarkStart w:id="11" w:name="page12"/>
    <w:bookmarkEnd w:id="1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646430</wp:posOffset>
            </wp:positionV>
            <wp:extent cx="1285875"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jc w:val="both"/>
        <w:ind w:left="900" w:hanging="325"/>
        <w:spacing w:after="0" w:line="255"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HIDIVE LLC (“HIDIVE”) operates an anime-focused streaming service offering a robust library of television series, movies, and original video animations. In addition to its deep and diverse catalog, HIDIVE offers first-run simulcasts of the freshest anime at or near the time that content airs in Japan. HIDIVE is available in North America as well as key overseas markets including the U.K., Ireland, Australia, New Zealand and most countries comprising Latin America. HIDIVE’s distribution reach continues to expand through new distribution partners and developing new services including its Anime X HIDIVE FAST channel. In 2022, HIDIVE became available on Amazon Prime Channels and Roku Channels.</w:t>
      </w:r>
    </w:p>
    <w:p>
      <w:pPr>
        <w:spacing w:after="0" w:line="84" w:lineRule="exact"/>
        <w:rPr>
          <w:rFonts w:ascii="Arial" w:cs="Arial" w:eastAsia="Arial" w:hAnsi="Arial"/>
          <w:sz w:val="18"/>
          <w:szCs w:val="18"/>
          <w:color w:val="auto"/>
        </w:rPr>
      </w:pPr>
    </w:p>
    <w:p>
      <w:pPr>
        <w:jc w:val="both"/>
        <w:ind w:left="900" w:hanging="325"/>
        <w:spacing w:after="0" w:line="311"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Sentai Holdings, LLC (“Sentai”) is a leading global acquirer, producer and supplier of anime content that it distributes through its affiliates including HIDIVE, Anime Network and Sentai Filmworks, as well as select commercial partners. With strong industry relationships and access to key content creators in Japan, Sentai curates one of the anime industry’s most diverse libraries of top trending and classic titles.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83185</wp:posOffset>
            </wp:positionV>
            <wp:extent cx="154305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00" w:hanging="325"/>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AMC Studios is AMC Networks’ in-house production and distribution operation which launched in 2010 with </w:t>
      </w:r>
      <w:r>
        <w:rPr>
          <w:rFonts w:ascii="Arial" w:cs="Arial" w:eastAsia="Arial" w:hAnsi="Arial"/>
          <w:sz w:val="18"/>
          <w:szCs w:val="18"/>
          <w:i w:val="1"/>
          <w:iCs w:val="1"/>
          <w:color w:val="auto"/>
        </w:rPr>
        <w:t>The Walking Dead</w:t>
      </w:r>
      <w:r>
        <w:rPr>
          <w:rFonts w:ascii="Arial" w:cs="Arial" w:eastAsia="Arial" w:hAnsi="Arial"/>
          <w:sz w:val="18"/>
          <w:szCs w:val="18"/>
          <w:color w:val="auto"/>
        </w:rPr>
        <w:t>, the highest-rated show in cable history.</w:t>
      </w:r>
    </w:p>
    <w:p>
      <w:pPr>
        <w:spacing w:after="0" w:line="62" w:lineRule="exact"/>
        <w:rPr>
          <w:rFonts w:ascii="Arial" w:cs="Arial" w:eastAsia="Arial" w:hAnsi="Arial"/>
          <w:sz w:val="18"/>
          <w:szCs w:val="18"/>
          <w:color w:val="auto"/>
        </w:rPr>
      </w:pPr>
    </w:p>
    <w:p>
      <w:pPr>
        <w:jc w:val="both"/>
        <w:ind w:left="900" w:hanging="325"/>
        <w:spacing w:after="0" w:line="259"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Since then, AMC Studios has produced several critically acclaimed, award-winning and culturally distinctive originals for AMC Networks’ suite of channels and services including </w:t>
      </w:r>
      <w:r>
        <w:rPr>
          <w:rFonts w:ascii="Arial" w:cs="Arial" w:eastAsia="Arial" w:hAnsi="Arial"/>
          <w:sz w:val="18"/>
          <w:szCs w:val="18"/>
          <w:i w:val="1"/>
          <w:iCs w:val="1"/>
          <w:color w:val="auto"/>
        </w:rPr>
        <w:t>Anne Rice’s Interview with the Vampire</w:t>
      </w:r>
      <w:r>
        <w:rPr>
          <w:rFonts w:ascii="Arial" w:cs="Arial" w:eastAsia="Arial" w:hAnsi="Arial"/>
          <w:sz w:val="18"/>
          <w:szCs w:val="18"/>
          <w:color w:val="auto"/>
        </w:rPr>
        <w:t xml:space="preserve">, </w:t>
      </w:r>
      <w:r>
        <w:rPr>
          <w:rFonts w:ascii="Arial" w:cs="Arial" w:eastAsia="Arial" w:hAnsi="Arial"/>
          <w:sz w:val="18"/>
          <w:szCs w:val="18"/>
          <w:i w:val="1"/>
          <w:iCs w:val="1"/>
          <w:color w:val="auto"/>
        </w:rPr>
        <w:t>Anne Rice’s Mayfair Witches</w:t>
      </w:r>
      <w:r>
        <w:rPr>
          <w:rFonts w:ascii="Arial" w:cs="Arial" w:eastAsia="Arial" w:hAnsi="Arial"/>
          <w:sz w:val="18"/>
          <w:szCs w:val="18"/>
          <w:color w:val="auto"/>
        </w:rPr>
        <w:t xml:space="preserve">, </w:t>
      </w:r>
      <w:r>
        <w:rPr>
          <w:rFonts w:ascii="Arial" w:cs="Arial" w:eastAsia="Arial" w:hAnsi="Arial"/>
          <w:sz w:val="18"/>
          <w:szCs w:val="18"/>
          <w:i w:val="1"/>
          <w:iCs w:val="1"/>
          <w:color w:val="auto"/>
        </w:rPr>
        <w:t>Dark Winds</w:t>
      </w:r>
      <w:r>
        <w:rPr>
          <w:rFonts w:ascii="Arial" w:cs="Arial" w:eastAsia="Arial" w:hAnsi="Arial"/>
          <w:sz w:val="18"/>
          <w:szCs w:val="18"/>
          <w:color w:val="auto"/>
        </w:rPr>
        <w:t xml:space="preserve">, </w:t>
      </w:r>
      <w:r>
        <w:rPr>
          <w:rFonts w:ascii="Arial" w:cs="Arial" w:eastAsia="Arial" w:hAnsi="Arial"/>
          <w:sz w:val="18"/>
          <w:szCs w:val="18"/>
          <w:i w:val="1"/>
          <w:iCs w:val="1"/>
          <w:color w:val="auto"/>
        </w:rPr>
        <w:t>Fear 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Dead</w:t>
      </w:r>
      <w:r>
        <w:rPr>
          <w:rFonts w:ascii="Arial" w:cs="Arial" w:eastAsia="Arial" w:hAnsi="Arial"/>
          <w:sz w:val="18"/>
          <w:szCs w:val="18"/>
          <w:color w:val="auto"/>
        </w:rPr>
        <w:t>,</w:t>
      </w:r>
      <w:r>
        <w:rPr>
          <w:rFonts w:ascii="Arial" w:cs="Arial" w:eastAsia="Arial" w:hAnsi="Arial"/>
          <w:sz w:val="18"/>
          <w:szCs w:val="18"/>
          <w:i w:val="1"/>
          <w:iCs w:val="1"/>
          <w:color w:val="auto"/>
        </w:rPr>
        <w:t xml:space="preserve"> Tales of The Walking Dead</w:t>
      </w:r>
      <w:r>
        <w:rPr>
          <w:rFonts w:ascii="Arial" w:cs="Arial" w:eastAsia="Arial" w:hAnsi="Arial"/>
          <w:sz w:val="18"/>
          <w:szCs w:val="18"/>
          <w:color w:val="auto"/>
        </w:rPr>
        <w:t>,</w:t>
      </w:r>
      <w:r>
        <w:rPr>
          <w:rFonts w:ascii="Arial" w:cs="Arial" w:eastAsia="Arial" w:hAnsi="Arial"/>
          <w:sz w:val="18"/>
          <w:szCs w:val="18"/>
          <w:i w:val="1"/>
          <w:iCs w:val="1"/>
          <w:color w:val="auto"/>
        </w:rPr>
        <w:t xml:space="preserve"> Halt and Catch Fire</w:t>
      </w:r>
      <w:r>
        <w:rPr>
          <w:rFonts w:ascii="Arial" w:cs="Arial" w:eastAsia="Arial" w:hAnsi="Arial"/>
          <w:sz w:val="18"/>
          <w:szCs w:val="18"/>
          <w:color w:val="auto"/>
        </w:rPr>
        <w:t>,</w:t>
      </w:r>
      <w:r>
        <w:rPr>
          <w:rFonts w:ascii="Arial" w:cs="Arial" w:eastAsia="Arial" w:hAnsi="Arial"/>
          <w:sz w:val="18"/>
          <w:szCs w:val="18"/>
          <w:i w:val="1"/>
          <w:iCs w:val="1"/>
          <w:color w:val="auto"/>
        </w:rPr>
        <w:t xml:space="preserve"> The Terror </w:t>
      </w:r>
      <w:r>
        <w:rPr>
          <w:rFonts w:ascii="Arial" w:cs="Arial" w:eastAsia="Arial" w:hAnsi="Arial"/>
          <w:sz w:val="18"/>
          <w:szCs w:val="18"/>
          <w:color w:val="auto"/>
        </w:rPr>
        <w:t>anthology and the Peabody Award-winning</w:t>
      </w:r>
      <w:r>
        <w:rPr>
          <w:rFonts w:ascii="Arial" w:cs="Arial" w:eastAsia="Arial" w:hAnsi="Arial"/>
          <w:sz w:val="18"/>
          <w:szCs w:val="18"/>
          <w:i w:val="1"/>
          <w:iCs w:val="1"/>
          <w:color w:val="auto"/>
        </w:rPr>
        <w:t xml:space="preserve"> Rectify</w:t>
      </w:r>
      <w:r>
        <w:rPr>
          <w:rFonts w:ascii="Arial" w:cs="Arial" w:eastAsia="Arial" w:hAnsi="Arial"/>
          <w:sz w:val="18"/>
          <w:szCs w:val="18"/>
          <w:color w:val="auto"/>
        </w:rPr>
        <w:t>, as well as unscripted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w:t>
      </w:r>
      <w:r>
        <w:rPr>
          <w:rFonts w:ascii="Arial" w:cs="Arial" w:eastAsia="Arial" w:hAnsi="Arial"/>
          <w:sz w:val="18"/>
          <w:szCs w:val="18"/>
          <w:i w:val="1"/>
          <w:iCs w:val="1"/>
          <w:color w:val="auto"/>
        </w:rPr>
        <w:t>Ride with Norman Reedus</w:t>
      </w:r>
      <w:r>
        <w:rPr>
          <w:rFonts w:ascii="Arial" w:cs="Arial" w:eastAsia="Arial" w:hAnsi="Arial"/>
          <w:sz w:val="18"/>
          <w:szCs w:val="18"/>
          <w:color w:val="auto"/>
        </w:rPr>
        <w:t xml:space="preserve"> and James Cameron’s </w:t>
      </w:r>
      <w:r>
        <w:rPr>
          <w:rFonts w:ascii="Arial" w:cs="Arial" w:eastAsia="Arial" w:hAnsi="Arial"/>
          <w:sz w:val="18"/>
          <w:szCs w:val="18"/>
          <w:i w:val="1"/>
          <w:iCs w:val="1"/>
          <w:color w:val="auto"/>
        </w:rPr>
        <w:t>Story of Science Fiction</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Film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5130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13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IFC Films, our film distribution business, is a leading distributor of high-quality, talent-driven independent films.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IFC Films operates two distribution labels: IFC Films and IFC Midnight. IFC Films also operates IFC Films Unlimited, a subscription based streaming service in the United States and Canada which launched in 2019.</w:t>
      </w:r>
    </w:p>
    <w:p>
      <w:pPr>
        <w:spacing w:after="0" w:line="62" w:lineRule="exact"/>
        <w:rPr>
          <w:rFonts w:ascii="Arial" w:cs="Arial" w:eastAsia="Arial" w:hAnsi="Arial"/>
          <w:sz w:val="18"/>
          <w:szCs w:val="18"/>
          <w:color w:val="auto"/>
        </w:rPr>
      </w:pPr>
    </w:p>
    <w:p>
      <w:pPr>
        <w:jc w:val="both"/>
        <w:ind w:left="980" w:hanging="486"/>
        <w:spacing w:after="0" w:line="275"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Notable 2022 releases include the Oscar shortlisted international film </w:t>
      </w:r>
      <w:r>
        <w:rPr>
          <w:rFonts w:ascii="Arial" w:cs="Arial" w:eastAsia="Arial" w:hAnsi="Arial"/>
          <w:sz w:val="17"/>
          <w:szCs w:val="17"/>
          <w:i w:val="1"/>
          <w:iCs w:val="1"/>
          <w:color w:val="auto"/>
        </w:rPr>
        <w:t>Corsage</w:t>
      </w:r>
      <w:r>
        <w:rPr>
          <w:rFonts w:ascii="Arial" w:cs="Arial" w:eastAsia="Arial" w:hAnsi="Arial"/>
          <w:sz w:val="17"/>
          <w:szCs w:val="17"/>
          <w:color w:val="auto"/>
        </w:rPr>
        <w:t xml:space="preserve">, which also won the Un Certain Regard Award for Best Performance at the Cannes International Film Festival; Oscar shortlisted documentary </w:t>
      </w:r>
      <w:r>
        <w:rPr>
          <w:rFonts w:ascii="Arial" w:cs="Arial" w:eastAsia="Arial" w:hAnsi="Arial"/>
          <w:sz w:val="17"/>
          <w:szCs w:val="17"/>
          <w:i w:val="1"/>
          <w:iCs w:val="1"/>
          <w:color w:val="auto"/>
        </w:rPr>
        <w:t>Bad Axe,</w:t>
      </w:r>
      <w:r>
        <w:rPr>
          <w:rFonts w:ascii="Arial" w:cs="Arial" w:eastAsia="Arial" w:hAnsi="Arial"/>
          <w:sz w:val="17"/>
          <w:szCs w:val="17"/>
          <w:color w:val="auto"/>
        </w:rPr>
        <w:t xml:space="preserve"> a Critics’ Choice Award winner for Best First Documentary Feature; the Gotham Award-winning international feature </w:t>
      </w:r>
      <w:r>
        <w:rPr>
          <w:rFonts w:ascii="Arial" w:cs="Arial" w:eastAsia="Arial" w:hAnsi="Arial"/>
          <w:sz w:val="17"/>
          <w:szCs w:val="17"/>
          <w:i w:val="1"/>
          <w:iCs w:val="1"/>
          <w:color w:val="auto"/>
        </w:rPr>
        <w:t>Happening</w:t>
      </w:r>
      <w:r>
        <w:rPr>
          <w:rFonts w:ascii="Arial" w:cs="Arial" w:eastAsia="Arial" w:hAnsi="Arial"/>
          <w:sz w:val="17"/>
          <w:szCs w:val="17"/>
          <w:color w:val="auto"/>
        </w:rPr>
        <w:t xml:space="preserve"> from director Audrey Diwan; documentary </w:t>
      </w:r>
      <w:r>
        <w:rPr>
          <w:rFonts w:ascii="Arial" w:cs="Arial" w:eastAsia="Arial" w:hAnsi="Arial"/>
          <w:sz w:val="17"/>
          <w:szCs w:val="17"/>
          <w:i w:val="1"/>
          <w:iCs w:val="1"/>
          <w:color w:val="auto"/>
        </w:rPr>
        <w:t>Hold Your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Fire </w:t>
      </w:r>
      <w:r>
        <w:rPr>
          <w:rFonts w:ascii="Arial" w:cs="Arial" w:eastAsia="Arial" w:hAnsi="Arial"/>
          <w:sz w:val="17"/>
          <w:szCs w:val="17"/>
          <w:color w:val="auto"/>
        </w:rPr>
        <w:t>from award-winning filmmaker Stefan Forbes and producer Fab Five Freddy; Claire Denis’</w:t>
      </w:r>
      <w:r>
        <w:rPr>
          <w:rFonts w:ascii="Arial" w:cs="Arial" w:eastAsia="Arial" w:hAnsi="Arial"/>
          <w:sz w:val="17"/>
          <w:szCs w:val="17"/>
          <w:i w:val="1"/>
          <w:iCs w:val="1"/>
          <w:color w:val="auto"/>
        </w:rPr>
        <w:t xml:space="preserve"> Fire </w:t>
      </w:r>
      <w:r>
        <w:rPr>
          <w:rFonts w:ascii="Arial" w:cs="Arial" w:eastAsia="Arial" w:hAnsi="Arial"/>
          <w:sz w:val="17"/>
          <w:szCs w:val="17"/>
          <w:color w:val="auto"/>
        </w:rPr>
        <w:t>starring Juliette Binoche; horror film</w:t>
      </w:r>
      <w:r>
        <w:rPr>
          <w:rFonts w:ascii="Arial" w:cs="Arial" w:eastAsia="Arial" w:hAnsi="Arial"/>
          <w:sz w:val="17"/>
          <w:szCs w:val="17"/>
          <w:i w:val="1"/>
          <w:iCs w:val="1"/>
          <w:color w:val="auto"/>
        </w:rPr>
        <w:t xml:space="preserve"> Watcher </w:t>
      </w:r>
      <w:r>
        <w:rPr>
          <w:rFonts w:ascii="Arial" w:cs="Arial" w:eastAsia="Arial" w:hAnsi="Arial"/>
          <w:sz w:val="17"/>
          <w:szCs w:val="17"/>
          <w:color w:val="auto"/>
        </w:rPr>
        <w:t>from director Chloe Okuno; and Sundance hit</w:t>
      </w:r>
      <w:r>
        <w:rPr>
          <w:rFonts w:ascii="Arial" w:cs="Arial" w:eastAsia="Arial" w:hAnsi="Arial"/>
          <w:sz w:val="17"/>
          <w:szCs w:val="17"/>
          <w:i w:val="1"/>
          <w:iCs w:val="1"/>
          <w:color w:val="auto"/>
        </w:rPr>
        <w:t xml:space="preserve"> Resurrection </w:t>
      </w:r>
      <w:r>
        <w:rPr>
          <w:rFonts w:ascii="Arial" w:cs="Arial" w:eastAsia="Arial" w:hAnsi="Arial"/>
          <w:sz w:val="17"/>
          <w:szCs w:val="17"/>
          <w:color w:val="auto"/>
        </w:rPr>
        <w:t>starring Rebecca Hall and Tim Roth.</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AMC Networks Broadcasting &amp; Technology</w:t>
      </w:r>
    </w:p>
    <w:p>
      <w:pPr>
        <w:spacing w:after="0" w:line="117" w:lineRule="exact"/>
        <w:rPr>
          <w:sz w:val="20"/>
          <w:szCs w:val="20"/>
          <w:color w:val="auto"/>
        </w:rPr>
      </w:pPr>
    </w:p>
    <w:p>
      <w:pPr>
        <w:ind w:left="980" w:right="2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AMC Networks Broadcasting &amp; Technology is a full-service network programming feed origination and distribution company located in Bethpage, New York, which primarily services most of the national programming networks of the Company.</w:t>
      </w:r>
    </w:p>
    <w:p>
      <w:pPr>
        <w:spacing w:after="0" w:line="62"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AMC Networks Broadcasting &amp; Technology consolidates origination and satellite communication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and traffic and scheduling that provide day-to-day delivery of any programming network, in high definition or standard definition.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International and Other segment includes the operations of AMC Networks International and 25/7 Media.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ind w:left="800" w:hanging="486"/>
        <w:spacing w:after="0" w:line="308" w:lineRule="auto"/>
        <w:tabs>
          <w:tab w:leader="none" w:pos="7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AMCNI, the international division of the Company, delivers entertaining and acclaimed programming that reaches subscribers in more than 110 countries and territories around the world, through operational centers in London, Madrid, Budapest, Miami and Buenos Aires.</w:t>
      </w:r>
    </w:p>
    <w:p>
      <w:pPr>
        <w:spacing w:after="0" w:line="38" w:lineRule="exact"/>
        <w:rPr>
          <w:rFonts w:ascii="Arial" w:cs="Arial" w:eastAsia="Arial" w:hAnsi="Arial"/>
          <w:sz w:val="17"/>
          <w:szCs w:val="17"/>
          <w:color w:val="auto"/>
        </w:rPr>
      </w:pPr>
    </w:p>
    <w:p>
      <w:pPr>
        <w:ind w:left="800" w:right="20" w:hanging="486"/>
        <w:spacing w:after="0" w:line="27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AMCNI consists of our global brand, AMC, as well as a portfolio of popular, locally recognized brands delivering programming in a wide range of genres, including sports, film, cooking, crime and investigation, science, documentary and kids.</w:t>
      </w:r>
    </w:p>
    <w:p>
      <w:pPr>
        <w:spacing w:after="0" w:line="62" w:lineRule="exact"/>
        <w:rPr>
          <w:rFonts w:ascii="Arial" w:cs="Arial" w:eastAsia="Arial" w:hAnsi="Arial"/>
          <w:sz w:val="18"/>
          <w:szCs w:val="18"/>
          <w:color w:val="auto"/>
        </w:rPr>
      </w:pPr>
    </w:p>
    <w:p>
      <w:pPr>
        <w:ind w:left="800" w:hanging="486"/>
        <w:spacing w:after="0" w:line="27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local and regional channels are programmed for local audiences and language, and we develop and license local content that is tailored to individual market tastes.</w:t>
      </w:r>
    </w:p>
    <w:p>
      <w:pPr>
        <w:spacing w:after="0" w:line="62" w:lineRule="exact"/>
        <w:rPr>
          <w:rFonts w:ascii="Arial" w:cs="Arial" w:eastAsia="Arial" w:hAnsi="Arial"/>
          <w:sz w:val="18"/>
          <w:szCs w:val="18"/>
          <w:color w:val="auto"/>
        </w:rPr>
      </w:pPr>
    </w:p>
    <w:p>
      <w:pPr>
        <w:jc w:val="both"/>
        <w:ind w:left="800" w:hanging="486"/>
        <w:spacing w:after="0" w:line="259"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AMCNI also operates a number of joint venture partnerships and managed channel services as well as direct to consumer services. A joint venture with Paramount International Networks delivers a portfolio of entertainment channels which is managed from London. Dreamia, a joint venture with NOS in Portugal, delivers channels including Canal Hollywood, Canal Panda, Panda Kids, Biggs, Blast, Casa e Cozinha, and recently launched the over-the-top ("OTT") application Panda+.</w:t>
      </w:r>
    </w:p>
    <w:p>
      <w:pPr>
        <w:spacing w:after="0" w:line="78" w:lineRule="exact"/>
        <w:rPr>
          <w:rFonts w:ascii="Arial" w:cs="Arial" w:eastAsia="Arial" w:hAnsi="Arial"/>
          <w:sz w:val="18"/>
          <w:szCs w:val="18"/>
          <w:color w:val="auto"/>
        </w:rPr>
      </w:pPr>
    </w:p>
    <w:p>
      <w:pPr>
        <w:ind w:left="800" w:hanging="48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Highlights of the top AMCNI locally recognized channels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306070</wp:posOffset>
            </wp:positionV>
            <wp:extent cx="771525" cy="771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00" w:hanging="486"/>
        <w:spacing w:after="0" w:line="263"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 Gourmet is a “go-to” TV culinary destination for Latin American audiences that connects with its viewers by celebrating local traditions and featuring culinary experiences from all over the world. Its mission is to reunite family and friends around the table to make memorable life experiences.</w:t>
      </w:r>
    </w:p>
    <w:p>
      <w:pPr>
        <w:spacing w:after="0" w:line="75" w:lineRule="exact"/>
        <w:rPr>
          <w:rFonts w:ascii="Arial" w:cs="Arial" w:eastAsia="Arial" w:hAnsi="Arial"/>
          <w:sz w:val="18"/>
          <w:szCs w:val="18"/>
          <w:color w:val="auto"/>
        </w:rPr>
      </w:pPr>
    </w:p>
    <w:p>
      <w:pPr>
        <w:ind w:left="800" w:hanging="486"/>
        <w:spacing w:after="0" w:line="277"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Launched over two decades ago, El Gourmet offers 100% of its content in Spanish, with over 90% original productions and more than 250 episodes premiering each year, showcasing some of the greatest celebrity cooks of this region.</w:t>
      </w:r>
    </w:p>
    <w:p>
      <w:pPr>
        <w:spacing w:after="0" w:line="62" w:lineRule="exact"/>
        <w:rPr>
          <w:rFonts w:ascii="Arial" w:cs="Arial" w:eastAsia="Arial" w:hAnsi="Arial"/>
          <w:sz w:val="18"/>
          <w:szCs w:val="18"/>
          <w:color w:val="auto"/>
        </w:rPr>
      </w:pPr>
    </w:p>
    <w:p>
      <w:pPr>
        <w:ind w:left="800" w:hanging="486"/>
        <w:spacing w:after="0" w:line="277"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 Gourmet’s original productions have been awarded 14 Martin Fierro Awards (granted by the Association of Argentine Television and Radio Journalists) as well as two Taste Awards in the United States.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8" w:lineRule="exact"/>
        <w:rPr>
          <w:rFonts w:ascii="Arial" w:cs="Arial" w:eastAsia="Arial" w:hAnsi="Arial"/>
          <w:sz w:val="18"/>
          <w:szCs w:val="18"/>
          <w:color w:val="auto"/>
        </w:rPr>
      </w:pPr>
    </w:p>
    <w:p>
      <w:pPr>
        <w:ind w:left="800" w:hanging="486"/>
        <w:spacing w:after="0" w:line="277" w:lineRule="auto"/>
        <w:tabs>
          <w:tab w:leader="none" w:pos="415" w:val="left"/>
        </w:tabs>
        <w:numPr>
          <w:ilvl w:val="0"/>
          <w:numId w:val="18"/>
        </w:numPr>
        <w:rPr>
          <w:rFonts w:ascii="Arial" w:cs="Arial" w:eastAsia="Arial" w:hAnsi="Arial"/>
          <w:sz w:val="16"/>
          <w:szCs w:val="16"/>
          <w:color w:val="auto"/>
        </w:rPr>
      </w:pPr>
      <w:r>
        <w:rPr>
          <w:rFonts w:ascii="Arial" w:cs="Arial" w:eastAsia="Arial" w:hAnsi="Arial"/>
          <w:sz w:val="18"/>
          <w:szCs w:val="18"/>
          <w:color w:val="auto"/>
        </w:rPr>
        <w:t>Our U.K. business operates a joint venture with Paramount International Networks delivering a portfolio of entertainment channels in the U.K. including CBS Reality, Reality Xtra, Legend, and Horror Xtra.</w:t>
      </w:r>
    </w:p>
    <w:p>
      <w:pPr>
        <w:spacing w:after="0" w:line="62" w:lineRule="exact"/>
        <w:rPr>
          <w:rFonts w:ascii="Arial" w:cs="Arial" w:eastAsia="Arial" w:hAnsi="Arial"/>
          <w:sz w:val="16"/>
          <w:szCs w:val="16"/>
          <w:color w:val="auto"/>
        </w:rPr>
      </w:pPr>
    </w:p>
    <w:p>
      <w:pPr>
        <w:ind w:left="800" w:hanging="486"/>
        <w:spacing w:after="0" w:line="342" w:lineRule="auto"/>
        <w:tabs>
          <w:tab w:leader="none" w:pos="7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CBS Reality is increasingly airing owned locally produced ‘true crime’ content aimed at women in the 50+ demographic. These documentary style programs re-visit famous crimes predominantly from the U.K. and the United States and investigate the psychology of a killer.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-1292225</wp:posOffset>
            </wp:positionV>
            <wp:extent cx="5863590" cy="506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9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5438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54380" cy="480060"/>
                    </a:xfrm>
                    <a:prstGeom prst="rect">
                      <a:avLst/>
                    </a:prstGeom>
                    <a:noFill/>
                  </pic:spPr>
                </pic:pic>
              </a:graphicData>
            </a:graphic>
          </wp:anchor>
        </w:drawing>
      </w:r>
    </w:p>
    <w:p>
      <w:pPr>
        <w:spacing w:after="0" w:line="322"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Jim Jam is a pre-school kids channel aimed at 2-6 year-olds, focusing on education and teaching English.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Popular content includes </w:t>
      </w:r>
      <w:r>
        <w:rPr>
          <w:rFonts w:ascii="Arial" w:cs="Arial" w:eastAsia="Arial" w:hAnsi="Arial"/>
          <w:sz w:val="18"/>
          <w:szCs w:val="18"/>
          <w:i w:val="1"/>
          <w:iCs w:val="1"/>
          <w:color w:val="auto"/>
        </w:rPr>
        <w:t>Bob The Builder</w:t>
      </w:r>
      <w:r>
        <w:rPr>
          <w:rFonts w:ascii="Arial" w:cs="Arial" w:eastAsia="Arial" w:hAnsi="Arial"/>
          <w:sz w:val="18"/>
          <w:szCs w:val="18"/>
          <w:color w:val="auto"/>
        </w:rPr>
        <w:t xml:space="preserve">, </w:t>
      </w:r>
      <w:r>
        <w:rPr>
          <w:rFonts w:ascii="Arial" w:cs="Arial" w:eastAsia="Arial" w:hAnsi="Arial"/>
          <w:sz w:val="18"/>
          <w:szCs w:val="18"/>
          <w:i w:val="1"/>
          <w:iCs w:val="1"/>
          <w:color w:val="auto"/>
        </w:rPr>
        <w:t>Fireman Sam</w:t>
      </w:r>
      <w:r>
        <w:rPr>
          <w:rFonts w:ascii="Arial" w:cs="Arial" w:eastAsia="Arial" w:hAnsi="Arial"/>
          <w:sz w:val="18"/>
          <w:szCs w:val="18"/>
          <w:color w:val="auto"/>
        </w:rPr>
        <w:t xml:space="preserve">, </w:t>
      </w:r>
      <w:r>
        <w:rPr>
          <w:rFonts w:ascii="Arial" w:cs="Arial" w:eastAsia="Arial" w:hAnsi="Arial"/>
          <w:sz w:val="18"/>
          <w:szCs w:val="18"/>
          <w:i w:val="1"/>
          <w:iCs w:val="1"/>
          <w:color w:val="auto"/>
        </w:rPr>
        <w:t>Thomas and Friends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Chuggington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Jim Jam reaches subscribers in over 60 EMEA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980" w:hanging="486"/>
        <w:spacing w:after="0" w:line="239" w:lineRule="auto"/>
        <w:tabs>
          <w:tab w:leader="none" w:pos="975" w:val="left"/>
        </w:tabs>
        <w:numPr>
          <w:ilvl w:val="0"/>
          <w:numId w:val="19"/>
        </w:numPr>
        <w:rPr>
          <w:rFonts w:ascii="Arial" w:cs="Arial" w:eastAsia="Arial" w:hAnsi="Arial"/>
          <w:sz w:val="22"/>
          <w:szCs w:val="22"/>
          <w:color w:val="auto"/>
        </w:rPr>
      </w:pPr>
      <w:r>
        <w:rPr>
          <w:rFonts w:ascii="Arial" w:cs="Arial" w:eastAsia="Arial" w:hAnsi="Arial"/>
          <w:sz w:val="18"/>
          <w:szCs w:val="18"/>
          <w:color w:val="auto"/>
        </w:rPr>
        <w:t>Canal Hollywood is one of the leading pay-TV film channels in Spain and Portugal, offering a wide selection of movies produced by major U.S. studios.</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Genres include comedy, drama, thriller, western, musical, and science fiction and the industry’s biggest stars.</w:t>
      </w:r>
    </w:p>
    <w:p>
      <w:pPr>
        <w:spacing w:after="0" w:line="134" w:lineRule="exact"/>
        <w:rPr>
          <w:rFonts w:ascii="Arial" w:cs="Arial" w:eastAsia="Arial" w:hAnsi="Arial"/>
          <w:sz w:val="22"/>
          <w:szCs w:val="22"/>
          <w:color w:val="auto"/>
        </w:rPr>
      </w:pPr>
    </w:p>
    <w:p>
      <w:pPr>
        <w:ind w:left="980" w:hanging="486"/>
        <w:spacing w:after="0" w:line="232" w:lineRule="auto"/>
        <w:tabs>
          <w:tab w:leader="none" w:pos="975"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channel began broadcasting in 1993 and is distributed on all pay-TV platforms in Spain and Portugal, reaching more than 10 million households.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7" w:lineRule="exact"/>
        <w:rPr>
          <w:rFonts w:ascii="Arial" w:cs="Arial" w:eastAsia="Arial" w:hAnsi="Arial"/>
          <w:sz w:val="22"/>
          <w:szCs w:val="22"/>
          <w:color w:val="auto"/>
        </w:rPr>
      </w:pPr>
    </w:p>
    <w:p>
      <w:pPr>
        <w:ind w:left="980" w:hanging="486"/>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Sports 1 &amp; Sports 2 are premium sports channels in our core Central European territories.</w:t>
      </w:r>
    </w:p>
    <w:p>
      <w:pPr>
        <w:spacing w:after="0" w:line="9" w:lineRule="exact"/>
        <w:rPr>
          <w:rFonts w:ascii="Arial" w:cs="Arial" w:eastAsia="Arial" w:hAnsi="Arial"/>
          <w:sz w:val="22"/>
          <w:szCs w:val="22"/>
          <w:color w:val="auto"/>
        </w:rPr>
      </w:pPr>
    </w:p>
    <w:p>
      <w:pPr>
        <w:ind w:left="980" w:hanging="486"/>
        <w:spacing w:after="0" w:line="233"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channels broadcast European football, Formula 1, NBA and ice hockey among other live sports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-2305050</wp:posOffset>
            </wp:positionV>
            <wp:extent cx="925830"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4800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-573405</wp:posOffset>
            </wp:positionV>
            <wp:extent cx="107124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245"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292100</wp:posOffset>
            </wp:positionV>
            <wp:extent cx="1285875" cy="66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25/7 Media (dba Center Drive Media) owns and operates two leading production companies: Triage Entertainment, founded in 1995, and Lando Entertainment, founded in 2016.</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Together, they produce premium, prime-time programming, and focus on four major genres: multi-cam events, original formats and lifestyle, premium documentary series and scripted.</w:t>
      </w:r>
    </w:p>
    <w:p>
      <w:pPr>
        <w:spacing w:after="0" w:line="62" w:lineRule="exact"/>
        <w:rPr>
          <w:rFonts w:ascii="Arial" w:cs="Arial" w:eastAsia="Arial" w:hAnsi="Arial"/>
          <w:sz w:val="18"/>
          <w:szCs w:val="18"/>
          <w:color w:val="auto"/>
        </w:rPr>
      </w:pPr>
    </w:p>
    <w:p>
      <w:pPr>
        <w:jc w:val="both"/>
        <w:ind w:left="980" w:hanging="486"/>
        <w:spacing w:after="0" w:line="296" w:lineRule="auto"/>
        <w:tabs>
          <w:tab w:leader="none" w:pos="9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Center Drive Media has produced award-winning and culturally distinctive originals across a wide range of networks and platforms, including CBS, NBC, Netflix, Paramount+, Discovery+, Food Network, HGTV, Lifetime, History, MTV, CMT, HBO and Showtime. Recent multi-camera events include specials from Sebastian Maniscalco, Taylor Tomlinson and Gabriel Iglesias. Original formats and lifestyle include Tournament of Champions, Food Network’s highest-rated series, and Guy Fieri’s </w:t>
      </w:r>
      <w:r>
        <w:rPr>
          <w:rFonts w:ascii="Arial" w:cs="Arial" w:eastAsia="Arial" w:hAnsi="Arial"/>
          <w:sz w:val="16"/>
          <w:szCs w:val="16"/>
          <w:i w:val="1"/>
          <w:iCs w:val="1"/>
          <w:color w:val="auto"/>
        </w:rPr>
        <w:t>Guy’s Grocery Games</w:t>
      </w:r>
      <w:r>
        <w:rPr>
          <w:rFonts w:ascii="Arial" w:cs="Arial" w:eastAsia="Arial" w:hAnsi="Arial"/>
          <w:sz w:val="16"/>
          <w:szCs w:val="16"/>
          <w:color w:val="auto"/>
        </w:rPr>
        <w:t xml:space="preserve">. Premium documentary series include the Emmy award-winning </w:t>
      </w:r>
      <w:r>
        <w:rPr>
          <w:rFonts w:ascii="Arial" w:cs="Arial" w:eastAsia="Arial" w:hAnsi="Arial"/>
          <w:sz w:val="16"/>
          <w:szCs w:val="16"/>
          <w:i w:val="1"/>
          <w:iCs w:val="1"/>
          <w:color w:val="auto"/>
        </w:rPr>
        <w:t>Remastered</w:t>
      </w:r>
      <w:r>
        <w:rPr>
          <w:rFonts w:ascii="Arial" w:cs="Arial" w:eastAsia="Arial" w:hAnsi="Arial"/>
          <w:sz w:val="16"/>
          <w:szCs w:val="16"/>
          <w:color w:val="auto"/>
        </w:rPr>
        <w:t xml:space="preserve"> and four-part documentary series </w:t>
      </w:r>
      <w:r>
        <w:rPr>
          <w:rFonts w:ascii="Arial" w:cs="Arial" w:eastAsia="Arial" w:hAnsi="Arial"/>
          <w:sz w:val="16"/>
          <w:szCs w:val="16"/>
          <w:i w:val="1"/>
          <w:iCs w:val="1"/>
          <w:color w:val="auto"/>
        </w:rPr>
        <w:t>11 Minutes</w:t>
      </w:r>
      <w:r>
        <w:rPr>
          <w:rFonts w:ascii="Arial" w:cs="Arial" w:eastAsia="Arial" w:hAnsi="Arial"/>
          <w:sz w:val="16"/>
          <w:szCs w:val="16"/>
          <w:color w:val="auto"/>
        </w:rPr>
        <w:t xml:space="preserve">. Scripted series include </w:t>
      </w:r>
      <w:r>
        <w:rPr>
          <w:rFonts w:ascii="Arial" w:cs="Arial" w:eastAsia="Arial" w:hAnsi="Arial"/>
          <w:sz w:val="16"/>
          <w:szCs w:val="16"/>
          <w:i w:val="1"/>
          <w:iCs w:val="1"/>
          <w:color w:val="auto"/>
        </w:rPr>
        <w:t>Black Jesus</w:t>
      </w:r>
      <w:r>
        <w:rPr>
          <w:rFonts w:ascii="Arial" w:cs="Arial" w:eastAsia="Arial" w:hAnsi="Arial"/>
          <w:sz w:val="16"/>
          <w:szCs w:val="16"/>
          <w:color w:val="auto"/>
        </w:rPr>
        <w:t xml:space="preserve"> for Comedy Central.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limited respects; other FCC regulations, although imposed on cable television operators, satellite operators, or other MVPDs, affect programming networks indirectly. The rules, regulations, policies and procedures affecting our businesses are constantly subject to change and increasingly, legislative and regulatory proposals seek to cover all sources of content, including the digital platforms over which we offer content, which may affect our regulatory burdens in the future.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The descriptions below are summary in nature and do not purport to describe all present and proposed laws and regulations affecting our businesses.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of our networks must provide closed-captioning of programming for the hearing impaired, and comply with other regulations designed to make our content more accessible, and we must provide closed captioning on certain video content that we offer on the Internet or through other Internet Protocol distribution methods. We must also ensure that our DTC applications can pass through closed captions on content and comply with certain other accessibility requirements. Congress and the FCC periodically consider proposals to enhance that accessibility, and are doing so now. Some of those proposals, if adopted, would increase our obligations substantially.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MVPDs to ensure that all commercials comply with specified volume standards, and our distribution agreements generally require us to certify compliance with such standards.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Emergency Alert Codes or Attention Signals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We may not include emergency alert codes or attention signals, or simulations of them, in our content under any circumstances other than a genuine alert, an authorized test of the emergency alert system, or a permissible public service announcement.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Program Carriage</w:t>
      </w:r>
    </w:p>
    <w:p>
      <w:pPr>
        <w:spacing w:after="0" w:line="11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Communications Act and the FCC's program carriage rules prohibit distributors from favoring their affiliated programming networks over unaffiliated similarly situated programming networks in the rates, terms and conditions of carriage agreements between programming networks and cable operators or other MVPDs. Despite these rules, certain regulatory interpretations and court decisions make it more difficult for our programming networks to challenge a distributor’s decision to decline to carry one of our programming networks or discriminate against one of our programming networks.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80"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Some states also have sought to regulate the manner in which MVPDs package and offer programming. We generally do not allow our networks or individual programs on those networks today to be offered by distributors on an a la carte basis.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 of "Must-Carry" and "Retransmission Consent" Requirements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FCC's implementation of the statutory "must-carry" obligations requires cable and DBS operators to give certain broadcasters preferential access to channel space and preferential channel positions,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nor any guaranteed channel position.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various websites that provide information regarding our businesses and offer content for sale. The operation of these websites may be subject to a range of federal, state and local laws such as privacy, data security, accessibility, child safety, oversight of user-generated content, and consumer protection regulations. For example, most states have enacted laws that impose data security and security breach obligations, and new frameworks regulating consumer privacy have recently been established at the state level and overseas, including the European Union's General Data Protection Regulation, or the GDPR, and the California Consumer Privacy Act, or as amended, the CCPA. The GDPR and the CCPA impose, among other things,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more stringent operational requirements for processors and controllers of personal data, including expanded disclosures about how personal information is to be used, and increased liability for violations. In addition, the FCC from time to time considers whether some or all websites offering video programming should be considered MVPDs and regulated as such, which would increase our regulatory costs and obligations substantially.</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FCC also imposes rules that may impact us regarding a variety of issues such as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 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of Programming Services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business of distributing programming services to cable television systems and other MVPDs and licensing of original programming for distribution is highly competitive. Our programming services face competition from other programming networks and services for carriage by a particular MVPD, and for the carriage on the service tier that will attract the most subscribers. Once our programming service is selected by a distributor for carriage, that service competes for viewers not only with the other programming services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Important to our success in each area of competition we face are the prices we charge for our programming services, the quantity, quality and variety of the programming offered on our services, and the effectiveness of our services' marketing efforts. The competition for viewers among advertiser supported networks is directly correlated with the competition for advertising revenues with each of our competitors.</w:t>
      </w:r>
    </w:p>
    <w:p>
      <w:pPr>
        <w:spacing w:after="0" w:line="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ability to successfully compete with other networks and services may be hampered because the cable television systems or other MVPDs through which we seek distribution may be affiliated with other programming networks or services. In addition, because such distributors may have a substantial number of subscribers, the ability of such programming services to obtain distribution on the systems of affiliated distributors may lead to increased distribution and advertising revenue for such programming networks or services because of their increased penetration compared to our programming services. Even if such affiliated distributors carry our programming services, such distributors may place their affiliated programming network on a more desirable tier, thereby giving the affiliated programming network a competitive advantage over our own.</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7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programming networks must compete with other sellers of advertising time and space, including other MVPDs,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At AMC Networks we are passionate about telling authentic stories that connect with audiences in meaningful ways and that entertain with vivid characters and worlds that show a full spectrum of the human experience. We believe the strength of our workforce is one of the significant contributors to our success. Our key human capital management objectives are to invest in and support our employees so that we have the ability to attract, develop and retain a high performing and diverse workforce.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employed 1,948 employees as of December 31, 2022. Our global workforce, as of December 31, 2022, was more than 50% women, with 44% of our leadership positions (vice president or equivalent and above) held by women, including three members of the Company’s senior leadership team. The Company also appointed its first woman Chief Commercial Officer in 2022, who now serves as an executive officer of AMC Networks. More than 30% of our U.S.-based workforce are people of color.</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aim to attract top talent through our corporate brand and our reputation for innovation and high-quality content, as well as through the many benefits we offer. We aim to retain our talent by emphasizing our competitive rewards; offering opportunities that support employees both personally and professionally; and our commitment to fostering a positive, inclusive and collaborative corporate culture.</w:t>
      </w:r>
    </w:p>
    <w:p>
      <w:pPr>
        <w:spacing w:after="0" w:line="76"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Our performance management practice includes frequent feedback and conversations between managers and team members, and talent reviews designed to identify potential future leaders and inform succession plans. We value continuous learning and development opportunities for our employees, which include: a robust internal group mentorship program; leadership development programs; and tuition assistance.</w:t>
      </w:r>
    </w:p>
    <w:p>
      <w:pPr>
        <w:spacing w:after="0" w:line="5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benefit offerings are designed to meet the range of needs of our diverse workforce and support the health, finance, and well-being of employees. They include: adoption assistance; backup child/elder care; child care resources; college planning; domestic partner coverage; domestic partner tax equalization; gender reassignment surgery; employee assistance programs; financial planning seminars; and a health advocate offering.</w:t>
      </w:r>
    </w:p>
    <w:p>
      <w:pPr>
        <w:spacing w:after="0" w:line="5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for certain of our productions, the Company, through in-house and third-party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 Equity and Inclusion (DEI)</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AMC Networks being diverse, equitable, and inclusive is more than a business imperative that spurs creativity and drives innovation. It is at the heart of who we are and what we believe.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examples of our DEI areas of focus are described below:</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Fostering Inclusive Communities </w:t>
      </w:r>
      <w:r>
        <w:rPr>
          <w:rFonts w:ascii="Arial" w:cs="Arial" w:eastAsia="Arial" w:hAnsi="Arial"/>
          <w:sz w:val="18"/>
          <w:szCs w:val="18"/>
          <w:color w:val="auto"/>
        </w:rPr>
        <w:t>– We have nine active Business Employee Resource Groups (BERGs) that form communities through shared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and experiences with more than 20 chapters across the U.S, U.K., Europe and Latin America. Our BERG members strive to create a culture of belonging for our employees. They facilitate networking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connections with peers; support the acquisition of diverse talent; provide an avenue to facilitate leadership and skill development; and help to increase the organization’s overall cultural competency. They are an important part of driving our business objectives, including curating themed content areas that helps drive streaming subscriber engagement and growth, acting as a valuable sounding board for content development and programming, leading heritage month celebrations and supporting employee engagement and retention.</w:t>
      </w:r>
    </w:p>
    <w:p>
      <w:pPr>
        <w:spacing w:after="0" w:line="7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 xml:space="preserve">Developing Talent Pipelines </w:t>
      </w:r>
      <w:r>
        <w:rPr>
          <w:rFonts w:ascii="Arial" w:cs="Arial" w:eastAsia="Arial" w:hAnsi="Arial"/>
          <w:sz w:val="17"/>
          <w:szCs w:val="17"/>
          <w:color w:val="auto"/>
        </w:rPr>
        <w:t>– We strive to create robust pipelines of diverse talent for our workplace to provide employment opportunities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accessible to historically excluded and underrepresented communities. We do this primarily by partnering with leading industry diversity advocacy organizations and through our corporate internship program where we source candidates from a broad range of colleges including Historically Black Colleges and Universities (HBCUs) through our partnership with the Entertainment Industry College Outreach Program ("EICOP") HBCU in LA.</w:t>
      </w:r>
    </w:p>
    <w:p>
      <w:pPr>
        <w:spacing w:after="0" w:line="6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 xml:space="preserve">Learning Together </w:t>
      </w:r>
      <w:r>
        <w:rPr>
          <w:rFonts w:ascii="Arial" w:cs="Arial" w:eastAsia="Arial" w:hAnsi="Arial"/>
          <w:sz w:val="16"/>
          <w:szCs w:val="16"/>
          <w:color w:val="auto"/>
        </w:rPr>
        <w:t>– We equip our employees and our production staff with the tools and knowledge they need to expand awareness and understand</w:t>
      </w:r>
      <w:r>
        <w:rPr>
          <w:rFonts w:ascii="Arial" w:cs="Arial" w:eastAsia="Arial" w:hAnsi="Arial"/>
          <w:sz w:val="16"/>
          <w:szCs w:val="16"/>
          <w:i w:val="1"/>
          <w:iCs w:val="1"/>
          <w:color w:val="auto"/>
        </w:rPr>
        <w:t xml:space="preserve"> </w:t>
      </w:r>
      <w:r>
        <w:rPr>
          <w:rFonts w:ascii="Arial" w:cs="Arial" w:eastAsia="Arial" w:hAnsi="Arial"/>
          <w:sz w:val="16"/>
          <w:szCs w:val="16"/>
          <w:color w:val="auto"/>
        </w:rPr>
        <w:t>what promoting diversity, equity and inclusion really means, we provide learning opportunities across a variety of topics ranging from exploring unearned advantage and disadvantage and cultivating an inclusive writer’s room and set to building a more equitable workforce through inclusive hiring practices.</w:t>
      </w:r>
    </w:p>
    <w:p>
      <w:pPr>
        <w:spacing w:after="0" w:line="4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i w:val="1"/>
          <w:iCs w:val="1"/>
          <w:color w:val="auto"/>
        </w:rPr>
        <w:t xml:space="preserve">Our Content </w:t>
      </w:r>
      <w:r>
        <w:rPr>
          <w:rFonts w:ascii="Arial" w:cs="Arial" w:eastAsia="Arial" w:hAnsi="Arial"/>
          <w:sz w:val="16"/>
          <w:szCs w:val="16"/>
          <w:color w:val="auto"/>
        </w:rPr>
        <w:t>– We have a long track record of championing and supporting independent and diverse voices and using our platforms and brands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these storytellers’ vision to life. Encouraging diverse and inclusive voices and points of view – on our screens, on our sets, and in our writer’s rooms</w:t>
      </w:r>
    </w:p>
    <w:p>
      <w:pPr>
        <w:jc w:val="both"/>
        <w:spacing w:after="0" w:line="252" w:lineRule="auto"/>
        <w:rPr>
          <w:sz w:val="20"/>
          <w:szCs w:val="20"/>
          <w:color w:val="auto"/>
        </w:rPr>
      </w:pPr>
      <w:r>
        <w:rPr>
          <w:rFonts w:ascii="Arial" w:cs="Arial" w:eastAsia="Arial" w:hAnsi="Arial"/>
          <w:sz w:val="18"/>
          <w:szCs w:val="18"/>
          <w:color w:val="auto"/>
        </w:rPr>
        <w:t xml:space="preserve">– is fundamental to our creative process. It is how we understand, reflect, and speak with insight and authenticity to the wide range of audiences we reach every day. In 2022, we launched an Inclusive Writer’s Room Workshop, focused on cultivating an environment of inclusion and belonging in the writers’ room as well as equipping our writers with tools for inclusive storytelling, including identifying and mitigating unconscious bias and stereotypes in narratives. We also debuted acclaimed and proudly inclusive series and films across our brands and services including breakout series </w:t>
      </w:r>
      <w:r>
        <w:rPr>
          <w:rFonts w:ascii="Arial" w:cs="Arial" w:eastAsia="Arial" w:hAnsi="Arial"/>
          <w:sz w:val="18"/>
          <w:szCs w:val="18"/>
          <w:i w:val="1"/>
          <w:iCs w:val="1"/>
          <w:color w:val="auto"/>
        </w:rPr>
        <w:t>Dark Winds</w:t>
      </w:r>
      <w:r>
        <w:rPr>
          <w:rFonts w:ascii="Arial" w:cs="Arial" w:eastAsia="Arial" w:hAnsi="Arial"/>
          <w:sz w:val="18"/>
          <w:szCs w:val="18"/>
          <w:color w:val="auto"/>
        </w:rPr>
        <w:t xml:space="preserve">, the #2 new cable drama of the television season which has been renewed for a second season; the Gotham Award-winning </w:t>
      </w:r>
      <w:r>
        <w:rPr>
          <w:rFonts w:ascii="Arial" w:cs="Arial" w:eastAsia="Arial" w:hAnsi="Arial"/>
          <w:sz w:val="18"/>
          <w:szCs w:val="18"/>
          <w:i w:val="1"/>
          <w:iCs w:val="1"/>
          <w:color w:val="auto"/>
        </w:rPr>
        <w:t>This Is Going to Hurt</w:t>
      </w:r>
      <w:r>
        <w:rPr>
          <w:rFonts w:ascii="Arial" w:cs="Arial" w:eastAsia="Arial" w:hAnsi="Arial"/>
          <w:sz w:val="18"/>
          <w:szCs w:val="18"/>
          <w:color w:val="auto"/>
        </w:rPr>
        <w:t xml:space="preserve">; the #1 new ad-supported cable drama of 2022; </w:t>
      </w:r>
      <w:r>
        <w:rPr>
          <w:rFonts w:ascii="Arial" w:cs="Arial" w:eastAsia="Arial" w:hAnsi="Arial"/>
          <w:sz w:val="18"/>
          <w:szCs w:val="18"/>
          <w:i w:val="1"/>
          <w:iCs w:val="1"/>
          <w:color w:val="auto"/>
        </w:rPr>
        <w:t>Anne Rice’s Interview with the Vampire</w:t>
      </w:r>
      <w:r>
        <w:rPr>
          <w:rFonts w:ascii="Arial" w:cs="Arial" w:eastAsia="Arial" w:hAnsi="Arial"/>
          <w:sz w:val="18"/>
          <w:szCs w:val="18"/>
          <w:color w:val="auto"/>
        </w:rPr>
        <w:t xml:space="preserve">; and the timely New York Times’ Critic’s Pick and Gotham Award-winning </w:t>
      </w:r>
      <w:r>
        <w:rPr>
          <w:rFonts w:ascii="Arial" w:cs="Arial" w:eastAsia="Arial" w:hAnsi="Arial"/>
          <w:sz w:val="18"/>
          <w:szCs w:val="18"/>
          <w:i w:val="1"/>
          <w:iCs w:val="1"/>
          <w:color w:val="auto"/>
        </w:rPr>
        <w:t xml:space="preserve">Happening </w:t>
      </w:r>
      <w:r>
        <w:rPr>
          <w:rFonts w:ascii="Arial" w:cs="Arial" w:eastAsia="Arial" w:hAnsi="Arial"/>
          <w:sz w:val="18"/>
          <w:szCs w:val="18"/>
          <w:color w:val="auto"/>
        </w:rPr>
        <w:t>from IFC Films; among many others.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High Impact Partnerships </w:t>
      </w:r>
      <w:r>
        <w:rPr>
          <w:rFonts w:ascii="Arial" w:cs="Arial" w:eastAsia="Arial" w:hAnsi="Arial"/>
          <w:sz w:val="18"/>
          <w:szCs w:val="18"/>
          <w:color w:val="auto"/>
        </w:rPr>
        <w:t>– We work with leading industry organizations to promote greater inclusion in the stories we tell, the partners we work</w:t>
      </w:r>
      <w:r>
        <w:rPr>
          <w:rFonts w:ascii="Arial" w:cs="Arial" w:eastAsia="Arial" w:hAnsi="Arial"/>
          <w:sz w:val="18"/>
          <w:szCs w:val="18"/>
          <w:i w:val="1"/>
          <w:iCs w:val="1"/>
          <w:color w:val="auto"/>
        </w:rPr>
        <w:t xml:space="preserve"> </w:t>
      </w:r>
      <w:r>
        <w:rPr>
          <w:rFonts w:ascii="Arial" w:cs="Arial" w:eastAsia="Arial" w:hAnsi="Arial"/>
          <w:sz w:val="18"/>
          <w:szCs w:val="18"/>
          <w:color w:val="auto"/>
        </w:rPr>
        <w:t>with, and the audiences who enjoy our content. The following are a few examples of our active partnerships and collaborations through which we strive to empower the next generation of storytellers:</w:t>
      </w:r>
    </w:p>
    <w:p>
      <w:pPr>
        <w:spacing w:after="0" w:line="76" w:lineRule="exact"/>
        <w:rPr>
          <w:sz w:val="20"/>
          <w:szCs w:val="20"/>
          <w:color w:val="auto"/>
        </w:rPr>
      </w:pPr>
    </w:p>
    <w:p>
      <w:pPr>
        <w:jc w:val="both"/>
        <w:ind w:left="660" w:hanging="166"/>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introduced AVENUE, a dedicated division of the AMC Networks Content Room, committed to helping advertising and marketing partners authentically reach diverse and underrepresented audiences through association with AMC Networks’ programming, talent, relationships, reach and scale.</w:t>
      </w:r>
    </w:p>
    <w:p>
      <w:pPr>
        <w:spacing w:after="0" w:line="75" w:lineRule="exact"/>
        <w:rPr>
          <w:rFonts w:ascii="Arial" w:cs="Arial" w:eastAsia="Arial" w:hAnsi="Arial"/>
          <w:sz w:val="18"/>
          <w:szCs w:val="18"/>
          <w:color w:val="auto"/>
        </w:rPr>
      </w:pPr>
    </w:p>
    <w:p>
      <w:pPr>
        <w:ind w:left="660" w:hanging="166"/>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Through AVENUE, AMC Networks entered into a partnership with Harlem Festival of Culture (HFC), the modern-day reimagining of the groundbreaking Harlem Cultural Festival of 1969 celebrating Black culture through cultural &amp; economic development programming.</w:t>
      </w:r>
    </w:p>
    <w:p>
      <w:pPr>
        <w:spacing w:after="0" w:line="38" w:lineRule="exact"/>
        <w:rPr>
          <w:rFonts w:ascii="Arial" w:cs="Arial" w:eastAsia="Arial" w:hAnsi="Arial"/>
          <w:sz w:val="17"/>
          <w:szCs w:val="17"/>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thrilled to partner with ReelWorks in supporting the inaugural IATSE Entertainment Industry Hair Stylist Training, focused on increasing job access for makeup and hair professionals of color.</w:t>
      </w:r>
    </w:p>
    <w:p>
      <w:pPr>
        <w:spacing w:after="0" w:line="62"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continued our partnerships with Coded for Inclusion’s Staff Me Up job matching platform for production crews designed to help change the way hiring happens in Hollywood, and Mentorship Matters to connect showrunners with emerging writers of color for dynamic year-long mentorships.</w:t>
      </w:r>
    </w:p>
    <w:p>
      <w:pPr>
        <w:spacing w:after="0" w:line="7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announced a new partnership with the Handy Foundation focused on staffing below the line and post-production roles with talent from historically underrepresented communities in television and film.</w:t>
      </w:r>
    </w:p>
    <w:p>
      <w:pPr>
        <w:spacing w:after="0" w:line="62" w:lineRule="exact"/>
        <w:rPr>
          <w:rFonts w:ascii="Arial" w:cs="Arial" w:eastAsia="Arial" w:hAnsi="Arial"/>
          <w:sz w:val="18"/>
          <w:szCs w:val="18"/>
          <w:color w:val="auto"/>
        </w:rPr>
      </w:pPr>
    </w:p>
    <w:p>
      <w:pPr>
        <w:jc w:val="both"/>
        <w:ind w:left="660" w:hanging="166"/>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partnered with the Ad Council to create a PSA campaign highlighting the power of girls in STEM (science, technology, engineering and math) utilizing talent of AMC’s popular franchise The Walking Dead. Produced by the AMCN Content Room, the PSAs are part of the Ad Council’s She Can STEM campaign which encourages girls, trans and non-binary youth around the country to get excited about STEM.</w:t>
      </w:r>
    </w:p>
    <w:p>
      <w:pPr>
        <w:spacing w:after="0" w:line="57" w:lineRule="exact"/>
        <w:rPr>
          <w:rFonts w:ascii="Arial" w:cs="Arial" w:eastAsia="Arial" w:hAnsi="Arial"/>
          <w:sz w:val="17"/>
          <w:szCs w:val="17"/>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announced a partnership with several film festivals across the U.S. focused on identifying, developing, and amplifying talent from underrepresented and historically excluded communities.</w:t>
      </w:r>
    </w:p>
    <w:p>
      <w:pPr>
        <w:spacing w:after="0" w:line="6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i w:val="1"/>
          <w:iCs w:val="1"/>
          <w:color w:val="auto"/>
        </w:rPr>
        <w:t xml:space="preserve">Supplier Diversity </w:t>
      </w:r>
      <w:r>
        <w:rPr>
          <w:rFonts w:ascii="Arial" w:cs="Arial" w:eastAsia="Arial" w:hAnsi="Arial"/>
          <w:sz w:val="16"/>
          <w:szCs w:val="16"/>
          <w:color w:val="auto"/>
        </w:rPr>
        <w:t>– We are committed to supplier diversity and advancing the social and economic inclusion of businesses owned by historically</w:t>
      </w:r>
      <w:r>
        <w:rPr>
          <w:rFonts w:ascii="Arial" w:cs="Arial" w:eastAsia="Arial" w:hAnsi="Arial"/>
          <w:sz w:val="16"/>
          <w:szCs w:val="16"/>
          <w:i w:val="1"/>
          <w:iCs w:val="1"/>
          <w:color w:val="auto"/>
        </w:rPr>
        <w:t xml:space="preserve"> </w:t>
      </w:r>
      <w:r>
        <w:rPr>
          <w:rFonts w:ascii="Arial" w:cs="Arial" w:eastAsia="Arial" w:hAnsi="Arial"/>
          <w:sz w:val="16"/>
          <w:szCs w:val="16"/>
          <w:color w:val="auto"/>
        </w:rPr>
        <w:t>excluded and underrepresented groups — including women, minorities, veterans, people with disabilities, and the LGBTQ+ community. We seek to promote opportunities for diverse ideas and innovative solutions that strengthen our organization and the stories we tell, the suppliers we work with, and the communities where we live and operate. We strive to use best practices in supplier diversity to identify and work with businesses that are at least 51% owned, operated and controlled by one or more of the following: Minority Business Enterprise (MBE), Women Business Enterprise (WBE),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Lesbian, Gay, Bisexual, Transgender, Queer Enterprises (LGBTQ+), Veteran Owned Business (VBE), Service Disabled Veterans (SDV), and Disability-Owned Business Enterprise (DOBE).</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Culture</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Company has a proud past and a long history of innovation and originality in our storytelling. This legacy informs who we are and is imbued in our corporate culture and in our values. We embrace collaboration, openness, approachability, as well as agility and creativity.</w:t>
      </w:r>
    </w:p>
    <w:p>
      <w:pPr>
        <w:spacing w:after="0" w:line="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Throughout the year we bring together partners, business leaders and our creative talent for engaging and thought-provoking conversations for our employees about our content, industry trends, and advancing DEI. In 2022, we introduced a new series called “Courageous Conversations,” a monthly opportunity for all employees to engage on key social and cultural issues impacting our community and society at large, presented and facilitated by experts on topics ranging from neurodiversity in the workplace to exploring authentic engagement with Native American communities.</w:t>
      </w:r>
    </w:p>
    <w:p>
      <w:pPr>
        <w:spacing w:after="0" w:line="6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Giving and social impact programs and initiatives are an important part of our culture because at AMC Networks we want to be a source for positive change in the communities where we live and work. Through philanthropic efforts, community outreach and strong and lasting partnerships, we support causes aimed at advancing a culture of inclusivity and amplifying everyone’s voice. In 2022, we matched donations from nearly 300 employees in support of more than 275 causes on our online giving and volunteering platform, Give Back at AMCN. Through the platform, employees can research and learn about organizations doing important and difference-making work and make personal charitable donations, which includes an annual company match.</w:t>
      </w:r>
    </w:p>
    <w:p>
      <w:pPr>
        <w:spacing w:after="0" w:line="5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initiatives to foster community and social impact include paid time off for full-time employees for Juneteenth, Election Day, Veterans Day and a volunteer day of their choice.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is often unpredictable and volatile.</w:t>
      </w:r>
    </w:p>
    <w:p>
      <w:pPr>
        <w:spacing w:after="0" w:line="4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business depends upon viewer preferences and audience acceptance in the United States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 certain of our programming to decline, which has resulted in, and could in the future continue to result in, a reduction of advertising revenues and jeopardize our bargaining position with distributors. In addition, certain of our competitors have more flexible programming arrangements, as well as greater amounts of available content, distribution and capital resources, and may react more quickly than we might to shifts in tastes and interests.</w:t>
      </w:r>
    </w:p>
    <w:p>
      <w:pPr>
        <w:spacing w:after="0" w:line="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success of our business depends on original programming, and our ability to accurately predict how audiences will respond to our original programming is particularly important. Because our network branding strategies depend significantly on a relatively small number of original programs,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 rights in the past, including $403.8 million in the fourth quarter of 2022, and may incur future program rights write-offs if it is determined that program rights have limited, or no, future usefulness.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ind w:firstLine="405"/>
        <w:spacing w:after="0" w:line="259" w:lineRule="auto"/>
        <w:rPr>
          <w:sz w:val="20"/>
          <w:szCs w:val="20"/>
          <w:color w:val="auto"/>
        </w:rPr>
      </w:pPr>
      <w:r>
        <w:rPr>
          <w:rFonts w:ascii="Arial" w:cs="Arial" w:eastAsia="Arial" w:hAnsi="Arial"/>
          <w:sz w:val="18"/>
          <w:szCs w:val="18"/>
          <w:color w:val="auto"/>
        </w:rPr>
        <w:t>In addition, feature films constitute a significant portion of the programming on our AMC, IFC and SundanceTV programming networks. In general, the popularity of feature-film content on linear television has declined, and may continue to decline, due in part to the broad availability of such content through an increasing number of distribution platforms. If the popularity of feature-film programming further declines, we may lose viewership, which would decrease our revenues.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our programming does not gain the level of audience acceptance we expect, or if we are unable to maintain the popularity of our programming, our ratings would suffer, which will negatively affect advertising revenues, and we may have a diminished bargaining position with distributors, which could reduce our distribution revenues. Ratings have declined in recent years, which has had a negative effect on our advertising revenues and our financial results. We cannot assure you that we will be able to maintain the success of any of our current programming or generate sufficient demand and market acceptance for our new programming.</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failure to develop popular new programming to replace programming that is older or ending can have adverse impacts on our business and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success of our programming services, consisting of linear networks and streaming services,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8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Competition for programming has increased as the number of programming networks and streaming services has increased. Other programming networks and streaming services that are affiliated with programming sources such as movie or television studios or film libraries may have a competitive advantage over us. In addition to other cable programming networks, we also compete for programming with national broadcast television networks, local broadcast television stations, video on demand services and subscription streaming services, such as Netflix, Hulu, Apple TV, Google TV and Amazon Prime. Some of these competitors have exclusive contracts with motion picture studios or independent motion picture distributors or own film libraries.</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cannot assure you that we will ultimately be successful in producing or obtaining the quality programming our networks and streaming services need to be successful.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produce original programming and other content and may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programming have been and may continue to be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Netflix, Hulu, Apple TV, Google TV and Amazon Prime, increases our programming content costs.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We believe that disputes of this type are endemic to our business and similar disputes may arise from time to time in the future. An increase in the costs of programming may lead to decreased profitability or otherwise adversely affect our business.</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Although in some cases the financial commitment for original programming is partially offset by foreign, state or local tax incentives,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 effective basis our business, financial condition and results of operations may be materially adversely affected.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efforts to attract and retain streaming subscribers may not be successful, which may adversely affect our business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ability to continue to attract subscribers will depend in part on our ability to consistently provide compelling content choices, effectively market our streaming services, as well as provide a quality experience for subscribers. Furthermore,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relative service levels, content offerings, pricing and related features of competitors to our service may adversely impact our ability to attract and retain subscribers. For example, we have in the past increased, and may in the future increase, prices for our streaming services, which could result in subscribers cancelling their subscriptions or potential subscribers not choosing to sign up for our services. We incur significant marketing expenditures to attract streaming subscribers, therefore retention of those subscribers is critical to our business model.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If we do not grow as expected, given, in particular, that our content costs are largely fixed in nature and contracted over several years, we may not be able to adjust our expenditures or increase our (per subscription) revenues commensurate with the lowered growth rate, which could adversely impact our margins, liquidity and results of operations. If we are unable to successfully compete with current and new competitors in both retaining our existing subscriptions and attracting new subscriptions, our streaming services will be adversely affected. Further, if excessive numbers of subscribers cancel our services, we may be required to incur significantly higher marketing expenditures than we currently anticipate to replace these subscribers with new subscribers.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programming industry is highly competitive. Our programming networks and streaming services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 MVPDs through alternative distribution methods creates competition for carriage on those platforms. Our programming networks and streaming services compete with other programming networks, streaming services, and other sources of video content to secure desired entertainment programming.</w:t>
      </w:r>
    </w:p>
    <w:p>
      <w:pPr>
        <w:spacing w:after="0" w:line="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Increased competition from additional entrants into the market for development and production of original programming, such as Netflix, Hulu, Apple TV, Google TV and Amazon Prime,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7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6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providers create or acquire their own content, some of them have significant competitive advantages, which could adversely affect our ability to negotiate favorable terms and distribution or otherwise compete effectively in the delivery marketplace. Certain of our competitors also have preferential access to important technologies, customer data or other competitive information.</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200" w:lineRule="exact"/>
        <w:rPr>
          <w:sz w:val="20"/>
          <w:szCs w:val="20"/>
          <w:color w:val="auto"/>
        </w:rPr>
      </w:pPr>
    </w:p>
    <w:p>
      <w:pPr>
        <w:spacing w:after="0" w:line="213"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derives a substantial portion of its revenues and income from cable television providers and other MVPDs. Subscription streaming services and virtual MVPDs have changed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programming services with no advertising or less advertising than on television networks, and time shifted viewing of television programming. In part as a result of these changes, over the past few years, the number of subscribers to traditional MVPDs in the United States has declined and the U.S. television industry has experienced declines in ratings for programming, which has negatively affected subscription and advertising revenues, including ours. Developments in technology and new content delivery products and services have also led to an increased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have incurred significant costs to implement our strategy and initiatives, and if they are not successful, our competitive position, businesses and results of operations could be adversely affected.</w:t>
      </w:r>
    </w:p>
    <w:p>
      <w:pPr>
        <w:spacing w:after="0" w:line="76"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both in the United States and internationally, could have a material adverse effect on our business.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depend upon agreements with a limited number of cable television system operators and other MVPDs. The loss of any significant distributor could have a material adverse effect on our consolidated results of operations.</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Currently our programming networks have distribution agreements with staggered expiration dates through 2028</w:t>
      </w:r>
      <w:r>
        <w:rPr>
          <w:rFonts w:ascii="Arial" w:cs="Arial" w:eastAsia="Arial" w:hAnsi="Arial"/>
          <w:sz w:val="16"/>
          <w:szCs w:val="16"/>
          <w:i w:val="1"/>
          <w:iCs w:val="1"/>
          <w:color w:val="auto"/>
        </w:rPr>
        <w:t>.</w:t>
      </w:r>
      <w:r>
        <w:rPr>
          <w:rFonts w:ascii="Arial" w:cs="Arial" w:eastAsia="Arial" w:hAnsi="Arial"/>
          <w:sz w:val="16"/>
          <w:szCs w:val="16"/>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have, in some instances, made upfront payments to distributors in exchange for additional subscribers or have agreed to waive or accept lower subscription fees if certain numbers of additional subscribers are provided. In certain cases, we also help fund our distributors' efforts to market our programming networks or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8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must successfully adapt to technological advances in our industry, including alternative distribution platforms and viewing technologies. Our ability to exploit new distribution platforms and viewing technologies will affect our ability to maintain or grow our business. New forms of content distribution provide different economic models and compete with current distribution methods in ways that are not entirely predictable. Such competition has reduced and is likely to continue to reduce demand for our traditional television offerings and could reduce demand for the offerings of digital platforms and, in turn, reduce our revenue from these sources. Accordingly, we must adapt to changing consumer behavior driven by advances such as virtual MVPDs, video on demand, subscription streaming services, including services such as Netflix, Hulu, Apple TV, Google TV and Amazon Prime, and mobile devices. Gaming and other consoles such as Microsoft's Xbox and Roku are establishing themselves as alternative providers of video services. Such changes may impact the revenues we are able to generate from our traditional distribution methods, either by decreasing the viewership of our programming networks on cable and other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w:t>
      </w:r>
    </w:p>
    <w:p>
      <w:pPr>
        <w:spacing w:after="0" w:line="7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68"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Advertising market conditions in specific markets have in the past caused and could in the future cause our revenues and operating results to decline significantly in any given period.</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pricing and volume of advertising has been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is not as advantageous to us as current advertising methods. The increased number of entertainment choices available to consumers has intensified audience fragmentation and reduced the viewing of content through traditional and virtual multichannel video programming providers, which has caused, and may continue to cause, audience ratings declines for our programming networks and has adversely affected the pricing and volume of advertising.</w:t>
      </w:r>
    </w:p>
    <w:p>
      <w:pPr>
        <w:spacing w:after="0" w:line="8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Advertising revenues can be significantly impacted by new technologies, since advertising sales are dependent on audience measurement provided by third parties, and the results of audience measurement techniques can vary independent of the size of the audience for a variety of reasons, including variations in the employed statistical sampling methods, difficulties related to the employed statistical sampling methods, new distribution platforms and viewing technologies, and the shifting of the marketplace to the use of measurement of different viewer behaviors, such as delayed viewing.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73"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spacing w:after="0" w:line="311" w:lineRule="auto"/>
        <w:rPr>
          <w:sz w:val="20"/>
          <w:szCs w:val="20"/>
          <w:color w:val="auto"/>
        </w:rPr>
      </w:pPr>
      <w:r>
        <w:rPr>
          <w:rFonts w:ascii="Arial" w:cs="Arial" w:eastAsia="Arial" w:hAnsi="Arial"/>
          <w:sz w:val="16"/>
          <w:szCs w:val="16"/>
          <w:color w:val="auto"/>
        </w:rPr>
        <w:t>distribution of our programming, and intentional, or unintentional, acts could result in unauthorized access to our content, a disruption of our services, or improper disclosure of confidential information. The prevalence of digital formats and technologies heightens this risk. Unauthorized access to our content could result in the premature release of our programming, which may have a significant adverse effect on the value of the affected programming.</w:t>
      </w:r>
    </w:p>
    <w:p>
      <w:pPr>
        <w:spacing w:after="0" w:line="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8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Operational Risks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62" w:lineRule="exact"/>
        <w:rPr>
          <w:sz w:val="20"/>
          <w:szCs w:val="20"/>
          <w:color w:val="auto"/>
        </w:rPr>
      </w:pPr>
    </w:p>
    <w:p>
      <w:pPr>
        <w:ind w:left="660" w:right="14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8" w:lineRule="exact"/>
        <w:rPr>
          <w:rFonts w:ascii="Arial" w:cs="Arial" w:eastAsia="Arial" w:hAnsi="Arial"/>
          <w:sz w:val="18"/>
          <w:szCs w:val="18"/>
          <w:color w:val="auto"/>
        </w:rPr>
      </w:pPr>
    </w:p>
    <w:p>
      <w:pPr>
        <w:ind w:left="660" w:right="76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local regulatory requirements, including restrictions on content, imposition of local content quotas and restrictions on foreign ownership;</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privacy and data protection laws and regulations, as well as data localization requirements, and changes in these laws and requirements;</w:t>
      </w:r>
    </w:p>
    <w:p>
      <w:pPr>
        <w:spacing w:after="0" w:line="86" w:lineRule="exact"/>
        <w:rPr>
          <w:rFonts w:ascii="Arial" w:cs="Arial" w:eastAsia="Arial" w:hAnsi="Arial"/>
          <w:sz w:val="16"/>
          <w:szCs w:val="16"/>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 and acts of terrorism; and</w:t>
      </w:r>
    </w:p>
    <w:p>
      <w:pPr>
        <w:spacing w:after="0" w:line="63"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6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business is affected by prevailing economic and financial conditions in the United States and other countries. We derive substantial revenues from advertisers, and these expenditures are sensitive to general economic conditions and consumer buying patterns. Financial instability, a general decline in economic conditions, including as a result of the COVID-19 pandemic, disruptions to financial markets, inflation, recession, high unemployment or geopolitical events (including the war between Russia and Ukraine), or fears about such events occurring, in the United States and other countries where our networks are distributed, have in the past adversely affected advertising rates and volume, which has resulted in a decrease in our advertising revenues.</w:t>
      </w:r>
    </w:p>
    <w:p>
      <w:pPr>
        <w:spacing w:after="0" w:line="5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 from MVPDs, which could, in turn, have a negative impact on our viewing subscribers and subscription fee revenues. Similarly, a decrease in viewing subscribers could have a negative impact on the number of viewers actually watching the programs on our programming networks, thereby impacting the rates we are able to charge advertisers.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firstLine="405"/>
        <w:spacing w:after="0" w:line="273" w:lineRule="auto"/>
        <w:rPr>
          <w:sz w:val="20"/>
          <w:szCs w:val="20"/>
          <w:color w:val="auto"/>
        </w:rPr>
      </w:pPr>
      <w:r>
        <w:rPr>
          <w:rFonts w:ascii="Arial" w:cs="Arial" w:eastAsia="Arial" w:hAnsi="Arial"/>
          <w:sz w:val="17"/>
          <w:szCs w:val="17"/>
          <w:color w:val="auto"/>
        </w:rPr>
        <w:t>Economic conditions affect a number of aspects of our businesses worldwide and impact the businesses of advertisers on our networks. Adverse economic conditions have resulted in and could in the future result in advertisers reducing their spending on advertising and negatively affect the ability of those with whom we do business to satisfy their obligations to us. The worsening of current global economic conditions has in the past adversely affected, and could in the future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have had and could have in the future an adverse effect on our results of operations.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MVPD industries, our business could be affected.</w:t>
      </w:r>
    </w:p>
    <w:p>
      <w:pPr>
        <w:spacing w:after="0" w:line="4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regulation of cable television operators,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 of us or of our competitors.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Programming businesses are subject to the regulations of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Existing or proposed legislation and regulations could also significantly affect our business. For example, the E.U. adopted GDPR, which expands the regulation of personal data processing throughout the E.U. and significantly increases penalties for non-compliance. Complying with these laws and regulations could be costly, require us to change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practices, or limit or restrict aspects of our business in a manner adverse to our business operations. In particular, certain data privacy laws have required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 could result in exposure to enforcement actions by foreign governments, as well as significant negative publicity and reputational damage.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foreign rules and regulations could have a significant adverse impact on our profitability.</w:t>
      </w:r>
    </w:p>
    <w:p>
      <w:pPr>
        <w:spacing w:after="0" w:line="11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risks, which could result in the disclosure, theft or destruction of confidential information, disruption of our programming, damage to our brands and reputation, legal exposure and financial losses.</w:t>
      </w:r>
    </w:p>
    <w:p>
      <w:pPr>
        <w:spacing w:after="0" w:line="6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maintain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Hybrid work arrangements increase the risk of cyber incidents, including data breaches. Additionally, outside parties from time to time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5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rely upon cloud computing services to operate certain aspects of our business and any disruption of or interference with our use of these services would impact our operations and our business would be adversely impacted.</w:t>
      </w:r>
    </w:p>
    <w:p>
      <w:pPr>
        <w:spacing w:after="0" w:line="4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Cloud computing services, such as Amazon Web Services (“AWS”), provide a distributed computing infrastructure platform for business operations. We have architected our software and computer systems so as to utilize data processing, storage capabilities and other services provided by AWS or other third parties. Such third parties’ facilities are vulnerable to damage or interruption from natural disasters, cybersecurity attacks, terrorist attacks, power outages and similar events or acts of misconduct. Currently, we run the vast majority of our computing on AWS. We have experienced, and we expect that in the future we will experience, interruptions, delays and outages in service and availability from AWS and other third-party service providers from time to time due to a variety of factors, including infrastructure changes, human or software errors, website hosting disruptions and capacity constraints. Given this, along with the fact that we cannot easily switch our AWS operations to another cloud provider, without significant costs, or at all, any disruption of or interference with our use of AWS would impact our operations and our business.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If our technology facilities fail or their operations are disrupted, or if we lose access to third party satellites, our performance could be hindered.</w:t>
      </w:r>
    </w:p>
    <w:p>
      <w:pPr>
        <w:spacing w:after="0" w:line="1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which is capable of providing simultaneous playout of AMC, BBCA, SundanceTV, IFC and WEtv in the event of a disruption of operations at our main facility in Bethpage, NY. In the event of a catastrophic failure of the Bethpage facility, the disaster recovery site can be operational on the satellite within one to two hours.</w:t>
      </w:r>
    </w:p>
    <w:p>
      <w:pPr>
        <w:spacing w:after="0" w:line="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themselves fail. Further, there are a limited number of communications satellites available for the transmission of programming, and, in the event of a disruption, we may not be able to secure an alternate distribution source in a timely manner.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Any labor disputes or a strike by one or more unions representing any of these parties who are essential to our original programming could have a material adverse effect on our original programming, disrupt our operations and reduce our revenues. We may also be impacted by perceptions relating to reductions in force that we have conducted in the past in order to optimize our organizational structure and reduce costs and the departure of certain senior personnel for various reasons. The loss of any significant personnel or artistic talent, or our artistic talent losing their audience base, could also have a material adverse effect on our business.</w:t>
      </w:r>
    </w:p>
    <w:p>
      <w:pPr>
        <w:spacing w:after="0" w:line="7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Our operations and business have in the past been, and could in the future be, materially adversely impacted by a pandemic or other health emergency.</w:t>
      </w:r>
    </w:p>
    <w:p>
      <w:pPr>
        <w:spacing w:after="0" w:line="49"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Pandemics, such as the COVID-19 pandemic, and public health emergencies have affected and may, in the future, adversely affect our businesses. We experienced adverse advertising sales impacts and suspended content production as a result of the COVID-19 pandemic, which led to delays in the creation and availability of substantially all of our programming. If significant portions of our workforce, including key personnel, are unable to work effectively because of illness, government actions or other restrictions in connection with a pandemic or other public health emergency, the impact on our</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businesses could be exacerbated. In addition, remote work arrangements heighten the operational risks, including cybersecurity risks, to which we are subject.</w:t>
      </w:r>
    </w:p>
    <w:p>
      <w:pPr>
        <w:jc w:val="both"/>
        <w:ind w:firstLine="445"/>
        <w:spacing w:after="0" w:line="234" w:lineRule="auto"/>
        <w:rPr>
          <w:sz w:val="20"/>
          <w:szCs w:val="20"/>
          <w:color w:val="auto"/>
        </w:rPr>
      </w:pPr>
      <w:r>
        <w:rPr>
          <w:rFonts w:ascii="Arial" w:cs="Arial" w:eastAsia="Arial" w:hAnsi="Arial"/>
          <w:sz w:val="18"/>
          <w:szCs w:val="18"/>
          <w:color w:val="auto"/>
        </w:rPr>
        <w:t>We cannot reasonably predict the ultimate impact of any pandemic or public health emergency, including the extent of any adverse impact on our business, results of operations and financial condition, which will depend on, among other things, the duration and spread of the pandemic or public health emergency, the impact of governmental regulations that have been, and may continue to be, imposed in response, the effectiveness of actions taken to contain or mitigate the outbreak, the availability, safety and efficacy of vaccines, including against emerging variants of the infectious disease, and global economic conditions.</w:t>
      </w:r>
    </w:p>
    <w:p>
      <w:pPr>
        <w:spacing w:after="0" w:line="2"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8"/>
          <w:szCs w:val="18"/>
          <w:color w:val="auto"/>
        </w:rPr>
        <w:t>In addition to the risks described above, to the extent that a pandemic or other public health emergency adversely affects our operations and financial condition, it may also heighten other risks described in this section.</w:t>
      </w:r>
    </w:p>
    <w:p>
      <w:pPr>
        <w:spacing w:after="0" w:line="2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We may not be successful in achieving sustaining or improving operating expense reductions, and might experience business disruptions associated with restructuring and cost reduction activities.</w:t>
      </w:r>
    </w:p>
    <w:p>
      <w:pPr>
        <w:spacing w:after="0" w:line="184"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Our business has been, and may in the future be, the subject of restructuring and cost reduction initiatives. For example, we recently announced our plans to implement a restructuring plan designed to achieve significant cost reductions. We may not be successful in achieving the full cost reduction benefits we expect over the timeframe we expect, or at all, and the ongoing costs of implementing cost reduction and restructuring measures might be greater than anticipated. If these measures are not successful or sustainable, we may undertake additional restructuring and cost reduction efforts, which could result in future restructuring charges. Moreover, our ability to achieve our other strategic goals and business plans might be adversely affected, and we could experience business disruptions, if our restructuring efforts and cost reduction activities prove ineffective. These actions may also distract management from other business opportunities and adversely impact employee productivity and morale.</w:t>
      </w:r>
    </w:p>
    <w:p>
      <w:pPr>
        <w:spacing w:after="0" w:line="186"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acquisitions and strategic investments that we are able to identify and complete may be accompanied by a number of risks,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6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6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resulting in a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jc w:val="both"/>
        <w:ind w:firstLine="405"/>
        <w:spacing w:after="0" w:line="273" w:lineRule="auto"/>
        <w:rPr>
          <w:sz w:val="20"/>
          <w:szCs w:val="20"/>
          <w:color w:val="auto"/>
        </w:rPr>
      </w:pPr>
      <w:r>
        <w:rPr>
          <w:rFonts w:ascii="Arial" w:cs="Arial" w:eastAsia="Arial" w:hAnsi="Arial"/>
          <w:sz w:val="17"/>
          <w:szCs w:val="17"/>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A significant amount of our book value consists of intangible assets that may not generate cash in the event of a voluntary or involuntary sale.</w:t>
      </w:r>
    </w:p>
    <w:p>
      <w:pPr>
        <w:spacing w:after="0" w:line="1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December 31, 2022, our consolidated financial statements included approximately $5.6 billion of consolidated total assets, of which approximately $1.0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2022, we had $2.8 billion principal amount of total long-term debt (excluding finance leases), $641.3 million of which is senior secured debt under our Credit Facility and $2.2 billion of which is senior unsecured debt.</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and our ability to borrow additional funds in the future.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will need to refinance our existing indebtedness as it matures, and we do not expect to generate sufficient cash from operations to repay at maturity our outstanding debt obligations. As a result, we will be dependent upon our ability to access the capital and credit markets. Market conditions, including further changes in interest rates, may increase the risk that the terms of any refinancing will not be as favorable as the terms of the existing debt (including agreeing to more restrictive covenants on our business or needing to provide collateral securing the debt), or that we may not be able to refinance the existing debt at all. Failure to raise significant amounts of funding to repay these obligations at maturity on terms favorable to us, or at all, could adversely affect our business. If we are unable to raise such amounts, we would need to take other actions including reducing investments in new programming, selling assets, seeking strategic investments from third parties or reducing other discretionary uses of cash, any of which could adversely impact our business and financial condition. The Credit Facility and indentures governing our notes restrict, and market or business conditions may limit, our ability to do some of these things.</w:t>
      </w:r>
    </w:p>
    <w:p>
      <w:pPr>
        <w:spacing w:after="0" w:line="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Although a significant amount of our outstanding debt has fixed interest rates, borrowings under our Credit Facility bear interest at variable rates. For example, our interest expense increased from approximately $129.1 million in 2021 to approximately $133.8 million in 2022 despite a relative constant amount of outstanding principal amount of total debt. As a result, increases in market interest rates have increased our interest expense and our debt service obligations. If interest rates were to continue rising, this would further increase the amount of interest expense that we would have to pay for borrowings under the Credit Facility. While we have in the past entered into hedging agreements limiting our exposure to higher interest rates, we did not have any interest rate swap contracts outstanding at December 31, 2022. We may enter into hedging agreements in the future, however any such agreements do not offer complete protection from this risk.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strategic transactions;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the Credit Facility. Compliance with these covenants may limit our ability to take actions, including repurchasing our common stock or making investments, that might be to our advantage or to the advantage of our stockholders.</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4"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121" w:lineRule="exact"/>
        <w:rPr>
          <w:sz w:val="20"/>
          <w:szCs w:val="20"/>
          <w:color w:val="auto"/>
        </w:rPr>
      </w:pPr>
    </w:p>
    <w:p>
      <w:pPr>
        <w:ind w:left="420" w:right="80"/>
        <w:spacing w:after="0" w:line="375"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classes of common stock:</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December 31, 2022, the Dolan family, including trusts for the benefit of members of the Dolan family (collectively "the Dolan Family Group"), own all of our Class B Common Stock, approximately 3% of our outstanding Class A Common Stock and approximately 79% of the total voting power of all our outstanding common stock. The members of the Dolan Family Group have executed a voting agreement (the "Stockholders Agreement") that has the effect of causing the voting power of the holders of our Class B Common Stock to be cast as provided therein with respect to all matters to be voted on by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7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63"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8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exercise of registration rights by certain of our shareholders, could adversely affect the trading price of our Class A Common Stock.</w:t>
      </w:r>
    </w:p>
    <w:p>
      <w:pPr>
        <w:spacing w:after="0" w:line="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parties have registration rights covering a portion of our shares. We have entered into registration rights agreements with Charles F. Dolan, members of his family, certain Dolan family interests and the Dolan Family Foundation that provide them with "demand" and "piggyback" registration rights with respect to approximately 12.3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share certain executives and directors with Madison Square Garden Sports Corp. ("MSGS") and Madison Square Garden Entertainment Corp. ("MSGE"), which may give rise to conflicts.</w:t>
      </w:r>
    </w:p>
    <w:p>
      <w:pPr>
        <w:spacing w:after="0" w:line="49" w:lineRule="exact"/>
        <w:rPr>
          <w:sz w:val="20"/>
          <w:szCs w:val="20"/>
          <w:color w:val="auto"/>
        </w:rPr>
      </w:pPr>
    </w:p>
    <w:p>
      <w:pPr>
        <w:jc w:val="both"/>
        <w:ind w:firstLine="445"/>
        <w:spacing w:after="0" w:line="250" w:lineRule="auto"/>
        <w:rPr>
          <w:sz w:val="20"/>
          <w:szCs w:val="20"/>
          <w:color w:val="auto"/>
        </w:rPr>
      </w:pPr>
      <w:r>
        <w:rPr>
          <w:rFonts w:ascii="Arial" w:cs="Arial" w:eastAsia="Arial" w:hAnsi="Arial"/>
          <w:sz w:val="17"/>
          <w:szCs w:val="17"/>
          <w:color w:val="auto"/>
        </w:rPr>
        <w:t>One of our executives, Gregg G. Seibert, serves as a Vice Chairman of the Company and as a Vice Chairman of MSGS and MSGE (each, an "Other Entity" and, collectively the "Other Entities"). Each of the Other Entities and the Company are affiliates by virtue of being under common control of the Dolan family. As a result, he will not be devoting his full time and attention to the Company's affairs. Seven members of our Board of Directors, including our Chairman, are directors of MSGS and seven members of our Board of Directors, including our Chairman, are directors of MSGE.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proxy statement filed with the SEC on April 29, 2022 for a description of our related party transaction approval policy that we have adopted to help address such potential conflicts that may arise.</w:t>
      </w:r>
    </w:p>
    <w:p>
      <w:pPr>
        <w:spacing w:after="0" w:line="93"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3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Our amended and restated certificate of incorporation acknowledges that directors and officers of the Company may also be serving as directors, officers, employees, consultants or agents of MSGS, MSGE, and its subsidiaries and that we may engage in material business transactions with such entities (the applicable provisions of the amended and restated certificate of incorporation, the "Overlap Provisions").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lease approximately 904,000 square feet of space in the United States,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Georgia, Florida, Texas, Maryland and Illinois.</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lease approximately 177,000 square feet of space outside of the U.S., including in Spain, Hungary and the U.K. that support our international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properties are adequate for our 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both"/>
        <w:spacing w:after="0" w:line="285" w:lineRule="auto"/>
        <w:rPr>
          <w:sz w:val="20"/>
          <w:szCs w:val="20"/>
          <w:color w:val="auto"/>
        </w:rPr>
      </w:pPr>
      <w:r>
        <w:rPr>
          <w:rFonts w:ascii="Arial" w:cs="Arial" w:eastAsia="Arial" w:hAnsi="Arial"/>
          <w:sz w:val="16"/>
          <w:szCs w:val="16"/>
          <w:color w:val="auto"/>
        </w:rPr>
        <w:t>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In December 2022, the parties entered into an agreement to resolve through confidential binding arbitration the remaining claims in the litigation (consisting mainly of ordinary course profit participation audit claims), which had been scheduled for a February 2023 jury trial. As a result, on January 9, 2023, the Plaintiffs filed with the court a notice of dismissal of the remaining claims, and on January 19, 2023, the court formally dismissed the case. On January, 26, 2023, the Plaintiffs filed a notice of appeal of the court’s post-trial, demurrer, and summary adjudication decisions. The Company believes the two remaining claims in the case for breach of contract, which will now be resolved through confidential binding arbitration, are without merit and is continuing to defend against them. At this time, no determination can be made as to the ultimate outcome of this litigation or the potential liability, if any, on the part of the Company.</w:t>
      </w:r>
    </w:p>
    <w:p>
      <w:pPr>
        <w:spacing w:after="0" w:line="6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bring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Graph</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following graph compares the performance of the Company's Class A Common Stock with the performance of the S&amp;P Mid-Cap 400 Index and a peer group (the "Peer Group Index") by measuring the changes in our Class A Common Stock prices from December 31, 2017 through December 31, 2022.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Warner Bros. Discovery, Inc., the Walt Disney Company, Fox Corporation (included from March 19, 2019, when trading began), Lions Gate Entertainment Corporation, Nexstar Media Group, Inc., Roku, Inc., and Paramount Global. The chart assumes $100 was invested on December 31, 2017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49530</wp:posOffset>
            </wp:positionV>
            <wp:extent cx="5623560" cy="3197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235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INDEXED RETURNS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260" w:type="dxa"/>
            <w:vAlign w:val="bottom"/>
            <w:gridSpan w:val="2"/>
          </w:tcPr>
          <w:p>
            <w:pPr>
              <w:ind w:left="220"/>
              <w:spacing w:after="0" w:line="151" w:lineRule="exact"/>
              <w:rPr>
                <w:sz w:val="20"/>
                <w:szCs w:val="20"/>
                <w:color w:val="auto"/>
              </w:rPr>
            </w:pPr>
            <w:r>
              <w:rPr>
                <w:rFonts w:ascii="Arial" w:cs="Arial" w:eastAsia="Arial" w:hAnsi="Arial"/>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12/31/18</w:t>
            </w: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12/31/19</w:t>
            </w: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12/31/20</w:t>
            </w: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12/31/21</w:t>
            </w: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12/31/22</w:t>
            </w: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12/31/17</w:t>
            </w: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101.48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73.04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66.14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63.68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28.98</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S&amp;P MidCap 400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88.92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112.21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127.54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159.12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138.34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98.14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127.85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156.98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73.94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4" w:name="page35"/>
    <w:bookmarkEnd w:id="34"/>
    <w:p>
      <w:pPr>
        <w:ind w:left="460" w:right="240"/>
        <w:spacing w:after="0" w:line="375" w:lineRule="auto"/>
        <w:rPr>
          <w:sz w:val="20"/>
          <w:szCs w:val="20"/>
          <w:color w:val="auto"/>
        </w:rPr>
      </w:pPr>
      <w:r>
        <w:rPr>
          <w:rFonts w:ascii="Arial" w:cs="Arial" w:eastAsia="Arial" w:hAnsi="Arial"/>
          <w:sz w:val="18"/>
          <w:szCs w:val="18"/>
          <w:color w:val="auto"/>
        </w:rPr>
        <w:t xml:space="preserve">As of February 10, 2023, there were 548 holders of record of our Class A Common Stock and 34 holders of record of our Class B Common Stock. </w:t>
      </w:r>
      <w:r>
        <w:rPr>
          <w:rFonts w:ascii="Arial" w:cs="Arial" w:eastAsia="Arial" w:hAnsi="Arial"/>
          <w:sz w:val="18"/>
          <w:szCs w:val="18"/>
          <w:u w:val="single" w:color="auto"/>
          <w:color w:val="auto"/>
        </w:rPr>
        <w:t>Stock Repurchase Program</w:t>
      </w:r>
    </w:p>
    <w:p>
      <w:pPr>
        <w:spacing w:after="0" w:line="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The Company did not repurchase any shares of its Class A common stock during the year ended December 31, 2022. As of December 31, 2022, the Company had $135.3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This section provides an analysis of our results of operations for the years ended December 31,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discussion is presented on both a consolidated and segment basis. Our two segments are: (i) Domestic Operations and (ii) International and Other. Analysis of our results of operations, on both a consolidated and segment basis, for the year ended December 31, 2020, including a comparison of 2021 to 2020, is included in our Annual Report on Form 10-K for the year ended December 31, 2021.</w:t>
      </w:r>
    </w:p>
    <w:p>
      <w:pPr>
        <w:spacing w:after="0" w:line="79"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provides a discussion of our financial condition as of December 31, 2022 as well as an analysis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for the years ended December 31, 2022 and 2021. The discussion of our financial condition and liquidity also includes a summary of our primary sources of liquidity. Analysis of our cash flows for the year ended December 31, 2020 is included in our Annual Report on Form 10-K for the year ended December 31, 2021.</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139" w:lineRule="exact"/>
        <w:rPr>
          <w:sz w:val="20"/>
          <w:szCs w:val="20"/>
          <w:color w:val="auto"/>
        </w:rPr>
      </w:pPr>
    </w:p>
    <w:p>
      <w:pPr>
        <w:jc w:val="both"/>
        <w:ind w:firstLine="445"/>
        <w:spacing w:after="0" w:line="229"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(loss) ("AOI")</w:t>
      </w:r>
      <w:r>
        <w:rPr>
          <w:rFonts w:ascii="Arial" w:cs="Arial" w:eastAsia="Arial" w:hAnsi="Arial"/>
          <w:sz w:val="23"/>
          <w:szCs w:val="23"/>
          <w:color w:val="auto"/>
          <w:vertAlign w:val="superscript"/>
        </w:rPr>
        <w:t>(1)</w:t>
      </w:r>
      <w:r>
        <w:rPr>
          <w:rFonts w:ascii="Arial" w:cs="Arial" w:eastAsia="Arial" w:hAnsi="Arial"/>
          <w:sz w:val="18"/>
          <w:szCs w:val="18"/>
          <w:color w:val="auto"/>
        </w:rPr>
        <w:t>,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58"/>
        </w:trPr>
        <w:tc>
          <w:tcPr>
            <w:tcW w:w="2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2,675,142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2,580,616</w:t>
            </w: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511,317</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47.4 %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3,077,608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5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37,167</w:t>
            </w: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489,922</w:t>
            </w: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Operating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Domestic Operations</w:t>
            </w:r>
          </w:p>
        </w:tc>
        <w:tc>
          <w:tcPr>
            <w:tcW w:w="38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789,396</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845,441</w:t>
            </w:r>
          </w:p>
        </w:tc>
        <w:tc>
          <w:tcPr>
            <w:tcW w:w="1760" w:type="dxa"/>
            <w:vAlign w:val="bottom"/>
            <w:tcBorders>
              <w:top w:val="single" w:sz="8" w:color="CCEEFF"/>
            </w:tcBorders>
            <w:gridSpan w:val="3"/>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83,294</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816,070</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0" w:firstLine="8"/>
        <w:spacing w:after="0" w:line="273" w:lineRule="auto"/>
        <w:tabs>
          <w:tab w:leader="none" w:pos="21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Adjusted Operating Income (Loss), is a non-GAAP financial measure. See the "Non-GAAP Financial Measures" section on page 46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Restructuring and other related charges</w:t>
      </w:r>
    </w:p>
    <w:p>
      <w:pPr>
        <w:spacing w:after="0" w:line="1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On November 28, 2022, the Company commenced a restructuring plan (the “Plan”) designed to achieve significant cost reductions in light of “cord cutting” and the related impacts being felt across the media industry as well as the broader economic outlook. The Plan encompasses initiatives that include, among other things, strategic programming assessments and organizational restructuring costs. The programming assessments pertain to a broad mix of owned and licensed content, including legacy television series and films that will no longer be in active rotation on the Company’s linear or streaming platforms. As a result of the Plan, the Company recorded restructuring and other related charges of $449.0 million for the year ended December 31, 2022, consisting of content impairments of $403.8 million and severance and other personnel costs of $45.2 million. The Company expects to incur additional restructuring and other related charges in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AMC+ and other streaming initiatives. Our AMC Studios operation produces original programming for our programming services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to the consolidated financial statements for additional information relating to the 2021 spin-off of the Levity comedy venues business.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Operations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typically based on a per subscriber fee and are generally paid by distributors and consumers on a monthly basis. Content licensing revenue is earned from the licensing of original programming for digital, foreign and home video distribution and is recognized upon availability or distribution by the licensee.</w:t>
      </w:r>
    </w:p>
    <w:p>
      <w:pPr>
        <w:spacing w:after="0" w:line="7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5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Changes in revenue are primarily derived from changes in the contractual subscription rates charged for our services; the number of subscribers; the prices and number of advertising spots on our networks; and the availability, amount and timing of licensing fees earned from the distribution of our original programming. Our revenues may increase over time through contractual rate increases stipulated in our affiliation agreements.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help fund the distributors' efforts to market our networks. We believe that these transactions generate a positive return on investment over the contract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period. We seek to increase our advertising revenues by increasing the rates we charge for such advertising, which is directly related to the overall distribution of our programming, penetration of our services on various digital platforms such as AVOD and FAST services, integration of our advanced advertising products, and the popularity (including within desirable demographic groups) of our services as measured by Nielsen.</w:t>
      </w:r>
    </w:p>
    <w:p>
      <w:pPr>
        <w:spacing w:after="0" w:line="5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 Content licensing revenues in each quarter may vary based on the timing of availability of our programming to distributors.</w:t>
      </w:r>
    </w:p>
    <w:p>
      <w:pPr>
        <w:spacing w:after="0" w:line="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Programming expenses, included in technical and operating expenses, represent the largest expenses of the Domestic Operations segment and primarily consists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7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monetized as a group are amortized based on projected usage, typically resulting in an accelerated amortization pattern and, to a lesser extent, program rights that are monetized individually are amortized based on the individual-film-forecast-computation method.</w:t>
      </w:r>
    </w:p>
    <w:p>
      <w:pPr>
        <w:spacing w:after="0" w:line="4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Most original series require us to make up-front investments, which are often significant amounts. Our programming efforts are not always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was $403.8 million of program write-offs recorded to restructuring and other related charges in connection with the Company’s strategic programming assessments. Refer to Note 5 to the consolidated financial statements for additional information. Program rights write-offs of $11.1 million were recorded for the year ended December 31, 2021 in technical and operating expense.</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"Critical Accounting Policies and Estimates" for a discussion of the amortization and write-off of program rights.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International and Other segment primarily includes the operations of AMCNI and 25/7 Media (formerly Levity).</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year ended December 31, 2022, distribution revenues represented 81% of the revenues of the International and Other segment.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5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production costs, and participation and residual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could result in a write-off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7"/>
          <w:szCs w:val="17"/>
          <w:color w:val="auto"/>
        </w:rPr>
        <w:t>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5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Similar to our Domestic Operations businesses, the most significant business challenges we expect to encounter in our International and Other businesses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1,618,541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1,568,576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2,224,695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2,126,954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3,077,608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1,515,902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1,432,083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93,881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4226.1 %</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2,587,686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489,922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Net income (loss) from operations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374,232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279,839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Subscription revenues increased 5.8% in our Domestic Operations segment primarily due to an increase in streaming revenues, partially offset by a decline in affiliate revenue. Subscription revenues decreased 10.5% in our International and Other segment primarily due to the unfavorable impact of foreign currency translation at AMCNI.</w:t>
      </w:r>
    </w:p>
    <w:p>
      <w:pPr>
        <w:spacing w:after="0" w:line="76" w:lineRule="exact"/>
        <w:rPr>
          <w:sz w:val="20"/>
          <w:szCs w:val="20"/>
          <w:color w:val="auto"/>
        </w:rPr>
      </w:pPr>
    </w:p>
    <w:p>
      <w:pPr>
        <w:ind w:left="660" w:right="660"/>
        <w:spacing w:after="0" w:line="274" w:lineRule="auto"/>
        <w:rPr>
          <w:sz w:val="20"/>
          <w:szCs w:val="20"/>
          <w:color w:val="auto"/>
        </w:rPr>
      </w:pPr>
      <w:r>
        <w:rPr>
          <w:rFonts w:ascii="Arial" w:cs="Arial" w:eastAsia="Arial" w:hAnsi="Arial"/>
          <w:sz w:val="16"/>
          <w:szCs w:val="16"/>
          <w:color w:val="auto"/>
        </w:rPr>
        <w:t>Subscription revenues vary based on the impact of renewals of affiliation agreements and the number of subscribers to our services. Content licensing and other revenues increased 18.0% in our Domestic Operations segment primarily due to the timing and availability of</w:t>
      </w:r>
    </w:p>
    <w:p>
      <w:pPr>
        <w:spacing w:after="0" w:line="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deliveries in the period, including $125.5 million for the delivery of an AMC Studios produced series to a third party in the fourth quarter of 2022. Content licensing and other revenues decreased 13.1% in our International and Other segment primarily due to the timing of productions at 25/7 Media.</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revenues vary based on the timing of availability of our programming to distributors.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Advertising revenues decreased 6.7% in our Domestic Operations segment primarily due to lower linear ratings, pricing softness, and fewer original programming episodes, partially offset by continued digital and advanced advertising revenue growth. Advertising revenues decreased 20.9% in our International and Other segment primarily due to the planned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wind-down of two channels and softer ratings in the U.K., and the unfavorable impact of foreign currency translation at AMCNI.</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of our advertising revenues vary based on the timing of our original programming series and the popularity of our programming as measured by Nielsen.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Technical and operating expenses (excluding depreciation and amortization) increased 11.0% in our Domestic Operations segment primarily due to costs associated with the delivery of an AMC Studios produced series to a third party in the fourth quarter of 2022 and an increase in program rights amortization, partially offset by a decrease in other direct programming costs. Technical and operating expenses (excluding depreciation and amortization) decreased 15.2% in our International and Other segment primarily due to the favorable impact of foreign currency translation at AMCNI, the timing of productions at 25/7 Media, and cost savings associated with the planned wind-down of two channels in the U.K.</w:t>
      </w:r>
    </w:p>
    <w:p>
      <w:pPr>
        <w:spacing w:after="0" w:line="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Technical and operating expense includes write-offs of $12.8 million for the year ended December 31, 2021. Programming write-offs are based on management's periodic assessment of programming usefulness.</w:t>
      </w:r>
    </w:p>
    <w:p>
      <w:pPr>
        <w:spacing w:after="0" w:line="6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may be significant changes in the level of our technical and operating expenses due to original programming costs and/or content acquisition costs. As additional competition for programming increases, costs for content acquisition and original programming may increase.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Selling, general and administrative expenses (including share-based compensation expenses) increased 3.3% in our Domestic Operations segment primarily due to higher employee related costs, partially offset by lower share-based compensation expenses. Selling, general and administrative expenses (including share-based compensation expenses) decreased 6.4% in our International and other segment primarily related to the favorable impact of foreign currency translation at AMCNI and a decrease in administrative expenses at 25/7 Media, and decreased 4.9% in Corporate due to lower share-based compensation expenses.</w:t>
      </w:r>
    </w:p>
    <w:p>
      <w:pPr>
        <w:spacing w:after="0" w:line="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There may be significant changes in the level of our selling, general and administrative expense due to the timing of promotions and marketing of original programming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Depreciation and amortization increased in Corporate due to higher depreciation of equipment and in our Domestic Operations segment due to the amortization of finite-lived intangible assets acquired in connection with the acquisition of Sentai Holdings in the fourth quarter of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2022, in connection with the preparation of our fourth quarter financial information, the Company performed its annual goodwill impairment test and concluded that the estimated fair value of the AMCNI reporting unit declined to less than its carrying amount. The decrease in the estimated fair value was in response to current and expected trends across the International television broadcasting markets, as well as a decrease in the valuation multiples used to estimate the fair value using the market approach. As a result, the Company recognized an impairment charge of $40.7 million, reflecting a partial write-down of the goodwill associated with the AMCNI reporting unit.</w:t>
      </w:r>
    </w:p>
    <w:p>
      <w:pPr>
        <w:spacing w:after="0" w:line="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The consolidated cases were initially brought in 2013 and 2018 and the trial of the consolidated cases was scheduled to commence on April 4, 2022. The Settlement Agreement provided for a cash payment of $200 million (the “Settlement Payment”) to the Plaintiffs and future revenue sharing related to certain future streaming exhibition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w:t>
      </w:r>
      <w:r>
        <w:rPr>
          <w:rFonts w:ascii="Arial" w:cs="Arial" w:eastAsia="Arial" w:hAnsi="Arial"/>
          <w:sz w:val="17"/>
          <w:szCs w:val="17"/>
          <w:i w:val="1"/>
          <w:iCs w:val="1"/>
          <w:color w:val="auto"/>
        </w:rPr>
        <w:t>Fear The</w:t>
      </w:r>
      <w:r>
        <w:rPr>
          <w:rFonts w:ascii="Arial" w:cs="Arial" w:eastAsia="Arial" w:hAnsi="Arial"/>
          <w:sz w:val="17"/>
          <w:szCs w:val="17"/>
          <w:color w:val="auto"/>
        </w:rPr>
        <w:t xml:space="preserve"> </w:t>
      </w:r>
      <w:r>
        <w:rPr>
          <w:rFonts w:ascii="Arial" w:cs="Arial" w:eastAsia="Arial" w:hAnsi="Arial"/>
          <w:sz w:val="17"/>
          <w:szCs w:val="17"/>
          <w:i w:val="1"/>
          <w:iCs w:val="1"/>
          <w:color w:val="auto"/>
        </w:rPr>
        <w:t>Walking Dead</w:t>
      </w:r>
      <w:r>
        <w:rPr>
          <w:rFonts w:ascii="Arial" w:cs="Arial" w:eastAsia="Arial" w:hAnsi="Arial"/>
          <w:sz w:val="17"/>
          <w:szCs w:val="17"/>
          <w:color w:val="auto"/>
        </w:rPr>
        <w:t>. With regard to the Settlement Payment, the Company recorded a charge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 xml:space="preserve">$143.0 million, included in Impairment and other charges, in consideration for the extinguishment of Plaintiffs’ rights to any compensation in connection with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any related programs and the dismissal of the actions with prejudice, which amount is net of $57.0 million of ordinary course accrued participations.</w:t>
      </w:r>
    </w:p>
    <w:p>
      <w:pPr>
        <w:spacing w:after="0" w:line="76" w:lineRule="exact"/>
        <w:rPr>
          <w:sz w:val="20"/>
          <w:szCs w:val="20"/>
          <w:color w:val="auto"/>
        </w:rPr>
      </w:pPr>
    </w:p>
    <w:p>
      <w:pPr>
        <w:jc w:val="both"/>
        <w:ind w:firstLine="445"/>
        <w:spacing w:after="0" w:line="246"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its obligations, principally related to leases. As a result of this divestiture, the Company recognized a loss on the disposal of $16.6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2022, restructuring and other related charges consisted of $403.8 million of strategic programming assessments and $45.2 million of organizational restructuring costs. Of the $449.0 million total charge, $423.2 million related to Domestic Operations, $2.9 million related to AMCNI, and $22.9 million related to Corporate.</w:t>
      </w:r>
    </w:p>
    <w:p>
      <w:pPr>
        <w:spacing w:after="0" w:line="6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For 2021, restructuring and other related charges consisted of (i) $6.1 million at AMCNI related to severance costs and the termination of distribution in certain international territories and (ii) $4.3 million of severance costs associated with the restructuring plan announced in November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operating income was primarily attributable to increases in restructuring and other related charges of $438.6 million and technical and operating expenses of $83.8 million, partially offset by a decrease in impairment and other charges of $118.9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interest expense, net was primarily due to higher interest rates on our Term Loan A Facility, partially offset by higher interest income and lower average daily balances and the refinancing of a portion of our outstanding senior notes at a lower interest rate in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loss on the extinguishment of debt for the year ended December 31, 2022.</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year ended December 31, 2021 of $22.1 million representing a redemption premium on the 5.00% senior notes due 2024, and the write-off of a portion of the unamortized discount and deferred financing costs related to both issuances.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decrease in miscellaneous, net of $21.6 million was primarily related to a $13.4 million unfavorable variance in the foreign currency remeasurement of monetary assets and liabilities (principally intercompany loans) that are denominated in currencies other than the underlying functional currency of the applicable entity and the impact of a $12.3 million gain recorded in the prior year in connection with the Company's acquisition of the remaining 50% interest in an equity method investment, partially offset by a $7.5 million impact of higher net gains from the sale of certain marketable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 (expense)</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Income tax benefit was $41.0 million for 2022, representing an effective tax rate of 137%. The effective tax rate differs from the federal statutory rate of 21% due primarily to state and local income tax benefit of $6.0 million and tax benefit of $70.4 million related to the deemed liquidation of a wholly-owned controlled foreign corporation, partially offset by tax expense of $32.6 million resulting from a net increase in valuation allowances for foreign deferred tax assets, state net operating losses and excess capital losses and tax expense of $10.4 million related to non-deductible compensation expense.</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Income tax expense was $94.4 million for 2021, representing an effective tax rate of 25%. The effective tax rate differs from the federal statutory rate of 21% due primarily to state and local income tax expense of $11.7 million, tax expense of $9.6 million resulting from a net increase in valuation allowances for foreign deferred tax assets, tax expense of $8.3 million related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to non-deductible compensation expense, partially offset by $5.5 million of tax benefit related to nontaxable income attributable to noncontrolling interests and tax benefit of $4.7 million for excess tax benefits related to share-based compensation.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1,395,026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1,318,732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1,886,896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1,735,630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844,986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2,580,616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Technical and operating expenses (excluding depreciation and amortization)</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596,559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23"/>
        </w:trPr>
        <w:tc>
          <w:tcPr>
            <w:tcW w:w="6900" w:type="dxa"/>
            <w:vAlign w:val="bottom"/>
          </w:tcPr>
          <w:p>
            <w:pPr>
              <w:ind w:left="300"/>
              <w:spacing w:after="0"/>
              <w:rPr>
                <w:sz w:val="20"/>
                <w:szCs w:val="20"/>
                <w:color w:val="auto"/>
              </w:rPr>
            </w:pPr>
            <w:r>
              <w:rPr>
                <w:rFonts w:ascii="Arial" w:cs="Arial" w:eastAsia="Arial" w:hAnsi="Arial"/>
                <w:sz w:val="18"/>
                <w:szCs w:val="18"/>
                <w:color w:val="auto"/>
              </w:rPr>
              <w:t>Segment adjusted 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60" w:hanging="190"/>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Technical and operating expenses excludes cloud computing amortization</w:t>
      </w:r>
    </w:p>
    <w:p>
      <w:pPr>
        <w:spacing w:after="0" w:line="41" w:lineRule="exact"/>
        <w:rPr>
          <w:rFonts w:ascii="Arial" w:cs="Arial" w:eastAsia="Arial" w:hAnsi="Arial"/>
          <w:sz w:val="14"/>
          <w:szCs w:val="14"/>
          <w:color w:val="auto"/>
        </w:rPr>
      </w:pPr>
    </w:p>
    <w:p>
      <w:pPr>
        <w:ind w:left="380" w:hanging="21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Selling, general and administrative expenses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Subscription revenues increased primarily due to a 35.4% increase in streaming revenues driven by streaming subscriber growth, partially offset by a 5.8% decline in affiliate revenue. Affiliate revenue decreased due to basic subscriber declines, partially offset by contractual affiliate rate increases.</w:t>
      </w:r>
    </w:p>
    <w:p>
      <w:pPr>
        <w:spacing w:after="0" w:line="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Subscription revenues include revenues related to the Company's streaming services of $501.9 million and $370.8 million for 2022 and 2021, respectively. Aggregate paid subscribers to our streaming services were approximately 11.8 million and 9.0 million at December 31, 2022 and 2021, respectively.</w:t>
      </w:r>
    </w:p>
    <w:p>
      <w:pPr>
        <w:spacing w:after="0" w:line="6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Content licensing and other revenues increased primarily due to the timing and availability of deliveries in the period, including $125.5 million for the delivery of an AMC Studios produced series to a third party in the fourth quarter of 2022 partially offset by the delivery of fewer episodes of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World Beyond </w:t>
      </w:r>
      <w:r>
        <w:rPr>
          <w:rFonts w:ascii="Arial" w:cs="Arial" w:eastAsia="Arial" w:hAnsi="Arial"/>
          <w:sz w:val="18"/>
          <w:szCs w:val="18"/>
          <w:color w:val="auto"/>
        </w:rPr>
        <w:t>and</w:t>
      </w:r>
      <w:r>
        <w:rPr>
          <w:rFonts w:ascii="Arial" w:cs="Arial" w:eastAsia="Arial" w:hAnsi="Arial"/>
          <w:sz w:val="18"/>
          <w:szCs w:val="18"/>
          <w:i w:val="1"/>
          <w:iCs w:val="1"/>
          <w:color w:val="auto"/>
        </w:rPr>
        <w:t xml:space="preserve"> Fear the Walking Dead</w:t>
      </w:r>
      <w:r>
        <w:rPr>
          <w:rFonts w:ascii="Arial" w:cs="Arial" w:eastAsia="Arial" w:hAnsi="Arial"/>
          <w:sz w:val="18"/>
          <w:szCs w:val="18"/>
          <w:color w:val="auto"/>
        </w:rPr>
        <w:t>, both of which were strong contributors in the prior year.</w:t>
      </w:r>
    </w:p>
    <w:p>
      <w:pPr>
        <w:spacing w:after="0" w:line="7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Advertising revenues decreased primarily due to lower linear ratings, softness in the advertising market, and fewer original programming episodes, partially offset by continued digital and advanced advertising revenue growth.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t>The following table presents certain subscriber information for our national programming networks at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41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Estimated U.S. Subscribers as measured by Nielsen</w:t>
            </w: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jc w:val="center"/>
              <w:ind w:left="5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515"/>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Programming Networks: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AMC</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69,900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 tv</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68,200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BBC AMERICA</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64,600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IFC</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SundanceTV</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58,400</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65,900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Technical and operating expenses (excluding depreciation and amortization) increased primarily due to costs associated with the delivery of an AMC Studios produced series to a third party in the fourth quarter of 2022 and an increase in program rights amortization, partially offset by a decrease in other direct programming costs.</w:t>
      </w:r>
    </w:p>
    <w:p>
      <w:pPr>
        <w:spacing w:after="0" w:line="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were no material write-offs included in program rights amortization expense in 2022. Program rights amortization expense includes write-offs $11.1 million for 2021. Programming write-offs are based on management's periodic assessment of programming usefulness.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(excluding share-based compensation expenses) increased primarily due to higher employee related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segment adjusted operating income was primarily attributable to increases in technical and operating expenses of $126.2 million and selling, general and administrative expenses of $29.6 million, partially offset by an increase in revenues of $94.5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223,515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249,844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405,649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511,317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Technical and operating expenses (excluding depreciation and amortization)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124,978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4"/>
                <w:szCs w:val="14"/>
                <w:color w:val="auto"/>
              </w:rPr>
              <w:t>(a) Selling, general and administrative expenses excludes share-based compensation expenses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Content licensing and other revenues decreased primarily due to the timing of productions at 25/7 Media.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firstLine="324"/>
        <w:spacing w:after="0" w:line="261" w:lineRule="auto"/>
        <w:rPr>
          <w:sz w:val="20"/>
          <w:szCs w:val="20"/>
          <w:color w:val="auto"/>
        </w:rPr>
      </w:pPr>
      <w:r>
        <w:rPr>
          <w:rFonts w:ascii="Arial" w:cs="Arial" w:eastAsia="Arial" w:hAnsi="Arial"/>
          <w:sz w:val="18"/>
          <w:szCs w:val="18"/>
          <w:color w:val="auto"/>
        </w:rPr>
        <w:t>Advertising revenues decreased primarily due to the planned wind-down of two channels and softer ratings in the U.K., and the unfavorable impact of foreign currency translation at AMCNI.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Technical and operating expenses (excluding depreciation and amortization) decreased due to the favorable impact of foreign currency translation at AMCNI, the timing of productions at 25/7 Media, and cost savings associated with the planned wind-down of two channels in the U.K.</w:t>
      </w:r>
    </w:p>
    <w:p>
      <w:pPr>
        <w:spacing w:after="0" w:line="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There were no material write-offs included in program rights amortization expense in 2022. Program rights amortization expense includes write-offs $1.7 million for 2021. Programming write-offs are based on management's periodic assessment of programming usefulness.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Selling, general and administrative expenses decreased primarily due to the favorable impact of foreign currency translation at AMCNI and a decrease in administrative expenses at 25/7 Media related to the March 2021 spin off of the comedy 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1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decrease in segment adjusted operating income was primarily attributable to a decrease in revenues of $68.8 million, partially offset by decreases in technical and operating expenses of $45.9 million and selling, general and administrative expenses of $8.5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 Inter-segment Eliminations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Corporate / Inter-segment Eliminations results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6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Technical and operating expenses (excluding depreciation and amortization)</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ind w:left="540" w:hanging="190"/>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Technical and operating expenses excludes cloud computing amortization</w:t>
      </w:r>
    </w:p>
    <w:p>
      <w:pPr>
        <w:spacing w:after="0" w:line="36" w:lineRule="exact"/>
        <w:rPr>
          <w:rFonts w:ascii="Arial" w:cs="Arial" w:eastAsia="Arial" w:hAnsi="Arial"/>
          <w:sz w:val="14"/>
          <w:szCs w:val="14"/>
          <w:color w:val="auto"/>
        </w:rPr>
      </w:pPr>
    </w:p>
    <w:p>
      <w:pPr>
        <w:ind w:left="560" w:hanging="210"/>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Selling, general and administrative expenses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-218440</wp:posOffset>
            </wp:positionV>
            <wp:extent cx="18688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04"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(excluding depreciation and amortization)</w:t>
      </w:r>
    </w:p>
    <w:p>
      <w:pPr>
        <w:spacing w:after="0" w:line="117"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Technical and operating eliminations are primarily related to inter-segment programming amortization recognized between the Domestic Operations and International and Other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25"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Selling, general and administrative expenses decreased primarily due to lower long-term incentive compensation, partially offset by an increase in expenses associated with technology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Year Ended December 31, 2022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107,227</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40,717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448,966</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Year Ended December 31, 2021</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37,167</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159,610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29"/>
        </w:trPr>
        <w:tc>
          <w:tcPr>
            <w:tcW w:w="4560" w:type="dxa"/>
            <w:vAlign w:val="bottom"/>
          </w:tcPr>
          <w:p>
            <w:pPr>
              <w:ind w:left="38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816,070</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Board of Directors previously authorized a program to repurchase up to $1.5 billion of our outstanding shares of common stock (the "Stock Repurchase Program"). The Stock Repurchase Program has no pre-established closing date and may be suspended or discontinued at any time. The Company did not repurchase any shares of its Class A common stock during the year ended December 31, 2022. As of December 31, 2022, the Company had $135.3 million of authorization remaining for repurchase under the Stock Repurchase Program.</w:t>
      </w:r>
    </w:p>
    <w:p>
      <w:pPr>
        <w:spacing w:after="0" w:line="79"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color w:val="auto"/>
        </w:rPr>
        <w:t>Our principal uses of cash include the production, acquisition and promotion of programming, technology investments, debt service and payments for income taxes. We continue to invest in original programming, the funding of which generally occurs six to nine months in advance of a program's airing.</w:t>
      </w:r>
    </w:p>
    <w:p>
      <w:pPr>
        <w:spacing w:after="0" w:line="3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December 31, 2022, our consolidated cash and cash equivalents balance of $930.0 million includes approximately $338.3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5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believe that a combination of cash-on-hand, cash generated from operating activities, availability under our revolving credit facility, borrowings under additional financing facilities and, when we have access to capital and credit markets, proceeds from the sale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then outstanding balances of our debt at the applicable maturity dates. As a result, we will be dependent upon our ability to access the capital and credit markets in order to repay, refinance, repurchase through privately negotiated transactions, tender offers or otherwise or redeem the outstanding balances of our indebtedness. Given the maturity dates of our 5.00% senior notes due 2024 and our 4.75% senior notes due 2025, we may access the capital or credit markets in the near term to refinance those senior notes through privately negotiated transactions, tender offers or redemptions.</w:t>
      </w:r>
    </w:p>
    <w:p>
      <w:pPr>
        <w:spacing w:after="0" w:line="4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18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(26,582)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32,789</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for 2022 and 2021 amounted to $181.8 million and $143.5 million, respectively.</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2022, net cash provided by operating activities primarily resulted from $1,524.6 million of net income before amortization of program rights, depreciation and amortization, and other non-cash items, partially offset by payments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program rights of $1,347.4 million. Changes in all other assets and liabilities during the year resulted in a net cash inflow of $4.6 million.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2021, net cash provided by operating activities primarily resulted from net income before amortization of program rights, depreciation and amortization, and other non-cash items of $1,425.5 million, partially offset by payments for program rights of $1,297.8 million. Changes in all other assets and liabilities resulted in a net cash inflow of $15.8 million.</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for 2022 and 2021 was $39.4 million and $26.6 million, respectively.</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2022, net cash used in investing activities primarily consisted of capital expenditures of $44.3 million and an additional investment in an equity security of $5.0 million, partially offset by proceeds from the sales of a marketable equity security of $9.9 million.</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2021, net cash used in investing activities was primarily related to the acquisition of investments of $30.3 million, payments for the acquisition of a business of $62.1 million, and capital expenditures of $42.6 million, partially offset by proceeds from the sales of investments of $95.4 million and the collection of a loan for $20.0 million. All other changes in investing activities resulted in a decrease of $7.0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financing activities for 2022 and 2021 was $97.1 million and $84.1 million, respectively.</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2022, net cash used in financing activities primarily consisted of distributions to noncontrolling interests of $35.0 million, principal payments on the Term Loan A Facility of $33.8 million, taxes paid in lieu of shares issued for equity-based compensation of $22.3 million, principal payments on finance leases of $3.6 million, and the purchase of noncontrolling interests of $2.5 million.</w:t>
      </w:r>
    </w:p>
    <w:p>
      <w:pPr>
        <w:spacing w:after="0" w:line="7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2021, net cash used in financing activities consisted of principal payments, net of proceeds, on long-term debt (including the redemption of $400 million of 4.75% Notes due December 2022 and $600 million of 5.00% Notes due April 2024) of $30.5 million, taxes paid in lieu of shares issued for equity-based compensation of $32.9 million, and distributions to noncontrolling interests of $29.4 million and payments on finance leases of $3.8 million, partially offset by proceeds from the exercise of stock options of $9.8 million and contributions from noncontrolling interests of $2.7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principal amount of long-term debt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641,250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840" w:type="dxa"/>
            <w:vAlign w:val="bottom"/>
          </w:tcPr>
          <w:p>
            <w:pPr>
              <w:ind w:left="360"/>
              <w:spacing w:after="0"/>
              <w:rPr>
                <w:sz w:val="20"/>
                <w:szCs w:val="20"/>
                <w:color w:val="auto"/>
              </w:rPr>
            </w:pPr>
            <w:r>
              <w:rPr>
                <w:rFonts w:ascii="Arial" w:cs="Arial" w:eastAsia="Arial" w:hAnsi="Arial"/>
                <w:sz w:val="18"/>
                <w:szCs w:val="18"/>
                <w:color w:val="auto"/>
                <w:w w:val="90"/>
              </w:rPr>
              <w:t>5.00%</w:t>
            </w:r>
          </w:p>
        </w:tc>
        <w:tc>
          <w:tcPr>
            <w:tcW w:w="668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29"/>
        </w:trPr>
        <w:tc>
          <w:tcPr>
            <w:tcW w:w="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0"/>
              </w:rPr>
              <w:t>4.25%</w:t>
            </w:r>
          </w:p>
        </w:tc>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due February 2029</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60" w:right="20" w:hanging="647"/>
        <w:spacing w:after="0" w:line="277" w:lineRule="auto"/>
        <w:tabs>
          <w:tab w:leader="none" w:pos="9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December 31, 2022. Total undrawn revolver commitments are available to be drawn for general corporate purposes of the Company.</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8, 2021, we issued $1.0 billion aggregate principal amount of 4.25% senior notes due February 15, 2029 (the “4.25% Notes due 2029”) in a registered public offering and received net proceeds of $982.3 million, after deducting underwriting discounts and commissions and expenses. We used such proceeds to redeem (i) the remaining $400 million principal amount of our 4.75% senior notes due 2022 and (ii) $600 million principal amount of our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we incurred a loss on extinguishment of debt for the year ended December 31, 2021 of $22.1 million representing the redemption premium and the write-off of a portion of the unamortized discount and deferred financing costs.</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AMC Networks was in compliance with all of its debt covenants as of December 31,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 information regarding our outstanding indebtedness and the significant terms and provisions of our Senior Secured Credit Facility and our Senior Notes is discussed in Note 11 to the accompanying consolidated financial statements included in this Annual Report on Form 10-K and is incorporated herein by reference.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December 31, 2022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2"/>
              </w:rPr>
              <w:t>Year Ended December 31, 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 Ended December 31, 2021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Parent 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4"/>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2,244,245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2,137,263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2,165,131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1,713,682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(49,040)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91,088</w:t>
            </w:r>
          </w:p>
        </w:tc>
        <w:tc>
          <w:tcPr>
            <w:tcW w:w="100" w:type="dxa"/>
            <w:vAlign w:val="bottom"/>
          </w:tcPr>
          <w:p>
            <w:pPr>
              <w:spacing w:after="0"/>
              <w:rPr>
                <w:sz w:val="17"/>
                <w:szCs w:val="17"/>
                <w:color w:val="auto"/>
              </w:rPr>
            </w:pPr>
          </w:p>
        </w:tc>
        <w:tc>
          <w:tcPr>
            <w:tcW w:w="1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color w:val="auto"/>
              </w:rPr>
              <w:t>314,283</w:t>
            </w:r>
          </w:p>
        </w:tc>
        <w:tc>
          <w:tcPr>
            <w:tcW w:w="100" w:type="dxa"/>
            <w:vAlign w:val="bottom"/>
          </w:tcPr>
          <w:p>
            <w:pPr>
              <w:spacing w:after="0"/>
              <w:rPr>
                <w:sz w:val="17"/>
                <w:szCs w:val="17"/>
                <w:color w:val="auto"/>
              </w:rPr>
            </w:pPr>
          </w:p>
        </w:tc>
        <w:tc>
          <w:tcPr>
            <w:tcW w:w="10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472,985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6"/>
                <w:szCs w:val="16"/>
                <w:b w:val="1"/>
                <w:bCs w:val="1"/>
                <w:color w:val="auto"/>
                <w:w w:val="90"/>
              </w:rPr>
              <w:t>December 31, 2022</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6"/>
                <w:szCs w:val="16"/>
                <w:b w:val="1"/>
                <w:bCs w:val="1"/>
                <w:color w:val="auto"/>
                <w:w w:val="91"/>
              </w:rPr>
              <w:t>December 31, 2021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7"/>
                <w:szCs w:val="17"/>
                <w:color w:val="auto"/>
              </w:rPr>
            </w:pPr>
          </w:p>
        </w:tc>
        <w:tc>
          <w:tcPr>
            <w:tcW w:w="1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Guarantor Subsidiaries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Guarantor Subsidiaries</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79,020</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1,258,759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1,242,724</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3,893,205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3,706,858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4,010,028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3,633,383</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157,658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872,109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100,969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671,041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0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believe the following critical accounting policies comprise the more significant judgments and estimates used in the preparation of our consolidated financial statements: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Program Rights</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Licensed rights to programming, including feature films and episodic series, are stated at the lower of 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based on the expected exploitation strategy of the rights, over a period not to exceed the respective license periods. We periodically review the remaining useful lives of our licensed program rights based on several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jc w:val="both"/>
        <w:ind w:firstLine="486"/>
        <w:spacing w:after="0" w:line="268" w:lineRule="auto"/>
        <w:rPr>
          <w:sz w:val="20"/>
          <w:szCs w:val="20"/>
          <w:color w:val="auto"/>
        </w:rPr>
      </w:pPr>
      <w:r>
        <w:rPr>
          <w:rFonts w:ascii="Arial" w:cs="Arial" w:eastAsia="Arial" w:hAnsi="Arial"/>
          <w:sz w:val="17"/>
          <w:szCs w:val="17"/>
          <w:color w:val="auto"/>
        </w:rPr>
        <w:t>Owned original programming costs, including estimated participation and residual costs qualifying for capitalization, are recorded as program rights on the consolidated balance sheet. Program rights that are predominantly monetized individually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Program rights that are monetized as a group are amortized based on projected usage, typically resulting in an accelerated amortization pattern. We base our estimates of ultimate revenue primarily on distribution and advertising revenues historically generated from similar content in comparable markets, and projected program usage. Projected program usage is based on our current expectation of future exhibitions. We periodically review ultimate revenue estimates and projected program usage and revise our assumptions if necessary, which could either accelerate or delay the timing of amortization expense or result in a write-down of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significant program write-offs included in technical and operating expense for the year ended December 31, 2022. Refer to Note 5 for</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recorded to restructuring expense in connection with the Company’s strategic programming assessments. Program rights write-offs of $12.8 million were recorded for the year ended December 31, 2021.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Useful Lives of Affiliate Intangible Assets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carrying amount of our intangible assets as of December 31, 2022 is $354.7 million, of which $260.8 million is comprised of affiliate relationships acquired in business combinations.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expenses in future periods.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8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For our annual impairment test, we performed quantitative impairment tests for all reporting units. The impairment test for goodwill requires judgment related to the identification of reporting units, the assignment of assets and liabilities to reporting units including goodwill, and the determination of fair value of the reporting units. The quantitative impairment test evaluates whether the carrying value of a reporting unit exceeds its estimated fair value. We estimate the fair value of our reporting units based on the present value of future cash flows (“Discounted Cash Flow Method”) and the total enterprise value multiples of publicly traded comparable companies (“Market Comparables Method”). The Discounted Cash Flow Method requires us to make various assumptions regarding the timing and amount of future cash flows, including revenue growth rates, operating margins, and programming and working capital investments for a projection period, plus the terminal value of the business at the end of the projection period. The assumptions about future cash flows are based on internal forecasts, which incorporates our long-term business plans and historical trends and are subject to a greater degree of uncertainty in times of adverse economic conditions. The terminal value is estimated based on a perpetual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The Market Comparables Method incorporates revenue and earnings multiples from publicly traded companies with operations and other characteristics similar to each reporting unit.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selected multiples consider each reporting unit’s relative growth, profitability, size, and risk relative to the selected publicly traded companies.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349,292</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294,127</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643,419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on our annual impairment tests for goodwill during 2022, we recorded an impairment charge of $40.7 million related to our AMCNI reporting unit. For our two other reporting units, we concluded that the estimated fair value of the reporting units exceeded their respective carrying values by 27% and 15%, and therefore no impairment charge was required. See Note 9 to the accompanying consolidated financial statements included in this Annual Report on Form 10-K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December 31, 2022, the fair value of our fixed rate debt of $1.60 billion was lower than its carrying value of $2.18 billion by $575.8 million. The fair value of these financial instruments is estimated based on reference to quoted market prices for these or comparable securities. A hypothetical 100 basis point decrease in interest rates prevailing at December 31, 2022 would increase the estimated fair value of our fixed rate debt by approximately $48.6 million to approximately $1.65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year ended December 31, 2022, we did not have any interest rate swap contracts outstanding.</w:t>
      </w:r>
    </w:p>
    <w:p>
      <w:pPr>
        <w:spacing w:after="0" w:line="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2022, we have $2.8 billion of debt outstanding (excluding finance leases), of which $641.3 million is outstanding under our loan facility and is subject to variable interest rates. A hypothetical 100 basis point increase in interest rates prevailing at December 31, 2022 would increase our annual interest expense by approximately $6.4 million. The interest rate paid on approximately 77% of our debt (excluding finance leases) as of December 31, 2022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405"/>
        <w:spacing w:after="0" w:line="259" w:lineRule="auto"/>
        <w:rPr>
          <w:sz w:val="20"/>
          <w:szCs w:val="20"/>
          <w:color w:val="auto"/>
        </w:rPr>
      </w:pPr>
      <w:r>
        <w:rPr>
          <w:rFonts w:ascii="Arial" w:cs="Arial" w:eastAsia="Arial" w:hAnsi="Arial"/>
          <w:sz w:val="18"/>
          <w:szCs w:val="18"/>
          <w:color w:val="auto"/>
        </w:rPr>
        <w:t>The Company recognized foreign currency transaction gains (losses) of $(1.2) million and $12.2 million for the years ended December 31, 2022 and 2021, respectively, related to foreign currency transactions.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7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Financial Statements required by this Item 8 appear beginning on page 62 of this Annual Report, and are incorporated by reference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principal executive officer (our Interim Executive Chairman)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December 31, 2022, the Company's principal executive officer (our Interim Executive Chairman) and principal financial officer (our Chief Financial Officer) concluded that the Company's disclosure controls and procedures are effective.</w:t>
      </w:r>
    </w:p>
    <w:p>
      <w:pPr>
        <w:spacing w:after="0" w:line="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Report on Internal Control over Financial Reporting</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jc w:val="both"/>
        <w:ind w:firstLine="8"/>
        <w:spacing w:after="0" w:line="253" w:lineRule="auto"/>
        <w:tabs>
          <w:tab w:leader="none" w:pos="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principal executive officer (our Interim Executive Chairman) and our principal financial officer (our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2022.</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KPMG LLP, an independent registered public accounting firm, as stated in their attestation report appearing on page F-1.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three months ended December 31, 2022, there were no changes in the Company's internal control over financial reporting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2023 Annual Meeting of Stockholders, which will be filed within 120 days of the year ended December 31, 2022 (the "2023 Proxy Statement"), which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executive compensation will be included in the 2023 Proxy Statement, which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2023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2023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principal accountant fees and services will be included in the 2023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62.</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INDEX TO EXHIBITS</w:t>
            </w:r>
          </w:p>
        </w:tc>
        <w:tc>
          <w:tcPr>
            <w:tcW w:w="47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0" w:type="dxa"/>
            <w:vAlign w:val="bottom"/>
            <w:gridSpan w:val="26"/>
            <w:vMerge w:val="restart"/>
          </w:tcPr>
          <w:p>
            <w:pPr>
              <w:ind w:left="5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8"/>
        </w:trPr>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3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00" w:type="dxa"/>
            <w:vAlign w:val="bottom"/>
            <w:tcBorders>
              <w:top w:val="single" w:sz="8" w:color="auto"/>
            </w:tcBorders>
            <w:gridSpan w:val="32"/>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Agreement and Plan of Merger, dated as of July 29, 2018, by and among RLJE, the Company (solely for the purposes of Section 10.7</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thereof), DEH and Merger Sub (incorporated by reference to Exhibit 2.1 to the Company's Current Report on Form 8-K filed July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Arial" w:cs="Arial" w:eastAsia="Arial" w:hAnsi="Arial"/>
                <w:sz w:val="18"/>
                <w:szCs w:val="18"/>
                <w:color w:val="0000FF"/>
                <w:w w:val="86"/>
              </w:rPr>
            </w:pPr>
            <w:hyperlink r:id="rId95">
              <w:r>
                <w:rPr>
                  <w:rFonts w:ascii="Arial" w:cs="Arial" w:eastAsia="Arial" w:hAnsi="Arial"/>
                  <w:sz w:val="18"/>
                  <w:szCs w:val="18"/>
                  <w:color w:val="0000FF"/>
                  <w:w w:val="86"/>
                </w:rPr>
                <w:t>2018).</w:t>
              </w:r>
            </w:hyperlink>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3.1(i)</w:t>
            </w: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Amended and Restated Certificate of Incorporation of AMC Networks Inc. (incorporated by reference to Exhibit 99.4 to the Company's</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Current Report on Form 8-K filed on July 1, 2011).</w:t>
              </w:r>
            </w:hyperlink>
          </w:p>
        </w:tc>
        <w:tc>
          <w:tcPr>
            <w:tcW w:w="61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rPr>
              <w:t>3.1(ii)</w:t>
            </w: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Amended and Restated By-Laws of AMC Networks Inc. (incorporated by reference to Exhibit 99.5 to the Company's Current Report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Form 8-K filed on July 1,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7"/>
              </w:rPr>
            </w:pPr>
            <w:hyperlink r:id="rId98">
              <w:r>
                <w:rPr>
                  <w:rFonts w:ascii="Arial" w:cs="Arial" w:eastAsia="Arial" w:hAnsi="Arial"/>
                  <w:sz w:val="18"/>
                  <w:szCs w:val="18"/>
                  <w:color w:val="0000FF"/>
                  <w:w w:val="97"/>
                </w:rPr>
                <w:t>Form of Registration Rights Agreement between AMC Networks Inc. and The Charles F. Dolan Children Trusts (incorporated by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reference to Exhibit 3.5 to the Company's Amendment No. 5 to Registration Statement on Form 10 filed on June 6, 2011).</w:t>
              </w:r>
            </w:hyperlink>
          </w:p>
        </w:tc>
        <w:tc>
          <w:tcPr>
            <w:tcW w:w="52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Form of Registration Rights Agreement between AMC Networks Inc. and The Dolan Family Affiliates (incorporated by reference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Exhibit 3.6 to the Company's Amendment No. 5 to Registration Statement on Form 10 filed on June 6, 2011).</w:t>
              </w:r>
            </w:hyperlink>
          </w:p>
        </w:tc>
        <w:tc>
          <w:tcPr>
            <w:tcW w:w="166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Registration Rights Agreement, dated as of June 30, 2011, among AMC Networks Inc., the subsidiary guarantors named therein, Merrill</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Lynch, Pierce, Fenner &amp; Smith Incorporated and J.P. Morgan Securities LLC, as representatives of the several initial purchasers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00">
              <w:r>
                <w:rPr>
                  <w:rFonts w:ascii="Arial" w:cs="Arial" w:eastAsia="Arial" w:hAnsi="Arial"/>
                  <w:sz w:val="18"/>
                  <w:szCs w:val="18"/>
                  <w:color w:val="0000FF"/>
                </w:rPr>
                <w:t>(incorporated by reference to Exhibit 99.2 to the Company's Current Report on Form 8-K filed on July 1, 2011).</w:t>
              </w:r>
            </w:hyperlink>
          </w:p>
        </w:tc>
        <w:tc>
          <w:tcPr>
            <w:tcW w:w="2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1"/>
              </w:rPr>
            </w:pPr>
            <w:hyperlink r:id="rId101">
              <w:r>
                <w:rPr>
                  <w:rFonts w:ascii="Arial" w:cs="Arial" w:eastAsia="Arial" w:hAnsi="Arial"/>
                  <w:sz w:val="18"/>
                  <w:szCs w:val="18"/>
                  <w:color w:val="0000FF"/>
                  <w:w w:val="91"/>
                </w:rPr>
                <w:t>Indenture dated as of March 30, 2016, by and among AMC Networks Inc., as Issuer, each of the guarantors party thereto and U.S. Bank</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National Association, as Trustee (incorporated by reference to Exhibit 4.1 to the Company's Current Report on Form 8-K filed on July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r:id="rId101">
              <w:r>
                <w:rPr>
                  <w:rFonts w:ascii="Arial" w:cs="Arial" w:eastAsia="Arial" w:hAnsi="Arial"/>
                  <w:sz w:val="18"/>
                  <w:szCs w:val="18"/>
                  <w:color w:val="0000FF"/>
                  <w:w w:val="88"/>
                </w:rPr>
                <w:t>28, 2017).</w:t>
              </w:r>
            </w:hyperlink>
          </w:p>
        </w:tc>
        <w:tc>
          <w:tcPr>
            <w:tcW w:w="5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First Supplemental Indenture, dated as of March 30, 2016, to the Indenture, dated as of March 30, 2016, by and among AMC Networks</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Inc., as Issuer, each of the guarantors party thereto and U.S. Bank National Association, as Trustee, relating to the AMC Networks Inc.</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2"/>
          </w:tcPr>
          <w:p>
            <w:pPr>
              <w:spacing w:after="0" w:line="169"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5.</w:t>
              </w:r>
              <w:r>
                <w:rPr>
                  <w:rFonts w:ascii="Arial" w:cs="Arial" w:eastAsia="Arial" w:hAnsi="Arial"/>
                  <w:sz w:val="18"/>
                  <w:szCs w:val="18"/>
                  <w:u w:val="single" w:color="auto"/>
                  <w:color w:val="0000FF"/>
                  <w:w w:val="92"/>
                </w:rPr>
                <w:t>00%</w:t>
              </w:r>
              <w:r>
                <w:rPr>
                  <w:rFonts w:ascii="Arial" w:cs="Arial" w:eastAsia="Arial" w:hAnsi="Arial"/>
                  <w:sz w:val="18"/>
                  <w:szCs w:val="18"/>
                  <w:color w:val="0000FF"/>
                  <w:w w:val="92"/>
                </w:rPr>
                <w:t xml:space="preserve"> Senior Notes due April 1, 2024 (incorporated by reference to Exhibit 4.1 to the Company's Current Report on Form 8-K filed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March 30, 2016).</w:t>
              </w:r>
            </w:hyperlink>
          </w:p>
        </w:tc>
        <w:tc>
          <w:tcPr>
            <w:tcW w:w="850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Second Supplemental Indenture, dated as of July 28, 2017 to the Indenture, dated as of March 30, 2016, among AMC Networks, as</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issuer, the Guarantors and U.S. Bank National Association, as Trustee, and Form of Notes (incorporated by reference to Exhibit 4.2</w:t>
              </w:r>
            </w:hyperlink>
          </w:p>
        </w:tc>
        <w:tc>
          <w:tcPr>
            <w:tcW w:w="440" w:type="dxa"/>
            <w:vAlign w:val="bottom"/>
            <w:gridSpan w:val="15"/>
          </w:tcPr>
          <w:p>
            <w:pPr>
              <w:ind w:left="60"/>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the Company's Current Report on Form 8-K filed on July 28, 2017).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4.9</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Third Supplemental Indenture, dated as of February 8, 2021, to the Indenture, dated as of March 30, 2016, among AMC Networks, as</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issuer, the Guarantors and U.S. Bank National Association, as Trustee, and Form of Notes (incorporated by reference to Exhibit 4.2 to</w:t>
              </w:r>
            </w:hyperlink>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the Company's Current Report on Form 8-K filed on February 8, 2021)</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4.10</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Description of AMC Networks Inc.'s Securities Registered under Section 12 of the Exchange Act (incorporated by reference to Exhibit</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10</w:t>
              </w:r>
              <w:r>
                <w:rPr>
                  <w:rFonts w:ascii="Arial" w:cs="Arial" w:eastAsia="Arial" w:hAnsi="Arial"/>
                  <w:sz w:val="18"/>
                  <w:szCs w:val="18"/>
                  <w:color w:val="0000FF"/>
                  <w:w w:val="90"/>
                </w:rPr>
                <w:t xml:space="preserve"> to the Company's Annual Report on Form 10-K for the year ended December 31, 2020).</w:t>
              </w:r>
            </w:hyperlink>
          </w:p>
        </w:tc>
        <w:tc>
          <w:tcPr>
            <w:tcW w:w="3020" w:type="dxa"/>
            <w:vAlign w:val="bottom"/>
            <w:tcBorders>
              <w:top w:val="single" w:sz="8" w:color="0000FF"/>
            </w:tcBorders>
            <w:gridSpan w:val="15"/>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Form of Tax Disaffiliation Agreement between Cablevision Systems Corporation and AMC Networks Inc. (incorporated by reference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Exhibit 10.2 to the Company's Amendment No. 5 to Registration Statement on Form 10 filed on June 6,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80" w:type="dxa"/>
            <w:vAlign w:val="bottom"/>
            <w:gridSpan w:val="11"/>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Standstill Agreement by and among AMC Networks Inc. and The Dolan Family Group (incorporated by reference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Exhibit 10.5 to the Company's Amendment No. 5 to Registration Statement on Form 10 filed on June 6, 2011).</w:t>
              </w:r>
            </w:hyperlink>
          </w:p>
        </w:tc>
        <w:tc>
          <w:tcPr>
            <w:tcW w:w="6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80" w:type="dxa"/>
            <w:vAlign w:val="bottom"/>
            <w:gridSpan w:val="11"/>
            <w:shd w:val="clear" w:color="auto" w:fill="0000FF"/>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Second Amended and Restated Credit Agreement, dated as of July 28, 2017, among AMC Networks and its subsidiary, AMC Network</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Entertainment LLC, as the initial borrowers, certain of AMC Networks’ subsidiaries, as restricted subsidiaries, JPMorgan Chase Bank,</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40" w:right="240"/>
        <w:spacing w:after="0" w:line="226" w:lineRule="auto"/>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N.A., as Administrative Agent, Collateral Agent and an L/C Issuer and the lenders party thereto (incorporated by reference to Exhibit</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10.1 to the Company's Current Report on Form 8-K filed on July 28, 2017).</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78"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10.4</w:t>
            </w:r>
          </w:p>
        </w:tc>
        <w:tc>
          <w:tcPr>
            <w:tcW w:w="9860" w:type="dxa"/>
            <w:vAlign w:val="bottom"/>
            <w:gridSpan w:val="34"/>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Amendment No. 1, dated as of February 8, 2021, to the Second Amended and Restated Credit Agreement, dated as of July 28, 2017, in</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each case, among AMC Networks and its subsidiary, AMC Network Entertainment LLC, as the initial borrowers, certain of AMC</w:t>
              </w:r>
            </w:hyperlink>
          </w:p>
        </w:tc>
        <w:tc>
          <w:tcPr>
            <w:tcW w:w="3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60" w:type="dxa"/>
            <w:vAlign w:val="bottom"/>
            <w:gridSpan w:val="34"/>
          </w:tcPr>
          <w:p>
            <w:pPr>
              <w:spacing w:after="0" w:line="196"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Networks’ subsidiaries, as restricted subsidiaries, Bank of America, N.A., as an L/C Issuer, the lenders party thereto and JPMorgan</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440" w:type="dxa"/>
            <w:vAlign w:val="bottom"/>
            <w:tcBorders>
              <w:top w:val="single" w:sz="8" w:color="0000FF"/>
            </w:tcBorders>
            <w:gridSpan w:val="22"/>
          </w:tcPr>
          <w:p>
            <w:pPr>
              <w:spacing w:after="0" w:line="182"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Chase Bank, N.A., as Administrative Agent, Collateral Agent and an L/C Issuer (incorporated by reference to Exhibit 10.1 to the</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Company’s Current Report on Form 8-K filed on February 8, 2021)</w:t>
              </w:r>
            </w:hyperlink>
          </w:p>
        </w:tc>
        <w:tc>
          <w:tcPr>
            <w:tcW w:w="44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10.5</w:t>
            </w:r>
          </w:p>
        </w:tc>
        <w:tc>
          <w:tcPr>
            <w:tcW w:w="9860" w:type="dxa"/>
            <w:vAlign w:val="bottom"/>
            <w:gridSpan w:val="34"/>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AMC Networks Inc. Amended and Restated 2011 Stock Plan For Non-Employee Directors (incorporated by reference to Exhibit 10.2 to</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the Company’s Quarterly Report on Form 10-Q filed on August 5, 2020)</w:t>
              </w:r>
            </w:hyperlink>
          </w:p>
        </w:tc>
        <w:tc>
          <w:tcPr>
            <w:tcW w:w="458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10.6</w:t>
            </w:r>
          </w:p>
        </w:tc>
        <w:tc>
          <w:tcPr>
            <w:tcW w:w="9860" w:type="dxa"/>
            <w:vAlign w:val="bottom"/>
            <w:gridSpan w:val="34"/>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Form of Employment Agreement by and between AMC Networks Inc. and Charles F. Dolan (incorporated by reference to Exhibit 10.13</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to the Company's Amendment No. 5 to Registration Statement on Form 10 filed on June 6, 2011).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10.7</w:t>
            </w:r>
          </w:p>
        </w:tc>
        <w:tc>
          <w:tcPr>
            <w:tcW w:w="9860" w:type="dxa"/>
            <w:vAlign w:val="bottom"/>
            <w:gridSpan w:val="34"/>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Amendment to Employment Agreement, dated as of September 15, 2020, by and between AMC Networks Inc. and Charles F. Dolan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(incorporated by reference to Exhibit 10.1 to the Company's Current Report on Form 8-K filed on September 15, 2020).</w:t>
              </w:r>
            </w:hyperlink>
          </w:p>
        </w:tc>
        <w:tc>
          <w:tcPr>
            <w:tcW w:w="9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10.8</w:t>
            </w:r>
          </w:p>
        </w:tc>
        <w:tc>
          <w:tcPr>
            <w:tcW w:w="9160" w:type="dxa"/>
            <w:vAlign w:val="bottom"/>
            <w:tcBorders>
              <w:bottom w:val="single" w:sz="8" w:color="0000FF"/>
            </w:tcBorders>
            <w:gridSpan w:val="14"/>
          </w:tcPr>
          <w:p>
            <w:pPr>
              <w:spacing w:after="0"/>
              <w:rPr>
                <w:rFonts w:ascii="Arial" w:cs="Arial" w:eastAsia="Arial" w:hAnsi="Arial"/>
                <w:sz w:val="18"/>
                <w:szCs w:val="18"/>
                <w:color w:val="0000FF"/>
                <w:w w:val="89"/>
              </w:rPr>
            </w:pPr>
            <w:hyperlink r:id="rId114">
              <w:r>
                <w:rPr>
                  <w:rFonts w:ascii="Arial" w:cs="Arial" w:eastAsia="Arial" w:hAnsi="Arial"/>
                  <w:sz w:val="18"/>
                  <w:szCs w:val="18"/>
                  <w:color w:val="0000FF"/>
                  <w:w w:val="89"/>
                </w:rPr>
                <w:t>Amended and Restated Employment Agreement dated December 11, 2020, between AMC Networks Inc. and Joshua W. Sapan</w:t>
              </w:r>
            </w:hyperlink>
          </w:p>
        </w:tc>
        <w:tc>
          <w:tcPr>
            <w:tcW w:w="7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400" w:type="dxa"/>
            <w:vAlign w:val="bottom"/>
            <w:tcBorders>
              <w:bottom w:val="single" w:sz="8" w:color="0000FF"/>
            </w:tcBorders>
            <w:gridSpan w:val="21"/>
          </w:tcPr>
          <w:p>
            <w:pPr>
              <w:spacing w:after="0" w:line="182"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(incorporated by reference to Exhibit 10.9 to the Company’s Annual Report on Form 10-K for the year ended December 31, 2020)</w:t>
              </w:r>
            </w:hyperlink>
          </w:p>
        </w:tc>
        <w:tc>
          <w:tcPr>
            <w:tcW w:w="4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ind w:right="550"/>
              <w:spacing w:after="0"/>
              <w:rPr>
                <w:sz w:val="20"/>
                <w:szCs w:val="20"/>
                <w:color w:val="auto"/>
              </w:rPr>
            </w:pPr>
            <w:r>
              <w:rPr>
                <w:rFonts w:ascii="Arial" w:cs="Arial" w:eastAsia="Arial" w:hAnsi="Arial"/>
                <w:sz w:val="18"/>
                <w:szCs w:val="18"/>
                <w:color w:val="auto"/>
                <w:w w:val="85"/>
              </w:rPr>
              <w:t>10.9</w:t>
            </w:r>
          </w:p>
        </w:tc>
        <w:tc>
          <w:tcPr>
            <w:tcW w:w="9860" w:type="dxa"/>
            <w:vAlign w:val="bottom"/>
            <w:gridSpan w:val="34"/>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Amendment, dated August 23, 2021, to Amended and Restated Employment Agreement, dated December 11, 2020, by and between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860" w:type="dxa"/>
            <w:vAlign w:val="bottom"/>
            <w:gridSpan w:val="34"/>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AMC Networks Inc. and Joshua W. Sapan (incorporated by reference to Exhibit 10.1 to the Company’s Quarterly Report on Form 10-Q</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0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115">
              <w:r>
                <w:rPr>
                  <w:rFonts w:ascii="Arial" w:cs="Arial" w:eastAsia="Arial" w:hAnsi="Arial"/>
                  <w:sz w:val="18"/>
                  <w:szCs w:val="18"/>
                  <w:color w:val="0000FF"/>
                  <w:w w:val="88"/>
                </w:rPr>
                <w:t>for the quarter ended September 30, 2021)</w:t>
              </w:r>
            </w:hyperlink>
          </w:p>
        </w:tc>
        <w:tc>
          <w:tcPr>
            <w:tcW w:w="672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10.10</w:t>
            </w:r>
          </w:p>
        </w:tc>
        <w:tc>
          <w:tcPr>
            <w:tcW w:w="9860" w:type="dxa"/>
            <w:vAlign w:val="bottom"/>
            <w:gridSpan w:val="34"/>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Employment Agreement, dated August 4, 2022, by and between AMC Networks Inc. and Christina Spade (incorporated by reference to</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6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Exhibit 10.1 to the Company's Quarterly Report on Form 10-Q for the quarter ended September 30, 2022)</w:t>
              </w:r>
            </w:hyperlink>
          </w:p>
        </w:tc>
        <w:tc>
          <w:tcPr>
            <w:tcW w:w="2160" w:type="dxa"/>
            <w:vAlign w:val="bottom"/>
            <w:tcBorders>
              <w:top w:val="single" w:sz="8" w:color="0000FF"/>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10.11</w:t>
            </w:r>
          </w:p>
        </w:tc>
        <w:tc>
          <w:tcPr>
            <w:tcW w:w="9860" w:type="dxa"/>
            <w:vAlign w:val="bottom"/>
            <w:gridSpan w:val="34"/>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Employment Agreement, dated August 4, 2022, by and between AMC Networks Inc. and Patrick O'Connell (incorporated by reference</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to Exhibit 10.2 to the Company's Quarterly Report on Form 10-Q for the quarter ended September 30, 2022)</w:t>
              </w:r>
            </w:hyperlink>
          </w:p>
        </w:tc>
        <w:tc>
          <w:tcPr>
            <w:tcW w:w="1940" w:type="dxa"/>
            <w:vAlign w:val="bottom"/>
            <w:tcBorders>
              <w:top w:val="single" w:sz="8" w:color="0000FF"/>
            </w:tcBorders>
            <w:gridSpan w:val="20"/>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10.12</w:t>
            </w:r>
          </w:p>
        </w:tc>
        <w:tc>
          <w:tcPr>
            <w:tcW w:w="9860" w:type="dxa"/>
            <w:vAlign w:val="bottom"/>
            <w:tcBorders>
              <w:bottom w:val="single" w:sz="8" w:color="0000FF"/>
            </w:tcBorders>
            <w:gridSpan w:val="34"/>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Employment Agreement, dated August 23, 2021, by and between AMC Networks Inc. and Matthew Blank (incorporated by reference to</w:t>
              </w:r>
            </w:hyperlink>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7760" w:type="dxa"/>
            <w:vAlign w:val="bottom"/>
            <w:gridSpan w:val="8"/>
          </w:tcPr>
          <w:p>
            <w:pPr>
              <w:spacing w:after="0" w:line="163"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Exhibit 10.2 to the Company’s Quarterly Report on Form 10-Q for the quarter ended September 30, 2021)</w:t>
              </w:r>
            </w:hyperlink>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10.13</w:t>
            </w:r>
          </w:p>
        </w:tc>
        <w:tc>
          <w:tcPr>
            <w:tcW w:w="9860" w:type="dxa"/>
            <w:vAlign w:val="bottom"/>
            <w:gridSpan w:val="34"/>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Employment Agreement, dated August 24, 2021, by and between AMC Networks Inc. and Michael J. Sherin III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reference to Exhibit 10.3 to the Company’s Quarterly Report on Form 10-Q for the quarter ended September 30, 2021)</w:t>
              </w:r>
            </w:hyperlink>
          </w:p>
        </w:tc>
        <w:tc>
          <w:tcPr>
            <w:tcW w:w="2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10.14</w:t>
            </w:r>
          </w:p>
        </w:tc>
        <w:tc>
          <w:tcPr>
            <w:tcW w:w="9860" w:type="dxa"/>
            <w:vAlign w:val="bottom"/>
            <w:gridSpan w:val="34"/>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Amended and Restated Employment Agreement dated October 13, 2016 by and between AMC Networks Inc. and Edward A. Carroll</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6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(incorporated by reference to Exhibit 10.1 to the Company's Current Report on Form 8-K filed on October 14, 2016).</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10.15</w:t>
            </w:r>
          </w:p>
        </w:tc>
        <w:tc>
          <w:tcPr>
            <w:tcW w:w="9860" w:type="dxa"/>
            <w:vAlign w:val="bottom"/>
            <w:gridSpan w:val="34"/>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Separation Agreement, dated September 28, 2021, by and between AMC Networks Inc. and Edward A. Carroll (incorporated by</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240" w:type="dxa"/>
            <w:vAlign w:val="bottom"/>
            <w:tcBorders>
              <w:top w:val="single" w:sz="8" w:color="0000FF"/>
            </w:tcBorders>
            <w:gridSpan w:val="15"/>
          </w:tcPr>
          <w:p>
            <w:pPr>
              <w:spacing w:after="0" w:line="182" w:lineRule="exact"/>
              <w:rPr>
                <w:rFonts w:ascii="Arial" w:cs="Arial" w:eastAsia="Arial" w:hAnsi="Arial"/>
                <w:sz w:val="18"/>
                <w:szCs w:val="18"/>
                <w:color w:val="0000FF"/>
                <w:w w:val="97"/>
              </w:rPr>
            </w:pPr>
            <w:hyperlink r:id="rId121">
              <w:r>
                <w:rPr>
                  <w:rFonts w:ascii="Arial" w:cs="Arial" w:eastAsia="Arial" w:hAnsi="Arial"/>
                  <w:sz w:val="18"/>
                  <w:szCs w:val="18"/>
                  <w:color w:val="0000FF"/>
                  <w:w w:val="97"/>
                </w:rPr>
                <w:t>reference to Exhibit 10.4 to the Company’s Quarterly Report on Form 10-Q for the quarter ended September 30, 2021)</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2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10.16</w:t>
            </w:r>
          </w:p>
        </w:tc>
        <w:tc>
          <w:tcPr>
            <w:tcW w:w="9860" w:type="dxa"/>
            <w:vAlign w:val="bottom"/>
            <w:gridSpan w:val="34"/>
          </w:tcPr>
          <w:p>
            <w:pPr>
              <w:spacing w:after="0"/>
              <w:rPr>
                <w:rFonts w:ascii="Arial" w:cs="Arial" w:eastAsia="Arial" w:hAnsi="Arial"/>
                <w:sz w:val="18"/>
                <w:szCs w:val="18"/>
                <w:color w:val="0000FF"/>
                <w:w w:val="96"/>
              </w:rPr>
            </w:pPr>
            <w:hyperlink r:id="rId122">
              <w:r>
                <w:rPr>
                  <w:rFonts w:ascii="Arial" w:cs="Arial" w:eastAsia="Arial" w:hAnsi="Arial"/>
                  <w:sz w:val="18"/>
                  <w:szCs w:val="18"/>
                  <w:color w:val="0000FF"/>
                  <w:w w:val="96"/>
                </w:rPr>
                <w:t>Employment Agreement, dated October 19, 2022, by and between AMC Networks Inc. and James G. Gallagher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17"/>
          </w:tcPr>
          <w:p>
            <w:pPr>
              <w:spacing w:after="0" w:line="156" w:lineRule="exact"/>
              <w:rPr>
                <w:rFonts w:ascii="Arial" w:cs="Arial" w:eastAsia="Arial" w:hAnsi="Arial"/>
                <w:sz w:val="18"/>
                <w:szCs w:val="18"/>
                <w:color w:val="0000FF"/>
                <w:w w:val="98"/>
              </w:rPr>
            </w:pPr>
            <w:hyperlink r:id="rId122">
              <w:r>
                <w:rPr>
                  <w:rFonts w:ascii="Arial" w:cs="Arial" w:eastAsia="Arial" w:hAnsi="Arial"/>
                  <w:sz w:val="18"/>
                  <w:szCs w:val="18"/>
                  <w:color w:val="0000FF"/>
                  <w:w w:val="98"/>
                </w:rPr>
                <w:t>reference to Exhibit 10.3 to the Company's Quarterly Report on Form 10-Q for the quarter ended September 30, 2022)</w:t>
              </w:r>
            </w:hyperlink>
          </w:p>
        </w:tc>
        <w:tc>
          <w:tcPr>
            <w:tcW w:w="40" w:type="dxa"/>
            <w:vAlign w:val="bottom"/>
            <w:gridSpan w:val="2"/>
          </w:tcPr>
          <w:p>
            <w:pPr>
              <w:spacing w:after="0"/>
              <w:rPr>
                <w:sz w:val="13"/>
                <w:szCs w:val="13"/>
                <w:color w:val="auto"/>
              </w:rPr>
            </w:pPr>
          </w:p>
        </w:tc>
        <w:tc>
          <w:tcPr>
            <w:tcW w:w="32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ind w:right="570"/>
              <w:spacing w:after="0"/>
              <w:rPr>
                <w:sz w:val="20"/>
                <w:szCs w:val="20"/>
                <w:color w:val="auto"/>
              </w:rPr>
            </w:pPr>
            <w:r>
              <w:rPr>
                <w:rFonts w:ascii="Arial" w:cs="Arial" w:eastAsia="Arial" w:hAnsi="Arial"/>
                <w:sz w:val="18"/>
                <w:szCs w:val="18"/>
                <w:color w:val="auto"/>
                <w:w w:val="88"/>
              </w:rPr>
              <w:t>10.17</w:t>
            </w:r>
          </w:p>
        </w:tc>
        <w:tc>
          <w:tcPr>
            <w:tcW w:w="5760" w:type="dxa"/>
            <w:vAlign w:val="bottom"/>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9860" w:type="dxa"/>
            <w:vAlign w:val="bottom"/>
            <w:gridSpan w:val="34"/>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Employment Agreement dated January 12, 2021, between AMC Networks Inc. and Christina Spade (incorporated by reference to</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3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Exhibit 10.15 to the Company's Annual Report on Form 10-K for the year ended December 31, 2020)</w:t>
              </w:r>
            </w:hyperlink>
          </w:p>
        </w:tc>
        <w:tc>
          <w:tcPr>
            <w:tcW w:w="2000" w:type="dxa"/>
            <w:vAlign w:val="bottom"/>
            <w:tcBorders>
              <w:top w:val="single" w:sz="8" w:color="0000FF"/>
            </w:tcBorders>
            <w:gridSpan w:val="13"/>
          </w:tcPr>
          <w:p>
            <w:pPr>
              <w:spacing w:after="0"/>
              <w:rPr>
                <w:sz w:val="15"/>
                <w:szCs w:val="15"/>
                <w:color w:val="auto"/>
              </w:rPr>
            </w:pPr>
          </w:p>
        </w:tc>
        <w:tc>
          <w:tcPr>
            <w:tcW w:w="32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10.18</w:t>
            </w:r>
          </w:p>
        </w:tc>
        <w:tc>
          <w:tcPr>
            <w:tcW w:w="9860" w:type="dxa"/>
            <w:vAlign w:val="bottom"/>
            <w:gridSpan w:val="34"/>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Amendment, dated November 19, 2021, to Employment Agreement dated January 12, 2021, by and between AMC Networks Inc. and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Christina Spade (incorporated by reference to Exhibit 10.17 on Form 10-K for the year ended December 31, 2021).</w:t>
              </w:r>
            </w:hyperlink>
          </w:p>
        </w:tc>
        <w:tc>
          <w:tcPr>
            <w:tcW w:w="136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ind w:right="570"/>
              <w:spacing w:after="0"/>
              <w:rPr>
                <w:sz w:val="20"/>
                <w:szCs w:val="20"/>
                <w:color w:val="auto"/>
              </w:rPr>
            </w:pPr>
            <w:r>
              <w:rPr>
                <w:rFonts w:ascii="Arial" w:cs="Arial" w:eastAsia="Arial" w:hAnsi="Arial"/>
                <w:sz w:val="18"/>
                <w:szCs w:val="18"/>
                <w:color w:val="auto"/>
                <w:w w:val="88"/>
              </w:rPr>
              <w:t>10.19</w:t>
            </w:r>
          </w:p>
        </w:tc>
        <w:tc>
          <w:tcPr>
            <w:tcW w:w="9860" w:type="dxa"/>
            <w:vAlign w:val="bottom"/>
            <w:gridSpan w:val="34"/>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Form of AMC Networks Inc. Non-Employee Director Award Agreement (incorporated by reference to Exhibit 10.22 to the Company's</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Amendment No. 5 to Registration Statement on Form 10 filed on June 6, 2011).</w:t>
              </w:r>
            </w:hyperlink>
          </w:p>
        </w:tc>
        <w:tc>
          <w:tcPr>
            <w:tcW w:w="3960" w:type="dxa"/>
            <w:vAlign w:val="bottom"/>
            <w:tcBorders>
              <w:top w:val="single" w:sz="8" w:color="0000FF"/>
            </w:tcBorders>
            <w:gridSpan w:val="2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20" w:top="932" w:right="379" w:bottom="1440" w:gutter="0" w:footer="0" w:header="0"/>
        </w:sectPr>
      </w:pPr>
    </w:p>
    <w:bookmarkStart w:id="58" w:name="page59"/>
    <w:bookmarkEnd w:id="58"/>
    <w:tbl>
      <w:tblPr>
        <w:tblLayout w:type="fixed"/>
        <w:tblInd w:w="120" w:type="dxa"/>
        <w:tblCellMar>
          <w:top w:w="0" w:type="dxa"/>
          <w:left w:w="0" w:type="dxa"/>
          <w:bottom w:w="0" w:type="dxa"/>
          <w:right w:w="0" w:type="dxa"/>
        </w:tblCellMar>
      </w:tblPr>
      <w:tr>
        <w:trPr>
          <w:trHeight w:val="207"/>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10.20</w:t>
            </w:r>
          </w:p>
        </w:tc>
        <w:tc>
          <w:tcPr>
            <w:tcW w:w="9860" w:type="dxa"/>
            <w:vAlign w:val="bottom"/>
            <w:gridSpan w:val="20"/>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Form of AMC Networks Inc. Non-Employee Director Agreement (incorporated by reference to Exhibit 10.4 to the Company's Quarterly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Report on Form 10-Q for the quarter ended June 30, 2012).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570"/>
              <w:spacing w:after="0"/>
              <w:rPr>
                <w:sz w:val="20"/>
                <w:szCs w:val="20"/>
                <w:color w:val="auto"/>
              </w:rPr>
            </w:pPr>
            <w:r>
              <w:rPr>
                <w:rFonts w:ascii="Arial" w:cs="Arial" w:eastAsia="Arial" w:hAnsi="Arial"/>
                <w:sz w:val="18"/>
                <w:szCs w:val="18"/>
                <w:color w:val="auto"/>
                <w:w w:val="84"/>
              </w:rPr>
              <w:t>10.21</w:t>
            </w: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vMerge w:val="continue"/>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AMC Networks Inc. Amended and Restated 2016 Employee Stock Plan (incorporated by reference to Exhibit 10.1 to the Company’s</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Quarterly Report on Form 10-Q filed on August 5, 2020)</w:t>
              </w:r>
            </w:hyperlink>
          </w:p>
        </w:tc>
        <w:tc>
          <w:tcPr>
            <w:tcW w:w="54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10.22</w:t>
            </w:r>
          </w:p>
        </w:tc>
        <w:tc>
          <w:tcPr>
            <w:tcW w:w="9860" w:type="dxa"/>
            <w:vAlign w:val="bottom"/>
            <w:gridSpan w:val="20"/>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Shared Executive Space Cost Sharing Arrangement (incorporated by reference to Exhibit 10.1 to the Company's Quarterly Report on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Form 10-Q for the quarter ended June 30, 2016).</w:t>
              </w:r>
            </w:hyperlink>
          </w:p>
        </w:tc>
        <w:tc>
          <w:tcPr>
            <w:tcW w:w="6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10.23</w:t>
            </w:r>
          </w:p>
        </w:tc>
        <w:tc>
          <w:tcPr>
            <w:tcW w:w="9860" w:type="dxa"/>
            <w:vAlign w:val="bottom"/>
            <w:gridSpan w:val="20"/>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Form of Performance Restricted Stock Unit Award Agreement (incorporated by reference to Exhibit 10.21 on Form 10-K for the year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ended December 31, 2017).</w:t>
              </w:r>
            </w:hyperlink>
          </w:p>
        </w:tc>
        <w:tc>
          <w:tcPr>
            <w:tcW w:w="76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10.24</w:t>
            </w:r>
          </w:p>
        </w:tc>
        <w:tc>
          <w:tcPr>
            <w:tcW w:w="9860" w:type="dxa"/>
            <w:vAlign w:val="bottom"/>
            <w:gridSpan w:val="20"/>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Form of Restricted Stock Unit Award Agreement (incorporated by reference to Exhibit 10.22 on Form 10-K for the year ended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1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December 31, 2017).</w:t>
              </w:r>
            </w:hyperlink>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10.25</w:t>
            </w:r>
          </w:p>
        </w:tc>
        <w:tc>
          <w:tcPr>
            <w:tcW w:w="9860" w:type="dxa"/>
            <w:vAlign w:val="bottom"/>
            <w:gridSpan w:val="20"/>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Form of Performance Cash Award Agreement (incorporated by reference to Exhibit 10.1 to the Company's Quarterly Report on Form</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10-Q for the quarter ended March 31, 2020).</w:t>
              </w:r>
            </w:hyperlink>
          </w:p>
        </w:tc>
        <w:tc>
          <w:tcPr>
            <w:tcW w:w="640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10.26</w:t>
            </w:r>
          </w:p>
        </w:tc>
        <w:tc>
          <w:tcPr>
            <w:tcW w:w="9860" w:type="dxa"/>
            <w:vAlign w:val="bottom"/>
            <w:gridSpan w:val="20"/>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Form of Performance Cash Award Agreement (incorporated by reference to Exhibit 10.27 on Form 10-K for the year ended December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31, 2021).</w:t>
              </w:r>
            </w:hyperlink>
          </w:p>
        </w:tc>
        <w:tc>
          <w:tcPr>
            <w:tcW w:w="7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10.27</w:t>
            </w:r>
          </w:p>
        </w:tc>
        <w:tc>
          <w:tcPr>
            <w:tcW w:w="9860" w:type="dxa"/>
            <w:vAlign w:val="bottom"/>
            <w:gridSpan w:val="20"/>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Master Services Agreement, dated February 8, 2019, by and between Rainbow Media Holdings LLC and 605 LLC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reference to Exhibit 10.1 to the Company's Quarterly Report on Form 10-Q for the quarter ended March 31, 2019).</w:t>
              </w:r>
            </w:hyperlink>
          </w:p>
        </w:tc>
        <w:tc>
          <w:tcPr>
            <w:tcW w:w="1240" w:type="dxa"/>
            <w:vAlign w:val="bottom"/>
            <w:tcBorders>
              <w:top w:val="single" w:sz="8" w:color="0000FF"/>
            </w:tcBorders>
            <w:gridSpan w:val="4"/>
          </w:tcPr>
          <w:p>
            <w:pPr>
              <w:spacing w:after="0"/>
              <w:rPr>
                <w:sz w:val="13"/>
                <w:szCs w:val="13"/>
                <w:color w:val="auto"/>
              </w:rPr>
            </w:pPr>
          </w:p>
        </w:tc>
        <w:tc>
          <w:tcPr>
            <w:tcW w:w="28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10.28</w:t>
            </w:r>
          </w:p>
        </w:tc>
        <w:tc>
          <w:tcPr>
            <w:tcW w:w="9860" w:type="dxa"/>
            <w:vAlign w:val="bottom"/>
            <w:gridSpan w:val="20"/>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Statement of Work for Strategic Analytic Services, dated August 1, 2022, by and between Rainbow Media Holdings LLC and 605, LLC</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(incorporated by reference to Exhibit 10.1 to the Company's Quarterly Report on Form 10-Q for the quarter ended June 30, 2022).</w:t>
              </w:r>
            </w:hyperlink>
          </w:p>
        </w:tc>
        <w:tc>
          <w:tcPr>
            <w:tcW w:w="42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10.29</w:t>
            </w:r>
          </w:p>
        </w:tc>
        <w:tc>
          <w:tcPr>
            <w:tcW w:w="9860" w:type="dxa"/>
            <w:vAlign w:val="bottom"/>
            <w:gridSpan w:val="20"/>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AMC Networks Inc. Executive Deferred Compensation Plan (incorporated by reference to Exhibit 10.29 on Form 10-K for the year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0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8"/>
              </w:rPr>
            </w:pPr>
            <w:hyperlink r:id="rId136">
              <w:r>
                <w:rPr>
                  <w:rFonts w:ascii="Arial" w:cs="Arial" w:eastAsia="Arial" w:hAnsi="Arial"/>
                  <w:sz w:val="18"/>
                  <w:szCs w:val="18"/>
                  <w:color w:val="0000FF"/>
                  <w:w w:val="88"/>
                </w:rPr>
                <w:t xml:space="preserve">ended </w:t>
              </w:r>
            </w:hyperlink>
            <w:r>
              <w:rPr>
                <w:rFonts w:ascii="Arial" w:cs="Arial" w:eastAsia="Arial" w:hAnsi="Arial"/>
                <w:sz w:val="18"/>
                <w:szCs w:val="18"/>
                <w:color w:val="0000FF"/>
                <w:w w:val="88"/>
              </w:rPr>
              <w:t xml:space="preserve">December </w:t>
            </w:r>
            <w:hyperlink r:id="rId136">
              <w:r>
                <w:rPr>
                  <w:rFonts w:ascii="Arial" w:cs="Arial" w:eastAsia="Arial" w:hAnsi="Arial"/>
                  <w:sz w:val="18"/>
                  <w:szCs w:val="18"/>
                  <w:color w:val="0000FF"/>
                  <w:w w:val="88"/>
                </w:rPr>
                <w:t>31, 2021).</w:t>
              </w:r>
            </w:hyperlink>
          </w:p>
        </w:tc>
        <w:tc>
          <w:tcPr>
            <w:tcW w:w="7480" w:type="dxa"/>
            <w:vAlign w:val="bottom"/>
            <w:tcBorders>
              <w:top w:val="single" w:sz="8" w:color="0000FF"/>
            </w:tcBorders>
            <w:gridSpan w:val="8"/>
          </w:tcPr>
          <w:p>
            <w:pPr>
              <w:spacing w:after="0"/>
              <w:rPr>
                <w:sz w:val="15"/>
                <w:szCs w:val="15"/>
                <w:color w:val="auto"/>
              </w:rPr>
            </w:pPr>
          </w:p>
        </w:tc>
        <w:tc>
          <w:tcPr>
            <w:tcW w:w="3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943"/>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Subsidiaries of the Registrant.</w:t>
      </w:r>
    </w:p>
    <w:p>
      <w:pPr>
        <w:spacing w:after="0" w:line="130" w:lineRule="exact"/>
        <w:rPr>
          <w:rFonts w:ascii="Arial" w:cs="Arial" w:eastAsia="Arial" w:hAnsi="Arial"/>
          <w:sz w:val="18"/>
          <w:szCs w:val="18"/>
          <w:color w:val="auto"/>
        </w:rPr>
      </w:pPr>
    </w:p>
    <w:p>
      <w:pPr>
        <w:ind w:left="1180" w:hanging="943"/>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List of Guarantor Subsidiaries.</w:t>
      </w:r>
    </w:p>
    <w:p>
      <w:pPr>
        <w:spacing w:after="0" w:line="90" w:lineRule="exact"/>
        <w:rPr>
          <w:rFonts w:ascii="Arial" w:cs="Arial" w:eastAsia="Arial" w:hAnsi="Arial"/>
          <w:sz w:val="18"/>
          <w:szCs w:val="18"/>
          <w:color w:val="auto"/>
        </w:rPr>
      </w:pPr>
    </w:p>
    <w:p>
      <w:pPr>
        <w:ind w:left="1180" w:hanging="943"/>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w:t>
      </w:r>
    </w:p>
    <w:p>
      <w:pPr>
        <w:spacing w:after="0" w:line="117" w:lineRule="exact"/>
        <w:rPr>
          <w:rFonts w:ascii="Arial" w:cs="Arial" w:eastAsia="Arial" w:hAnsi="Arial"/>
          <w:sz w:val="18"/>
          <w:szCs w:val="18"/>
          <w:color w:val="auto"/>
        </w:rPr>
      </w:pPr>
    </w:p>
    <w:p>
      <w:pPr>
        <w:ind w:left="1180" w:hanging="943"/>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Power of Attorney (included on the signature page to this Annual Report on Form 10-K).</w:t>
      </w:r>
    </w:p>
    <w:p>
      <w:pPr>
        <w:spacing w:after="0" w:line="10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72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Executive Officer pursuant to Section 302 of the Sarbanes-Oxley Act of 2002.</w:t>
            </w:r>
          </w:p>
        </w:tc>
      </w:tr>
      <w:tr>
        <w:trPr>
          <w:trHeight w:val="304"/>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7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40" w:type="dxa"/>
            <w:vAlign w:val="bottom"/>
          </w:tcPr>
          <w:p>
            <w:pPr>
              <w:spacing w:after="0"/>
              <w:rPr>
                <w:sz w:val="24"/>
                <w:szCs w:val="24"/>
                <w:color w:val="auto"/>
              </w:rPr>
            </w:pPr>
          </w:p>
        </w:tc>
      </w:tr>
    </w:tbl>
    <w:p>
      <w:pPr>
        <w:spacing w:after="0" w:line="121" w:lineRule="exact"/>
        <w:rPr>
          <w:sz w:val="20"/>
          <w:szCs w:val="20"/>
          <w:color w:val="auto"/>
        </w:rPr>
      </w:pPr>
    </w:p>
    <w:p>
      <w:pPr>
        <w:ind w:left="1180" w:right="300" w:hanging="943"/>
        <w:spacing w:after="0" w:line="235"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Section 906 of the Sarbanes-Oxley Act of 2002, 18 U.S.C. Section 1350.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480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800" w:type="dxa"/>
            <w:vAlign w:val="bottom"/>
          </w:tcPr>
          <w:p>
            <w:pPr>
              <w:ind w:left="2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800" w:type="dxa"/>
            <w:vAlign w:val="bottom"/>
          </w:tcPr>
          <w:p>
            <w:pPr>
              <w:ind w:left="2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918"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February 17, 2023</w:t>
            </w:r>
          </w:p>
        </w:tc>
        <w:tc>
          <w:tcPr>
            <w:tcW w:w="7840" w:type="dxa"/>
            <w:vAlign w:val="bottom"/>
            <w:gridSpan w:val="2"/>
          </w:tcPr>
          <w:p>
            <w:pPr>
              <w:ind w:left="1380"/>
              <w:spacing w:after="0"/>
              <w:rPr>
                <w:sz w:val="20"/>
                <w:szCs w:val="20"/>
                <w:color w:val="auto"/>
              </w:rPr>
            </w:pPr>
            <w:r>
              <w:rPr>
                <w:rFonts w:ascii="Arial" w:cs="Arial" w:eastAsia="Arial" w:hAnsi="Arial"/>
                <w:sz w:val="18"/>
                <w:szCs w:val="18"/>
                <w:color w:val="auto"/>
              </w:rPr>
              <w:t>By:  /s/ Patrick O'Connell</w:t>
            </w:r>
          </w:p>
        </w:tc>
      </w:tr>
      <w:tr>
        <w:trPr>
          <w:trHeight w:val="222"/>
        </w:trPr>
        <w:tc>
          <w:tcPr>
            <w:tcW w:w="3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Patrick O'Connell</w:t>
            </w:r>
          </w:p>
        </w:tc>
      </w:tr>
      <w:tr>
        <w:trPr>
          <w:trHeight w:val="230"/>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James L. Dolan and Patrick O'Connell,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Name</w:t>
            </w:r>
          </w:p>
        </w:tc>
        <w:tc>
          <w:tcPr>
            <w:tcW w:w="5400" w:type="dxa"/>
            <w:vAlign w:val="bottom"/>
            <w:gridSpan w:val="3"/>
          </w:tcPr>
          <w:p>
            <w:pPr>
              <w:ind w:left="2900"/>
              <w:spacing w:after="0"/>
              <w:rPr>
                <w:sz w:val="20"/>
                <w:szCs w:val="20"/>
                <w:color w:val="auto"/>
              </w:rPr>
            </w:pPr>
            <w:r>
              <w:rPr>
                <w:rFonts w:ascii="Arial" w:cs="Arial" w:eastAsia="Arial" w:hAnsi="Arial"/>
                <w:sz w:val="14"/>
                <w:szCs w:val="14"/>
                <w:color w:val="auto"/>
              </w:rPr>
              <w:t>Title</w:t>
            </w:r>
          </w:p>
        </w:tc>
        <w:tc>
          <w:tcPr>
            <w:tcW w:w="148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33"/>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/s/ James L. Dolan</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Interim Executive Chairman and 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James L.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Patrick O'Connell</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Financial Officer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Patrick O'Connell</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J. Sherin III</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Accounting Officer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Michael J. Sherin III</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Charles F.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Chairman Emeritus and 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Charles F.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William J. Bell</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William J. Bell</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Matthew Blank</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Matthew Blank</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5"/>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Joseph M. Cohen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Joseph M. Cohen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5"/>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Aidan.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February 17, 2023</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Aidan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Kristin A.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Kristin A.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F.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Patrick F.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Thomas C.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Sweeney</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Brian G. Sweeney</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Vincent Tese</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Vincent Tese</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Leonard Tow</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Leonard Tow</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Van Zandt</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David E. Van Zandt</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 E. Vogel</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Carl E. Vogel</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85"/>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Marianne Dolan Weber</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17, 2023</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Marianne Dolan Weber</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35" w:right="639" w:bottom="1440" w:gutter="0" w:footer="0" w:header="0"/>
        </w:sectPr>
      </w:pPr>
    </w:p>
    <w:bookmarkStart w:id="61" w:name="page62"/>
    <w:bookmarkEnd w:id="61"/>
    <w:p>
      <w:pPr>
        <w:jc w:val="center"/>
        <w:ind w:right="-27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w w:val="96"/>
              </w:rPr>
              <w:t>Consolidated Financial Statements as of December 31, 2022 and 2021 and for the years ended December 31, 2022, 2021 and 2020</w:t>
            </w:r>
          </w:p>
        </w:tc>
        <w:tc>
          <w:tcPr>
            <w:tcW w:w="260" w:type="dxa"/>
            <w:vAlign w:val="bottom"/>
          </w:tcPr>
          <w:p>
            <w:pPr>
              <w:spacing w:after="0"/>
              <w:rPr>
                <w:sz w:val="20"/>
                <w:szCs w:val="20"/>
                <w:color w:val="auto"/>
              </w:rPr>
            </w:pPr>
          </w:p>
        </w:tc>
      </w:tr>
      <w:tr>
        <w:trPr>
          <w:trHeight w:val="297"/>
        </w:trPr>
        <w:tc>
          <w:tcPr>
            <w:tcW w:w="10620" w:type="dxa"/>
            <w:vAlign w:val="bottom"/>
            <w:gridSpan w:val="8"/>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ID:185)</w:t>
            </w:r>
          </w:p>
        </w:tc>
        <w:tc>
          <w:tcPr>
            <w:tcW w:w="260" w:type="dxa"/>
            <w:vAlign w:val="bottom"/>
          </w:tcPr>
          <w:p>
            <w:pPr>
              <w:spacing w:after="0"/>
              <w:rPr>
                <w:sz w:val="20"/>
                <w:szCs w:val="20"/>
                <w:color w:val="auto"/>
              </w:rPr>
            </w:pPr>
            <w:r>
              <w:rPr>
                <w:rFonts w:ascii="Arial" w:cs="Arial" w:eastAsia="Arial" w:hAnsi="Arial"/>
                <w:sz w:val="18"/>
                <w:szCs w:val="18"/>
                <w:color w:val="0000FF"/>
                <w:w w:val="88"/>
              </w:rPr>
              <w:t>F-1</w:t>
            </w:r>
          </w:p>
        </w:tc>
      </w:tr>
      <w:tr>
        <w:trPr>
          <w:trHeight w:val="209"/>
        </w:trPr>
        <w:tc>
          <w:tcPr>
            <w:tcW w:w="42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Balance Sheets</w:t>
            </w:r>
          </w:p>
        </w:tc>
        <w:tc>
          <w:tcPr>
            <w:tcW w:w="6340" w:type="dxa"/>
            <w:vAlign w:val="bottom"/>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8"/>
              </w:rPr>
              <w:t>F-4</w:t>
            </w:r>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Arial" w:cs="Arial" w:eastAsia="Arial" w:hAnsi="Arial"/>
                <w:sz w:val="18"/>
                <w:szCs w:val="18"/>
                <w:color w:val="0000FF"/>
              </w:rPr>
              <w:t>Consolidated Statements of Income</w:t>
            </w:r>
          </w:p>
        </w:tc>
        <w:tc>
          <w:tcPr>
            <w:tcW w:w="260" w:type="dxa"/>
            <w:vAlign w:val="bottom"/>
          </w:tcPr>
          <w:p>
            <w:pPr>
              <w:spacing w:after="0"/>
              <w:rPr>
                <w:sz w:val="20"/>
                <w:szCs w:val="20"/>
                <w:color w:val="auto"/>
              </w:rPr>
            </w:pPr>
            <w:r>
              <w:rPr>
                <w:rFonts w:ascii="Arial" w:cs="Arial" w:eastAsia="Arial" w:hAnsi="Arial"/>
                <w:sz w:val="18"/>
                <w:szCs w:val="18"/>
                <w:color w:val="0000FF"/>
                <w:w w:val="88"/>
              </w:rPr>
              <w:t>F-5</w:t>
            </w: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260" w:type="dxa"/>
            <w:vAlign w:val="bottom"/>
          </w:tcPr>
          <w:p>
            <w:pPr>
              <w:spacing w:after="0"/>
              <w:rPr>
                <w:sz w:val="20"/>
                <w:szCs w:val="20"/>
                <w:color w:val="auto"/>
              </w:rPr>
            </w:pPr>
            <w:r>
              <w:rPr>
                <w:rFonts w:ascii="Arial" w:cs="Arial" w:eastAsia="Arial" w:hAnsi="Arial"/>
                <w:sz w:val="18"/>
                <w:szCs w:val="18"/>
                <w:color w:val="0000FF"/>
                <w:w w:val="88"/>
              </w:rPr>
              <w:t>F-6</w:t>
            </w:r>
          </w:p>
        </w:tc>
      </w:tr>
      <w:tr>
        <w:trPr>
          <w:trHeight w:val="209"/>
        </w:trPr>
        <w:tc>
          <w:tcPr>
            <w:tcW w:w="42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Consolidated Statements of Stockholders’ Equity</w:t>
            </w:r>
          </w:p>
        </w:tc>
        <w:tc>
          <w:tcPr>
            <w:tcW w:w="6380" w:type="dxa"/>
            <w:vAlign w:val="bottom"/>
            <w:gridSpan w:val="2"/>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8"/>
              </w:rPr>
              <w:t>F-7</w:t>
            </w:r>
          </w:p>
        </w:tc>
      </w:tr>
      <w:tr>
        <w:trPr>
          <w:trHeight w:val="210"/>
        </w:trPr>
        <w:tc>
          <w:tcPr>
            <w:tcW w:w="35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7080" w:type="dxa"/>
            <w:vAlign w:val="bottom"/>
            <w:gridSpan w:val="3"/>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8"/>
              </w:rPr>
              <w:t>F-8</w:t>
            </w: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60" w:type="dxa"/>
            <w:vAlign w:val="bottom"/>
          </w:tcPr>
          <w:p>
            <w:pPr>
              <w:spacing w:after="0"/>
              <w:rPr>
                <w:sz w:val="20"/>
                <w:szCs w:val="20"/>
                <w:color w:val="auto"/>
              </w:rPr>
            </w:pPr>
            <w:r>
              <w:rPr>
                <w:rFonts w:ascii="Arial" w:cs="Arial" w:eastAsia="Arial" w:hAnsi="Arial"/>
                <w:sz w:val="18"/>
                <w:szCs w:val="18"/>
                <w:color w:val="0000FF"/>
                <w:w w:val="88"/>
              </w:rPr>
              <w:t>F-9</w:t>
            </w:r>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Arial" w:cs="Arial" w:eastAsia="Arial" w:hAnsi="Arial"/>
                <w:sz w:val="18"/>
                <w:szCs w:val="18"/>
                <w:color w:val="0000FF"/>
              </w:rPr>
              <w:t>Schedule II—Valuation and Qualifying Accounts</w:t>
            </w:r>
          </w:p>
        </w:tc>
        <w:tc>
          <w:tcPr>
            <w:tcW w:w="260" w:type="dxa"/>
            <w:vAlign w:val="bottom"/>
          </w:tcPr>
          <w:p>
            <w:pPr>
              <w:spacing w:after="0"/>
              <w:rPr>
                <w:sz w:val="20"/>
                <w:szCs w:val="20"/>
                <w:color w:val="auto"/>
              </w:rPr>
            </w:pPr>
            <w:r>
              <w:rPr>
                <w:rFonts w:ascii="Arial" w:cs="Arial" w:eastAsia="Arial" w:hAnsi="Arial"/>
                <w:sz w:val="18"/>
                <w:szCs w:val="18"/>
                <w:color w:val="0000FF"/>
                <w:w w:val="85"/>
              </w:rPr>
              <w:t>S-1</w:t>
            </w:r>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60" w:top="891" w:right="659" w:bottom="1440" w:gutter="0" w:footer="0" w:header="0"/>
        </w:sectPr>
      </w:pPr>
    </w:p>
    <w:bookmarkStart w:id="62" w:name="page63"/>
    <w:bookmarkEnd w:id="6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AMC Networks Inc. and subsidiaries (the Company) as of December 31, 2022 and 2021, the related consolidated statements of income, comprehensive income (loss), stockholders’ equity, and cash flows for each of the years in the three-year period ended December 31, 2022, and the related notes and financial statement schedule II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17, 2023,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carrying value of goodwill in the AMC Networks International (AMCNI) reporting unit</w:t>
      </w:r>
    </w:p>
    <w:p>
      <w:pPr>
        <w:spacing w:after="0" w:line="117" w:lineRule="exact"/>
        <w:rPr>
          <w:sz w:val="20"/>
          <w:szCs w:val="20"/>
          <w:color w:val="auto"/>
        </w:rPr>
      </w:pPr>
    </w:p>
    <w:p>
      <w:pPr>
        <w:ind w:left="340" w:right="160"/>
        <w:spacing w:after="0" w:line="275" w:lineRule="auto"/>
        <w:rPr>
          <w:sz w:val="20"/>
          <w:szCs w:val="20"/>
          <w:color w:val="auto"/>
        </w:rPr>
      </w:pPr>
      <w:r>
        <w:rPr>
          <w:rFonts w:ascii="Arial" w:cs="Arial" w:eastAsia="Arial" w:hAnsi="Arial"/>
          <w:sz w:val="17"/>
          <w:szCs w:val="17"/>
          <w:color w:val="auto"/>
        </w:rPr>
        <w:t>As discussed in Note 9 to the consolidated financial statements, the Company’s goodwill balance for the International and Other segment was $294.1 million at December 31, 2022, which includes its AMCNI reporting unit. The Company performs goodwill impairment testing at the reporting unit level on an annual basis during the fourth quarter of each fiscal year as of December 1, and whenever events and changes in circumstances indicate that the carrying value of a reporting unit might exceed its fair value. The Company recognized an impairment charge of $40.7 million for the year ended December 31, 2022 to reduce the carrying value of the AMCNI reporting unit to its fair value.</w:t>
      </w:r>
    </w:p>
    <w:p>
      <w:pPr>
        <w:spacing w:after="0" w:line="68"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color w:val="auto"/>
        </w:rPr>
        <w:t>We identified the assessment of the carrying value of goodwill in the AMCNI reporting unit as a critical audit matter. Revenue growth rates, long-term growth rate and the discount rate used by the Company to estimate the fair value of the reporting unit involved especially challenging auditor judgment and could have a significant effect on the Company’s assessment of the carrying value of the reporting unit’s goodwill.</w:t>
      </w:r>
    </w:p>
    <w:p>
      <w:pPr>
        <w:spacing w:after="0" w:line="57" w:lineRule="exact"/>
        <w:rPr>
          <w:sz w:val="20"/>
          <w:szCs w:val="20"/>
          <w:color w:val="auto"/>
        </w:rPr>
      </w:pPr>
    </w:p>
    <w:p>
      <w:pPr>
        <w:ind w:left="340" w:right="380"/>
        <w:spacing w:after="0" w:line="26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over the selection of the revenue growth rates, long-term growth rate and the discount rate used to estimate the fair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3" w:name="page64"/>
    <w:bookmarkEnd w:id="63"/>
    <w:p>
      <w:pPr>
        <w:ind w:left="340" w:right="80"/>
        <w:spacing w:after="0" w:line="275" w:lineRule="auto"/>
        <w:rPr>
          <w:sz w:val="20"/>
          <w:szCs w:val="20"/>
          <w:color w:val="auto"/>
        </w:rPr>
      </w:pPr>
      <w:r>
        <w:rPr>
          <w:rFonts w:ascii="Arial" w:cs="Arial" w:eastAsia="Arial" w:hAnsi="Arial"/>
          <w:sz w:val="17"/>
          <w:szCs w:val="17"/>
          <w:color w:val="auto"/>
        </w:rPr>
        <w:t>value of the reporting unit. We performed sensitivity analyses over the revenue growth rates, long-term growth rate and discount rate assumptions.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skills and knowledge who assisted in:</w:t>
      </w:r>
    </w:p>
    <w:p>
      <w:pPr>
        <w:spacing w:after="0" w:line="68" w:lineRule="exact"/>
        <w:rPr>
          <w:sz w:val="20"/>
          <w:szCs w:val="20"/>
          <w:color w:val="auto"/>
        </w:rPr>
      </w:pPr>
    </w:p>
    <w:p>
      <w:pPr>
        <w:ind w:left="340" w:right="460" w:hanging="8"/>
        <w:spacing w:after="0" w:line="277" w:lineRule="auto"/>
        <w:tabs>
          <w:tab w:leader="none" w:pos="4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independently developing a discount rate range using publicly available market data for comparable entities and comparing it to the Company’s discount rate;</w:t>
      </w:r>
    </w:p>
    <w:p>
      <w:pPr>
        <w:spacing w:after="0" w:line="62" w:lineRule="exact"/>
        <w:rPr>
          <w:rFonts w:ascii="Arial" w:cs="Arial" w:eastAsia="Arial" w:hAnsi="Arial"/>
          <w:sz w:val="18"/>
          <w:szCs w:val="18"/>
          <w:color w:val="auto"/>
        </w:rPr>
      </w:pPr>
    </w:p>
    <w:p>
      <w:pPr>
        <w:ind w:left="340" w:right="200" w:hanging="8"/>
        <w:spacing w:after="0" w:line="277" w:lineRule="auto"/>
        <w:tabs>
          <w:tab w:leader="none" w:pos="4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independently developing a long-term growth rate range using publicly available market data and comparing it to the Company’s long-term growth rate; and</w:t>
      </w:r>
    </w:p>
    <w:p>
      <w:pPr>
        <w:spacing w:after="0" w:line="62" w:lineRule="exact"/>
        <w:rPr>
          <w:rFonts w:ascii="Arial" w:cs="Arial" w:eastAsia="Arial" w:hAnsi="Arial"/>
          <w:sz w:val="18"/>
          <w:szCs w:val="18"/>
          <w:color w:val="auto"/>
        </w:rPr>
      </w:pPr>
    </w:p>
    <w:p>
      <w:pPr>
        <w:ind w:left="340" w:right="540" w:hanging="8"/>
        <w:spacing w:after="0" w:line="308" w:lineRule="auto"/>
        <w:tabs>
          <w:tab w:leader="none" w:pos="4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developing an estimated range of the reporting unit fair value using the reporting unit’s cash flow projections and the independently developed discount rate range and long-term growth rate range and compared the result to the Company’s fair value estimate.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amortization of owned original program rights predominantly monetized individually</w:t>
      </w:r>
    </w:p>
    <w:p>
      <w:pPr>
        <w:spacing w:after="0" w:line="11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As discussed in Note 6 to the consolidated financial statements, the balance of the Company’s owned original program rights, net as of December 31, 2022 was $876.9 million, of which $215.5 million relates to completed productions predominantly monetized individually. Program rights that are predominantly monetized individually are amortized to technical and operating expense over their estimated useful lives, commencing upon the first airing, based on attributable revenue for airings to-date as a percentage of total projected attributable revenue (“ultimate revenue”) under the individual-film-forecast-computation method. The Company bases its estimates of ultimate revenue primarily on distribution and advertising revenues historically generated from similar content in comparable markets, and projected program usage. Projected program usage is based on the Company’s expectation of future exhibitions. The Company periodically reviews ultimate revenue estimates and projected program usage and revises assumptions, if necessary, which could either accelerate or delay the timing of amortization expense or result in a write-down of unamortized costs to fair value.</w:t>
      </w:r>
    </w:p>
    <w:p>
      <w:pPr>
        <w:spacing w:after="0" w:line="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identified the assessment of ultimate revenues used in the amortization of owned original program rights as a critical audit matter. The assumptions used by the Company to determine ultimate revenues involved especially challenging auditor judgment as they involve subjective assessments about future distribution (subscription fee revenues and content licensing revenues) and advertising revenues. Changes in those assumptions could have a significant effect on the carrying amount of the Company’s owned original program rights and associated current period program rights amortization expense.</w:t>
      </w:r>
    </w:p>
    <w:p>
      <w:pPr>
        <w:spacing w:after="0" w:line="80"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development of assumptions used in determining projected attributable distribution revenue and projected attributable advertising revenue. We compared the Company’s historical projections of attributable distribution and advertising revenues to actual results to assess the Company’s ability to accurately project ultimate revenues. For a selection of owned original programming predominantly monetized individually, we evaluated (1) projected attributable subscription fee revenue, by comparing the Company’s assumptions for projected subscribers and rates to recent actual subscriber and rate trends and terms of existing distribution agreements, (2) projected attributable content licensing revenue, by comparing expected licensing fees to contractual terms of existing agreements and recent historical trends of sales and usage based royalties, (3) projected attributable advertising revenue, by comparing the underlying pricing and ratings assumptions to recent historical trends, and (4) projected program usage by comparing historical projections to actual usage, to assess the company’s ability to accurately project program usage, and compared projected program usage to historical trends.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audited AMC Networks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(loss), stockholders’ equity, and cash flows for each of the years in the three-year period ended December 31, 2022, and the related notes, and financial statement schedule II (collectively, the consolidated financial statements), and our report, dated February 17, 2023, expressed an unqualified opinion on those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9"/>
        </w:trPr>
        <w:tc>
          <w:tcPr>
            <w:tcW w:w="8240" w:type="dxa"/>
            <w:vAlign w:val="bottom"/>
          </w:tcPr>
          <w:p>
            <w:pPr>
              <w:jc w:val="center"/>
              <w:ind w:left="2859"/>
              <w:spacing w:after="0"/>
              <w:rPr>
                <w:sz w:val="20"/>
                <w:szCs w:val="20"/>
                <w:color w:val="auto"/>
              </w:rPr>
            </w:pPr>
            <w:r>
              <w:rPr>
                <w:rFonts w:ascii="Arial" w:cs="Arial" w:eastAsia="Arial" w:hAnsi="Arial"/>
                <w:sz w:val="16"/>
                <w:szCs w:val="16"/>
                <w:b w:val="1"/>
                <w:bCs w:val="1"/>
                <w:color w:val="auto"/>
              </w:rPr>
              <w:t>AMC NETWORKS INC. AND SUBSIDIARIES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tcPr>
          <w:p>
            <w:pPr>
              <w:jc w:val="center"/>
              <w:ind w:left="2839"/>
              <w:spacing w:after="0"/>
              <w:rPr>
                <w:sz w:val="20"/>
                <w:szCs w:val="20"/>
                <w:color w:val="auto"/>
              </w:rPr>
            </w:pPr>
            <w:r>
              <w:rPr>
                <w:rFonts w:ascii="Arial" w:cs="Arial" w:eastAsia="Arial" w:hAnsi="Arial"/>
                <w:sz w:val="16"/>
                <w:szCs w:val="16"/>
                <w:b w:val="1"/>
                <w:bCs w:val="1"/>
                <w:color w:val="auto"/>
              </w:rPr>
              <w:t>CONSOLIDATED BALANCE SHEETS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tcPr>
          <w:p>
            <w:pPr>
              <w:jc w:val="center"/>
              <w:ind w:left="2839"/>
              <w:spacing w:after="0"/>
              <w:rPr>
                <w:sz w:val="20"/>
                <w:szCs w:val="20"/>
                <w:color w:val="auto"/>
              </w:rPr>
            </w:pPr>
            <w:r>
              <w:rPr>
                <w:rFonts w:ascii="Arial" w:cs="Arial" w:eastAsia="Arial" w:hAnsi="Arial"/>
                <w:sz w:val="16"/>
                <w:szCs w:val="16"/>
                <w:b w:val="1"/>
                <w:bCs w:val="1"/>
                <w:color w:val="auto"/>
                <w:w w:val="89"/>
              </w:rPr>
              <w:t>(In thousands, except per share amounts)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Accounts receivable, trade (less allowance for doubtful accounts of $8,725 and $8,030)</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722,185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815,444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282,453</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2,000,186</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$344,906 and $286,133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202,034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225,791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1,731,838</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354,676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399,434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709,344</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125,866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545,153</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5,633,836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172,009</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173,207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340,407</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307,054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167,071</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06"/>
        </w:trPr>
        <w:tc>
          <w:tcPr>
            <w:tcW w:w="824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1,170,233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1,058,085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218,321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2,778,703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2,804,720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Lease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151,839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163,600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165,860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4,526,354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4,562,425</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283,849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6"/>
                <w:szCs w:val="16"/>
                <w:color w:val="auto"/>
                <w:w w:val="91"/>
              </w:rPr>
              <w:t>Class A Common Stock, $0.01 par value, 360,000 shares authorized, 66,118 and 65,485 shares issued and 31,525 and 30,892</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6"/>
                <w:szCs w:val="16"/>
                <w:color w:val="auto"/>
              </w:rPr>
              <w:t>shares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347,971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Accumulated earnings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2,105,641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2,098,047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(239,798)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(175,818)</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AMC Networks stockholders'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851,088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853,813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902,672</w:t>
            </w:r>
          </w:p>
        </w:tc>
        <w:tc>
          <w:tcPr>
            <w:tcW w:w="0" w:type="dxa"/>
            <w:vAlign w:val="bottom"/>
          </w:tcPr>
          <w:p>
            <w:pPr>
              <w:spacing w:after="0"/>
              <w:rPr>
                <w:sz w:val="1"/>
                <w:szCs w:val="1"/>
                <w:color w:val="auto"/>
              </w:rPr>
            </w:pPr>
          </w:p>
        </w:tc>
      </w:tr>
      <w:tr>
        <w:trPr>
          <w:trHeight w:val="213"/>
        </w:trPr>
        <w:tc>
          <w:tcPr>
            <w:tcW w:w="8240" w:type="dxa"/>
            <w:vAlign w:val="bottom"/>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5,633,836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74"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9"/>
        </w:trPr>
        <w:tc>
          <w:tcPr>
            <w:tcW w:w="8100" w:type="dxa"/>
            <w:vAlign w:val="bottom"/>
            <w:gridSpan w:val="4"/>
          </w:tcPr>
          <w:p>
            <w:pPr>
              <w:jc w:val="center"/>
              <w:ind w:left="3031"/>
              <w:spacing w:after="0"/>
              <w:rPr>
                <w:sz w:val="20"/>
                <w:szCs w:val="20"/>
                <w:color w:val="auto"/>
              </w:rPr>
            </w:pPr>
            <w:r>
              <w:rPr>
                <w:rFonts w:ascii="Arial" w:cs="Arial" w:eastAsia="Arial" w:hAnsi="Arial"/>
                <w:sz w:val="16"/>
                <w:szCs w:val="16"/>
                <w:b w:val="1"/>
                <w:bCs w:val="1"/>
                <w:color w:val="auto"/>
              </w:rPr>
              <w:t>AMC NETWORKS INC. AND SUBSIDIARIES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100" w:type="dxa"/>
            <w:vAlign w:val="bottom"/>
            <w:gridSpan w:val="4"/>
          </w:tcPr>
          <w:p>
            <w:pPr>
              <w:jc w:val="center"/>
              <w:ind w:left="3031"/>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7040" w:type="dxa"/>
            <w:vAlign w:val="bottom"/>
            <w:gridSpan w:val="2"/>
          </w:tcPr>
          <w:p>
            <w:pPr>
              <w:jc w:val="center"/>
              <w:ind w:left="4031"/>
              <w:spacing w:after="0"/>
              <w:rPr>
                <w:sz w:val="20"/>
                <w:szCs w:val="20"/>
                <w:color w:val="auto"/>
              </w:rPr>
            </w:pPr>
            <w:r>
              <w:rPr>
                <w:rFonts w:ascii="Arial" w:cs="Arial" w:eastAsia="Arial" w:hAnsi="Arial"/>
                <w:sz w:val="16"/>
                <w:szCs w:val="16"/>
                <w:b w:val="1"/>
                <w:bCs w:val="1"/>
                <w:color w:val="auto"/>
                <w:w w:val="89"/>
              </w:rPr>
              <w:t>(In thousands, except per share amounts)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65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2020</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Technical and operating (excluding 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1,401,591</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708,820</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Impairment and other charges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122,227</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2,587,686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2,372,312</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(138,610)</w:t>
            </w:r>
          </w:p>
        </w:tc>
      </w:tr>
      <w:tr>
        <w:trPr>
          <w:trHeight w:val="230"/>
        </w:trPr>
        <w:tc>
          <w:tcPr>
            <w:tcW w:w="65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30,032</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9"/>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Miscellaneous, net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71,221</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(40,265)</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Income (loss) from operations before income taxes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402,379</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256,988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239,979</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162"/>
        </w:trPr>
        <w:tc>
          <w:tcPr>
            <w:tcW w:w="6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51,016</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51,733</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67" w:name="page68"/>
    <w:bookmarkEnd w:id="67"/>
    <w:p>
      <w:pPr>
        <w:ind w:left="39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r>
      <w:tr>
        <w:trPr>
          <w:trHeight w:val="229"/>
        </w:trPr>
        <w:tc>
          <w:tcPr>
            <w:tcW w:w="6500" w:type="dxa"/>
            <w:vAlign w:val="bottom"/>
          </w:tcPr>
          <w:p>
            <w:pPr>
              <w:ind w:left="680"/>
              <w:spacing w:after="0"/>
              <w:rPr>
                <w:sz w:val="20"/>
                <w:szCs w:val="20"/>
                <w:color w:val="auto"/>
              </w:rPr>
            </w:pPr>
            <w:r>
              <w:rPr>
                <w:rFonts w:ascii="Arial" w:cs="Arial" w:eastAsia="Arial" w:hAnsi="Arial"/>
                <w:sz w:val="18"/>
                <w:szCs w:val="18"/>
                <w:color w:val="auto"/>
              </w:rPr>
              <w:t>Unrealized gain (loss) on interest rate swaps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3"/>
        </w:trPr>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33,125</w:t>
            </w:r>
          </w:p>
        </w:tc>
      </w:tr>
      <w:tr>
        <w:trPr>
          <w:trHeight w:val="229"/>
        </w:trPr>
        <w:tc>
          <w:tcPr>
            <w:tcW w:w="6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33,239</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237,882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290,227</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(17,487)</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272,740</w:t>
            </w:r>
          </w:p>
        </w:tc>
      </w:tr>
      <w:tr>
        <w:trPr>
          <w:trHeight w:val="21"/>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8" w:name="page69"/>
    <w:bookmarkEnd w:id="68"/>
    <w:p>
      <w:pPr>
        <w:ind w:left="4040"/>
        <w:spacing w:after="0"/>
        <w:rPr>
          <w:sz w:val="20"/>
          <w:szCs w:val="20"/>
          <w:color w:val="auto"/>
        </w:rPr>
      </w:pPr>
      <w:r>
        <w:rPr>
          <w:rFonts w:ascii="Arial" w:cs="Arial" w:eastAsia="Arial" w:hAnsi="Arial"/>
          <w:sz w:val="15"/>
          <w:szCs w:val="15"/>
          <w:b w:val="1"/>
          <w:bCs w:val="1"/>
          <w:color w:val="auto"/>
        </w:rPr>
        <w:t>AMC NETWORKS INC. AND SUBSIDIARIES</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Class A</w:t>
            </w:r>
          </w:p>
        </w:tc>
        <w:tc>
          <w:tcPr>
            <w:tcW w:w="100" w:type="dxa"/>
            <w:vAlign w:val="bottom"/>
          </w:tcPr>
          <w:p>
            <w:pPr>
              <w:spacing w:after="0"/>
              <w:rPr>
                <w:sz w:val="13"/>
                <w:szCs w:val="13"/>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Class B</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Total AMC</w:t>
            </w: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Paid-in</w:t>
            </w: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Networks</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Common</w:t>
            </w:r>
          </w:p>
        </w:tc>
        <w:tc>
          <w:tcPr>
            <w:tcW w:w="76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2"/>
              </w:rPr>
              <w:t>Interests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$ 286,491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1,609,428</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(1,063,181)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665,781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Adoption of ASU 2016-13, credit losses</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(356,701)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323,425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6"/>
              </w:rPr>
              <w:t>1,847,451</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(1,419,882)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250,596</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250,596</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12,013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12,013</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(41,957)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share issuance under employee stock plans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(32,886)</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347,971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6"/>
              </w:rPr>
              <w:t>2,098,047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(1,419,882)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851,088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51,584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902,672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7,594</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6,708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6,708</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 net of tax</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Distributions to noncontrolling members</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(7,522)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(63,980)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(66,628)</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37,684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37,684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37,684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share issuance under employee stock plans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(22,332)</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$ 360,251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2,105,641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(239,798)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806,988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46,825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853,813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9"/>
        </w:trPr>
        <w:tc>
          <w:tcPr>
            <w:tcW w:w="7540" w:type="dxa"/>
            <w:vAlign w:val="bottom"/>
          </w:tcPr>
          <w:p>
            <w:pPr>
              <w:jc w:val="center"/>
              <w:ind w:left="3639"/>
              <w:spacing w:after="0"/>
              <w:rPr>
                <w:sz w:val="20"/>
                <w:szCs w:val="20"/>
                <w:color w:val="auto"/>
              </w:rPr>
            </w:pPr>
            <w:r>
              <w:rPr>
                <w:rFonts w:ascii="Arial" w:cs="Arial" w:eastAsia="Arial" w:hAnsi="Arial"/>
                <w:sz w:val="16"/>
                <w:szCs w:val="16"/>
                <w:b w:val="1"/>
                <w:bCs w:val="1"/>
                <w:color w:val="auto"/>
              </w:rPr>
              <w:t>AMC NETWORKS INC. AND SUBSIDIARIES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7540" w:type="dxa"/>
            <w:vAlign w:val="bottom"/>
          </w:tcPr>
          <w:p>
            <w:pPr>
              <w:jc w:val="center"/>
              <w:ind w:left="3619"/>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7540" w:type="dxa"/>
            <w:vAlign w:val="bottom"/>
          </w:tcPr>
          <w:p>
            <w:pPr>
              <w:jc w:val="center"/>
              <w:ind w:left="3619"/>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7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Net income including noncontrolling interests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279,839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256,988</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104,606</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and other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Share-based compensation expenses related to equity classified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52,908</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restructuring and other related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Amortization and write-offs of program rights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1,008,470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909,339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923,886</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carriage fees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28,231</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Unrealized foreign currency transaction loss (gain)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2,908</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Bad debt expense (recoveries)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23,159</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investments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64,060</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Program rights and obligations,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(850,013)</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6,703</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Deferred carriage fees,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(8,833)</w:t>
            </w:r>
          </w:p>
        </w:tc>
      </w:tr>
      <w:tr>
        <w:trPr>
          <w:trHeight w:val="233"/>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 xml:space="preserve">Accounts payable, accrued </w:t>
            </w:r>
            <w:r>
              <w:rPr>
                <w:rFonts w:ascii="Arial" w:cs="Arial" w:eastAsia="Arial" w:hAnsi="Arial"/>
                <w:sz w:val="17"/>
                <w:szCs w:val="17"/>
                <w:color w:val="auto"/>
              </w:rPr>
              <w:t>liabilities</w:t>
            </w:r>
            <w:r>
              <w:rPr>
                <w:rFonts w:ascii="Arial" w:cs="Arial" w:eastAsia="Arial" w:hAnsi="Arial"/>
                <w:sz w:val="16"/>
                <w:szCs w:val="16"/>
                <w:color w:val="auto"/>
              </w:rPr>
              <w:t xml:space="preserve"> and 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129,406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748,736</w:t>
            </w: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(46,595)</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of capital from investees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Acquisition of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Loans to investees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Cash paid on distribution of business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received on loans to investees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Payments for acquisitions of businesses, net of cash acquired</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7"/>
        </w:trPr>
        <w:tc>
          <w:tcPr>
            <w:tcW w:w="7540" w:type="dxa"/>
            <w:vAlign w:val="bottom"/>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(35,163)</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Proceeds from the issuance of long-term debt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986,000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on long-term debt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(262,250)</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Deemed repurchases of restricted stock units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(15,967)</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treasury stock</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(356,701)</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Proceeds from stock option exercises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on finance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Purchase of noncontrolling interests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(15,819)</w:t>
            </w:r>
          </w:p>
        </w:tc>
      </w:tr>
      <w:tr>
        <w:trPr>
          <w:trHeight w:val="212"/>
        </w:trPr>
        <w:tc>
          <w:tcPr>
            <w:tcW w:w="75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(647,998)</w:t>
            </w:r>
          </w:p>
        </w:tc>
      </w:tr>
      <w:tr>
        <w:trPr>
          <w:trHeight w:val="207"/>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65,575</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6,781</w:t>
            </w:r>
          </w:p>
        </w:tc>
      </w:t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r>
      <w:tr>
        <w:trPr>
          <w:trHeight w:val="23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888,526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4" w:lineRule="auto"/>
        <w:tabs>
          <w:tab w:leader="none" w:pos="65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relating to the 2021 spin-off of the Levity comedy venues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primarily earns revenue from (i) the distribution of its programming services, through distributors and directly to consumers, and licensing of its programming and other content, (ii) advertising, and (iii)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 Revenue Recognition.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Costs of revenues, including but not limited to programming expenses, primarily consisting of amortization of program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Advertising costs are charged to expense when incurred and are included in selling, general and administrative expenses in the consolidated statements of income. Advertising costs were $379.0 million, $383.0 million and $246.9 million for the years ended December 31, 2022, 2021 and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expenses is included in selling, general and administrative expenses in the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of $(1.2) million, $12.2 million and $(4.0) million for the years ended December 31, 2022, 2021 and 2020, respectively, which are included in miscellaneous, net in the consolidated statements of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4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 As of December 31, 2022 and 2021, the Company had $281.3 million and $293.4 million, respectively, of accounts receivable contractually due in excess of one-year, which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expenses on a straight-line or accelerated basis, based on the expected exploitation strategy of the rights, over a period not to exceed the respective license periods.</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Owned original programming costs are recorded as program rights on the consolidated balance sheet. Program rights that are monetized as a group are amortized based on projected usage, typically resulting in an accelerated amortization pattern. Projected program usage is based on the Company's current expectation of future exhibitions taking into account historical usage of similar content. To a lesser extent, program rights that are predominantly monetized individually are amortized to technical and operating expenses over their estimated useful lives, commencing upon the first airing, based on attributable revenue for airings to date as a percentage of total projected attributable revenue ("ultimate revenue") under the individual-film-forecast-computation method.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 at the earlier of the time of abandonment or three years.</w:t>
      </w:r>
    </w:p>
    <w:p>
      <w:pPr>
        <w:spacing w:after="0" w:line="6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See Note 6 for further discussion regarding program rights.</w:t>
      </w:r>
    </w:p>
    <w:p>
      <w:pPr>
        <w:spacing w:after="0" w:line="5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the normal course of business, the Company may qualify for tax incentives through eligible spend on productions. These tax incentives generally provide for refundable or transferable tax credits upon meeting established levels of qualified production spending within a participating jurisdiction and may be received prior to or after completion of a production. Production tax incentives are included in prepaid and other current assets or other assets in the consolidated balance sheet with a corresponding reduction to the cost basis of the Company’s programming assets when collection becomes probable, and reduces program rights amortization over the life of the title. Receivables related to tax incentives earned on production spend as of December 31, 2022 were $143.1 million and $104.5 million recorded in Prepaid expenses and other current assets and Other assets,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Investments in equity securities (excluding equity method investments) with readily determinable fair values are accounted for at fair value. The Company applies the measurement alternative to fair value for equity securities without readily determinable fair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49"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and expenses incurred on behalf of investees as well as payments from equity method investees such as dividends and distributions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(less distributions received in prior periods that were determined to be returns of investment)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evaluates its equity method investments for impairment whenever events or changes in circumstances indicate that the carrying amounts of such investments may not be recoverable. See Note </w:t>
      </w:r>
      <w:r>
        <w:rPr>
          <w:rFonts w:ascii="Arial" w:cs="Arial" w:eastAsia="Arial" w:hAnsi="Arial"/>
          <w:sz w:val="18"/>
          <w:szCs w:val="18"/>
          <w:b w:val="1"/>
          <w:bCs w:val="1"/>
          <w:color w:val="auto"/>
        </w:rPr>
        <w:t>7</w:t>
      </w:r>
      <w:r>
        <w:rPr>
          <w:rFonts w:ascii="Arial" w:cs="Arial" w:eastAsia="Arial" w:hAnsi="Arial"/>
          <w:sz w:val="18"/>
          <w:szCs w:val="18"/>
          <w:color w:val="auto"/>
        </w:rPr>
        <w:t xml:space="preserve"> for further discussion regarding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Property and equipment are carried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w:t>
      </w:r>
    </w:p>
    <w:p>
      <w:pPr>
        <w:spacing w:after="0" w:line="79"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1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reviews its long-lived assets (property and equipment, and amortizable intangible assets) for impairment whenever events or circumstances indicate that the carrying amount of an asset group may not be recoverable. If the sum of the expected cash flows, undiscounted and without interest, is less than the carrying amount of the asset group, an impairment loss is recognized as the amount by which the carrying amount of the asset group exceeds its fair value. See Note 9 for further discussion regarding impairment tests of long-lived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Indefinite-lived intangible assets established in connection with business combinations consist of trademarks. The annual indefinite-lived intangible asset impairment test allows for the option to first assess qualitative factors to determine whether it is more likely than not that the fair value is less than its carrying amount. If it is determined, on the basis of qualitative factors, that the fair value is, more likely than not, less than its carrying value, the quantitative impairment test is required. The quantitative impairment test consists of a comparison of the estimated fair value of the intangible asset with its carrying value. If the carrying value exceeds its fair value, an impairment loss is recognized in an amount equal to that excess.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for further discussion regarding impairment tests of goodwill and indefinite-lived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 (up to 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13 for a further discussion of the Company's derivative financial instruments.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intangible low taxed income (“GILTI”) tax is treated as a period expense. Interest and penalties, if any, associated with uncertain tax positions are included in income tax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16 for further discussion regarding commitments and contingencies.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2022, two customers accounted for 14% and 12%, respectively, of accounts receivable (short and long-term). As of December 31, 2021, two customers accounted for 14% and 13%, respectively, of accounts receivable (short and long-term).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 at the greater of their initial carrying amount, increased or decreased for contributions, distributions and the noncontrolling interest's share of net income or loss, or redemption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740" w:type="dxa"/>
            <w:vAlign w:val="bottom"/>
            <w:gridSpan w:val="3"/>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596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2022, 2021 and 2020, 0.8 million, 0.4 million, and 0.3 million, respectively, of restricted stock units and stock options have been excluded from diluted weighted average common shares outstanding, as their impact would have been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AMC Networks Class B stockholders are parties to an agreement which has the effect of causing the voting power of these AMC Networks Class B stockholders to be cast as a block.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years ended December 31, 2022 and 2021, the Company did not repurchase any shares of its Class A common stock. As of December 31, 2022, the Company had $135.3 million available for repurchase under the Stock Repurchase Program.</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7"/>
          <w:szCs w:val="17"/>
          <w:color w:val="auto"/>
        </w:rPr>
        <w:t>On September 16, 2020, the Company commenced a modified "Dutch auction" tender offer (the "Tender Offer") to purchase up to $250 million in value of shares of its Class A Common Stock, plus up to an additional 2% of the outstanding shares of Class A Common Stock, at a price not greater than $26.50 nor less than $22.50 per share. The Tender Offer expired on October 14, 2020. On October 21, 2020, the Company accepted for purchase 10.8 million shares of its Class A Common Stock, at a price of $23.20 per share, for an aggregate cost of $250.6 million. The cost of these shares, and the fees relating to the Tender Offer, are classified in Treasury stock in the consolidated balance sheet.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share activity for all years presented: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8"/>
              </w:rPr>
              <w:t>Class A</w:t>
            </w:r>
          </w:p>
        </w:tc>
        <w:tc>
          <w:tcPr>
            <w:tcW w:w="1520" w:type="dxa"/>
            <w:vAlign w:val="bottom"/>
          </w:tcPr>
          <w:p>
            <w:pPr>
              <w:jc w:val="right"/>
              <w:ind w:right="432"/>
              <w:spacing w:after="0" w:line="158" w:lineRule="exact"/>
              <w:rPr>
                <w:sz w:val="20"/>
                <w:szCs w:val="20"/>
                <w:color w:val="auto"/>
              </w:rPr>
            </w:pPr>
            <w:r>
              <w:rPr>
                <w:rFonts w:ascii="Arial" w:cs="Arial" w:eastAsia="Arial" w:hAnsi="Arial"/>
                <w:sz w:val="16"/>
                <w:szCs w:val="16"/>
                <w:b w:val="1"/>
                <w:bCs w:val="1"/>
                <w:color w:val="auto"/>
              </w:rPr>
              <w:t>Class B</w:t>
            </w:r>
          </w:p>
        </w:tc>
      </w:tr>
      <w:tr>
        <w:trPr>
          <w:trHeight w:val="213"/>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520" w:type="dxa"/>
            <w:vAlign w:val="bottom"/>
          </w:tcPr>
          <w:p>
            <w:pPr>
              <w:jc w:val="right"/>
              <w:ind w:right="132"/>
              <w:spacing w:after="0"/>
              <w:rPr>
                <w:sz w:val="20"/>
                <w:szCs w:val="20"/>
                <w:color w:val="auto"/>
              </w:rPr>
            </w:pPr>
            <w:r>
              <w:rPr>
                <w:rFonts w:ascii="Arial" w:cs="Arial" w:eastAsia="Arial" w:hAnsi="Arial"/>
                <w:sz w:val="16"/>
                <w:szCs w:val="16"/>
                <w:b w:val="1"/>
                <w:bCs w:val="1"/>
                <w:color w:val="auto"/>
              </w:rPr>
              <w:t>Common Stock</w:t>
            </w:r>
          </w:p>
        </w:tc>
      </w:tr>
      <w:tr>
        <w:trPr>
          <w:trHeight w:val="22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29,975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30,892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11,484</w:t>
            </w: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80" w:firstLine="445"/>
        <w:spacing w:after="0" w:line="248"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0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In November 2021, the Financial Accounting Standard Board (“FASB”) issued Accounting Standards Update (“ASU”) 2021-10, Government Assistance (Topic 832): </w:t>
      </w:r>
      <w:r>
        <w:rPr>
          <w:rFonts w:ascii="Arial" w:cs="Arial" w:eastAsia="Arial" w:hAnsi="Arial"/>
          <w:sz w:val="18"/>
          <w:szCs w:val="18"/>
          <w:i w:val="1"/>
          <w:iCs w:val="1"/>
          <w:color w:val="auto"/>
        </w:rPr>
        <w:t>Disclosures by Business Entities about Government Assistance</w:t>
      </w:r>
      <w:r>
        <w:rPr>
          <w:rFonts w:ascii="Arial" w:cs="Arial" w:eastAsia="Arial" w:hAnsi="Arial"/>
          <w:sz w:val="18"/>
          <w:szCs w:val="18"/>
          <w:color w:val="auto"/>
        </w:rPr>
        <w:t>, requiring annual disclosures about transactions with a government that are accounted for by analogizing to a grant or contribution accounting model. The new guidance requires the disclosure of the nature of the transactions, the accounting policies used to account for the transactions, and the effect of the transactions on the financial statements. The Company adopted the new guidance prospectively for the year ended December 31, 2022, which impacts disclosures of tax incentives related to the production of content.</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Effective January 1, 2021, the Company adopted FASB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Accounting Standards Codification (“ASC”) Topic 740 - Income Taxes. The adoption of the standard did not have a material effect on the Company's consolidated financial statements.</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Effective January 1, 2020, the Company adopted FASB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changed the impairment model for most financial assets and certain other instruments, including trade and other receivables, held-to-maturity debt securities and loans, and requires entities to use a new forward-looking "expected loss" model that would generally result in the earlier recognition of allowances for losses. The Company adopted the standard using the modified retrospective approach and recorded a decrease to opening retained earnings of $2.0 million, after taxes, for the cumulative-effect of the adoption.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2020, the Company adopted FASB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standard changed the disclosure requirements related to transfers between Level I and II assets, as well as several aspects surrounding the valuation process and unrealized gains and losses related to Level III assets. The adoption of the standard did not have any effect on the Company's consolidated financial statements.</w:t>
      </w:r>
    </w:p>
    <w:p>
      <w:pPr>
        <w:spacing w:after="0" w:line="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Effective January 1, 2020, the Company adopted FASB ASU No.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Computing Arrangement that is a Service Contract</w:t>
      </w:r>
      <w:r>
        <w:rPr>
          <w:rFonts w:ascii="Arial" w:cs="Arial" w:eastAsia="Arial" w:hAnsi="Arial"/>
          <w:sz w:val="18"/>
          <w:szCs w:val="18"/>
          <w:color w:val="auto"/>
        </w:rPr>
        <w:t>. The standard amended prior guidance to align the accounting for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adoption of the standard did not have a material effect on the Company's consolidated financial statements.</w:t>
      </w:r>
    </w:p>
    <w:p>
      <w:pPr>
        <w:spacing w:after="0" w:line="84" w:lineRule="exact"/>
        <w:rPr>
          <w:sz w:val="20"/>
          <w:szCs w:val="20"/>
          <w:color w:val="auto"/>
        </w:rPr>
      </w:pPr>
    </w:p>
    <w:p>
      <w:pPr>
        <w:jc w:val="both"/>
        <w:ind w:firstLine="405"/>
        <w:spacing w:after="0" w:line="245"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Program Materials. </w:t>
      </w:r>
      <w:r>
        <w:rPr>
          <w:rFonts w:ascii="Arial" w:cs="Arial" w:eastAsia="Arial" w:hAnsi="Arial"/>
          <w:sz w:val="18"/>
          <w:szCs w:val="18"/>
          <w:color w:val="auto"/>
        </w:rPr>
        <w:t>The standard aligns the accounting for production costs of episodic television series with the accounting for production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films. In addition, the standard modifies certain aspects of the capitalization, impairment, presentation and disclosure requirements in ASC Topic 926-20 and the impairment, presentation and disclosure requirements in ASC 920-350. The Company adopted the standard on a prospective basis. See Note 6 for further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primarily earns revenue from (i) the distribution of its programming services, through distributors and directly to consumers, and licensing of its programming and other content, (ii) advertising, and (iii) other services. The Company’s revenue recognition policies summarizing the nature, amount, timing and uncertainty associated with each major source of revenue from contracts with customers are described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satisfaction or partial satisfaction of the performance obligation to which some or all of the sales-based or usage-based royalty has been allocated to. Occasionally, the Company incurs costs to obtain a distribution contract and these costs are amortized over the period of the related distribution contract as a reduction of revenue.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6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6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4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Company's performance obligation in connection with its streaming services is a license of functional intellectual property that is satisfied as the Company provides its programming over the term of the agreement. Subscription fees for the Company's streaming services are typically based on a per subscriber fee and are generally paid by distributors and consumers on a monthly basis. The Company applies the sales-based or usage-based royalty guidance, and accordingly, recognizes revenue in the period of usage, based on the subscription fee earned during the period.</w:t>
      </w:r>
    </w:p>
    <w:p>
      <w:pPr>
        <w:spacing w:after="0" w:line="58"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Content licensing revenue: The Company licenses its original programming content to certain distributors, including under streaming, pay-per-view ("PPV") and electronic sell-through ("EST") arrangements. For streaming licensing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at the later of the beginning of the license period, or when we provide the programming to the distributor.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 The Company adjusts the transaction price for the time value of money in cases where license fees are paid over several years. A contract asset is recognized for the difference between the revenue recognized and the amount we are permitted to invoice.</w:t>
      </w:r>
    </w:p>
    <w:p>
      <w:pPr>
        <w:spacing w:after="0" w:line="5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8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Generally, payment terms are 30 days after revenue is earned.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earns revenue from production and transmission services. Such services are recognized as revenue as the services are performed.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guidance requires disclosure of the aggregate amount of transaction price that is allocated to performance obligations that have not yet been satisfied as of December 31, 2022.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2022, other than contracts for which the Company has applied the practical expedients, the aggregate amount of transaction price allocated to remaining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consolidated balance sheet.</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including payments received in connection with an AMC Studios produced series for a third party.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receivables, within 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1,003,505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1,106,225</w:t>
            </w:r>
          </w:p>
        </w:tc>
      </w:tr>
      <w:tr>
        <w:trPr>
          <w:trHeight w:val="229"/>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Prepaid expenses and other current assets)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69,351</w:t>
            </w:r>
          </w:p>
        </w:tc>
      </w:tr>
      <w:tr>
        <w:trPr>
          <w:trHeight w:val="230"/>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29,323</w:t>
            </w:r>
          </w:p>
        </w:tc>
      </w:tr>
      <w:tr>
        <w:trPr>
          <w:trHeight w:val="230"/>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short-term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167,071</w:t>
            </w:r>
          </w:p>
        </w:tc>
      </w:tr>
      <w:tr>
        <w:trPr>
          <w:trHeight w:val="230"/>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liabilities, long-term (Deferred revenue included in Other liabilities)</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31,832</w:t>
            </w:r>
          </w:p>
        </w:tc>
      </w:tr>
    </w:tbl>
    <w:p>
      <w:pPr>
        <w:spacing w:after="0" w:line="187" w:lineRule="exact"/>
        <w:rPr>
          <w:sz w:val="20"/>
          <w:szCs w:val="20"/>
          <w:color w:val="auto"/>
        </w:rPr>
      </w:pPr>
    </w:p>
    <w:p>
      <w:pPr>
        <w:ind w:left="340" w:right="140" w:hanging="332"/>
        <w:spacing w:after="0" w:line="277" w:lineRule="auto"/>
        <w:tabs>
          <w:tab w:leader="none" w:pos="3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recognized for the twelve months ended December 31, 2022, 2021, and 2020, relating to the contract liabilities at December 31, 2021, 2020, and 2019 was $185.6 million, $61.2 million, and $47.2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7"/>
          <w:szCs w:val="17"/>
          <w:color w:val="auto"/>
        </w:rPr>
        <w:t>In December 2022, in connection with the preparation of its fourth quarter financial information, the Company performed its annual goodwill impairment test and concluded that the estimated fair value of the AMCNI reporting unit declined to less than its carrying amount. The decrease in the estimated fair value was in response to current and expected trends across the International television broadcasting markets, as well as a decrease in the valuation multiples used to estimate the fair value using the market approach. As a result, the Company recognized an impairment charge of $40.7 million, reflecting a partial write-down of the goodwill associated with the AMCNI reporting unit.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provided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during the second quarter of 2021,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and other charges, in 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7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$16.6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2020, as a result of the continuing impact of the COVID-19 pandemic, the Company qualitatively assessed whether it was more likely than not that goodwill and long-lived assets were impaired as of June 30, 2020. As a result of that assessment, the Company incurred impairment charges of $122.2 million, consisting of $25.1 million related to goodwill impairment and $97.1 million primarily related to certain identifiable intangible assets, as well as property and equipment, and operating lease right-of-use assets, all of which were associated with the AMCNI reporting unit.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0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On November 28, 2022, the Company commenced a restructuring plan (the “Plan”) designed to achieve significant cost reductions in light of “cord cutting” and the related impacts being felt across the media industry as well as the broader economic outlook. The Plan encompasses initiatives that include, among other things, strategic programming assessments and organizational restructuring costs. The Plan is intended to improve the organizational design of the Company through the elimination of certain roles and centralization of certain functional areas of the Company. The programming assessments pertain to a broad mix of owned and licensed content, including legacy television series and films that will no longer be in active rotation on the Company’s linear or streaming platforms. As a result of the Plan, the Company recorded restructuring and other related charges of $449.0 million for the year ended December 31, 2022, consisting of content impairments of $403.8 million and severance and other personnel costs of $45.2 million. The Company expects to incur additional restructuring and other related charges in 2023.</w:t>
      </w:r>
    </w:p>
    <w:p>
      <w:pPr>
        <w:spacing w:after="0" w:line="86"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Restructuring and other related charges of $10.4 million for the year ended December 31, 2021 consisted of (i) $6.1 million at AMCNI related to severance costs and the termination of distribution in certain international territories and (ii) $4.3 million of severance costs associated with the restructuring plan announced in November 2020.</w:t>
      </w:r>
    </w:p>
    <w:p>
      <w:pPr>
        <w:spacing w:after="0" w:line="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The Company recorded restructuring and other related charges of $35.1 million for the year ended December 31, 2020. On November 18, 2020, the Company commenced a restructuring plan (the “2020 Plan”) designed to streamline the Company’s operations through a reduction of its domestic workforce. The 2020 Plan is intended to improve the organizational design of the Company through the elimination of certain roles and centralization of certain functional areas of the Company. Restructuring and other related charges associated with the 2020 Plan, recorded in 2020, were primarily for severance and other personnel costs of $21.2 million, of which $15.8 million was attributable to the Domestic Operations segment, $0.2 million was attributable to the International and Other segment, and $5.2 million was attributable to Corporate / Inter-segment Eliminations. Additional restructuring and other related charges for the year ended December 31, 2020 were $13.9 million, which related to costs associated with the termination of distribution in certain territories, as well as severance and other personnel related costs associated with previously disclosed restructuring activities.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6,410</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448,966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r>
      <w:tr>
        <w:trPr>
          <w:trHeight w:val="21"/>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for the three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Content impairments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403,754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and other related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Severance and Employee-</w:t>
            </w: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Content Impairments and</w:t>
            </w:r>
          </w:p>
        </w:tc>
        <w:tc>
          <w:tcPr>
            <w:tcW w:w="420" w:type="dxa"/>
            <w:vAlign w:val="bottom"/>
          </w:tcPr>
          <w:p>
            <w:pPr>
              <w:spacing w:after="0"/>
              <w:rPr>
                <w:sz w:val="16"/>
                <w:szCs w:val="16"/>
                <w:color w:val="auto"/>
              </w:rPr>
            </w:pPr>
          </w:p>
        </w:tc>
        <w:tc>
          <w:tcPr>
            <w:tcW w:w="142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448,966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(336,744)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Accrued restructuring and other related costs of $108.0 million and $3.9 million are included in Accrued liabilities and Other liabilities, respectively, in the consolidated balance sheet at December 31, 2022. Accrued restructuring and other related costs of $0.3 million are included in Accrued liabilities in the consolidated balance sheet at December 31,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 and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Program Materials</w:t>
      </w:r>
      <w:r>
        <w:rPr>
          <w:rFonts w:ascii="Arial" w:cs="Arial" w:eastAsia="Arial" w:hAnsi="Arial"/>
          <w:sz w:val="18"/>
          <w:szCs w:val="18"/>
          <w:color w:val="auto"/>
        </w:rPr>
        <w:t>. The guidance impacts the Company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Allows for the classification of acquired/licensed program rights as long-term assets. Previously, the Company reported a portion of these rights in current assets. Advances for live program rights made prior to the live event and acquired/licensed program rights with license terms of less than one year continue to be reported in current assets.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Aligns the capitalization of production costs for episodic television programs with the capitalization of production costs for theatrical content. Previously, theatrical content production costs could be fully capitalized while episodic television production costs were generally limited to the amount of contracted revenues.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Introduces the concept of “predominant monetization strategy” to classify capitalized program rights for purposes of amortization and impairment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300" w:hanging="320"/>
        <w:spacing w:after="0" w:line="263" w:lineRule="auto"/>
        <w:tabs>
          <w:tab w:leader="none" w:pos="13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Individual program rights - programming value is predominantly derived from third-party revenues that are directly attributable to the specific film or television title (e.g., theatrical revenues, significant in-show advertising on the Company’s programming networks or specific content licensing revenues).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Group program rights - programming value is predominantly derived from third-party revenues that are not directly attributable to a specific film or television title (e.g., library of program rights for purpose of the Company’s programming networks or subscription revenue for streaming services).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determination of the predominant monetization strategy is made at commencement of production and is based on the means by which the Company derives third-party revenues from use of the programming. The classification of program rights as individual or group only changes if there is a significant change to the title’s monetization strategy relative to its initial assessment.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2022</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215,496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322,248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537,744</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339,184</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876,928</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645,860</w:t>
            </w: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171,418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176,791</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74,167</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888,353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896,818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1,504,687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185,228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127,470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312,698</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426,808</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739,506</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209,986</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164,474</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 2022</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3"/>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Individually</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w w:val="98"/>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Included in Technical and operating:</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Owned original program rights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37,935</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507,930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317,845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690,625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i w:val="1"/>
                <w:iCs w:val="1"/>
                <w:color w:val="auto"/>
              </w:rPr>
              <w:t>Included in Restructuring and other related charges: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0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Owned original program rights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 2021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Predominantly</w:t>
            </w:r>
          </w:p>
        </w:tc>
        <w:tc>
          <w:tcPr>
            <w:tcW w:w="180" w:type="dxa"/>
            <w:vAlign w:val="bottom"/>
          </w:tcPr>
          <w:p>
            <w:pPr>
              <w:spacing w:after="0"/>
              <w:rPr>
                <w:sz w:val="15"/>
                <w:szCs w:val="15"/>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Predominantly</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3"/>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Individually</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w w:val="98"/>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Owned original program rights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307,676</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53,547</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361,223</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73,648</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474,468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548,116</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Program rights amortization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381,324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528,015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909,339</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 following table presents the expected amortization over each of the next three years of completed program rights on the consolidated balance sheet as of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original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680" w:type="dxa"/>
            <w:vAlign w:val="bottom"/>
          </w:tcPr>
          <w:p>
            <w:pPr>
              <w:ind w:left="480"/>
              <w:spacing w:after="0"/>
              <w:rPr>
                <w:sz w:val="20"/>
                <w:szCs w:val="20"/>
                <w:color w:val="auto"/>
              </w:rPr>
            </w:pPr>
            <w:r>
              <w:rPr>
                <w:rFonts w:ascii="Arial" w:cs="Arial" w:eastAsia="Arial" w:hAnsi="Arial"/>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88,280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56,156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36,587</w:t>
            </w:r>
          </w:p>
        </w:tc>
      </w:tr>
      <w:tr>
        <w:trPr>
          <w:trHeight w:val="230"/>
        </w:trPr>
        <w:tc>
          <w:tcPr>
            <w:tcW w:w="4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149,888</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90,913</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53,964</w:t>
            </w:r>
          </w:p>
        </w:tc>
      </w:tr>
      <w:tr>
        <w:trPr>
          <w:trHeight w:val="270"/>
        </w:trPr>
        <w:tc>
          <w:tcPr>
            <w:tcW w:w="46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Licensed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680" w:type="dxa"/>
            <w:vAlign w:val="bottom"/>
          </w:tcPr>
          <w:p>
            <w:pPr>
              <w:ind w:left="480"/>
              <w:spacing w:after="0"/>
              <w:rPr>
                <w:sz w:val="20"/>
                <w:szCs w:val="20"/>
                <w:color w:val="auto"/>
              </w:rPr>
            </w:pPr>
            <w:r>
              <w:rPr>
                <w:rFonts w:ascii="Arial" w:cs="Arial" w:eastAsia="Arial" w:hAnsi="Arial"/>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4,483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2,279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4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395,510</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257,667</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130,785</w:t>
            </w:r>
          </w:p>
        </w:tc>
      </w:tr>
    </w:tbl>
    <w:p>
      <w:pPr>
        <w:spacing w:after="0" w:line="175"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7"/>
          <w:szCs w:val="17"/>
          <w:color w:val="auto"/>
        </w:rPr>
        <w:t>There was $403.8 million of program write-offs recorded to restructuring and other related charges in connection with the Company’s strategic programming assessments. Refer to Note 5 to the consolidated financial statements for additional information. Program rights write-offs of $12.8 million and $108.3 million were included in technical and operating expense for the years ended December 31, 2021 and 2020,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payable subsequent to December 31, 2022 related to program rights obligations included in the consolidated balance sheet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374,115</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128,115</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49,921</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13,058</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r>
      <w:tr>
        <w:trPr>
          <w:trHeight w:val="230"/>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in and loans to non-consolidated entities which are included in Other assets in the condensed consolidated balance sheet.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Equity method investments were $79.6 million and $93.7 million at December 31, 2022 and 2021, respectively.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February 2021, the Company invested $27.4 million for an interest in a Toronto-based production company and studio, which is accounted for as an equity method investment.</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June 2021, the Company paid $23.8 million to acquire the remaining 50% interest in an equity method investment in which it previously owned a 50% interest and began consolidating that business from June 2021. In connection with the acquisition, the Company recorded a gain of $12.3 million, included in miscellaneous, net in the consolidated income statement related to the step-up to fair value of its previously held interest.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consolidated statements of income.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investments in marketable equity securities at December 31, 2022 and $5.8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2022, the Company sold its interest in a marketable equity security for $9.9 million, resulting in a $4.1 million gain recorded during the period.</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2021, the Company sold the remaining portion of one of its marketable securities with a carrying value of $51.0 million as of December 31, 2020, resulting in a realized loss of $5.4 million included in miscellaneous, net in the consolidated statement of income.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December 2020, the Company sold a portion of one of its marketable securities, resulting in a realized gain of $37.4 million, included in miscellaneous, net in the consolidated statement of income.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2022, 2021, and 2020, realized and unrealized gains (losses) on marketable equity securities were $4.1 million, $(11.1) million and $82.8 million, respectively, included in miscellaneous, net in the consolidated statement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w:t>
      </w:r>
    </w:p>
    <w:p>
      <w:pPr>
        <w:spacing w:after="0" w:line="6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in non-marketable equity securities were $42.7 million at December 31, 2022 and $37.7 million at December 31, 2021. During the third quarter of 2022, the Company made a $5.0 million investment in a targeted streaming service.</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recognized impairment charges of $20.0 million for the year ended December 31, 2020, related to the partial write-down of certain non-marketable equity securities, included in miscellaneous, net in the consolidated statements of income. Additionally, in September 2020, an observable price change occurred with respect to one of the Company's non-marketable equity securities, resulting in an unrealized gain of $14.9 million, included in miscellaneous, net in the condensed consolidated statement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(including equipment under finance leases)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279,067</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41,134</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8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30,925</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146,865</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546,940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511,924</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(286,133)</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225,791</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expenses on property and equipment (including equipment under finance leases) amounted to $65.8 million, $54.8 million and $62.4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December 31, 2022 and 2021, the gross amount of equipment and related accumulated amortization recorded under finance leases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equipment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40,051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0"/>
              </w:rPr>
              <w:t>41,134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5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color w:val="auto"/>
                <w:w w:val="92"/>
              </w:rPr>
              <w:t>(29,069)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w w:val="89"/>
              </w:rPr>
              <w:t>(29,054)</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10,982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0"/>
              </w:rPr>
              <w:t>12,080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Goodwill and Other Intangible Assets</w:t>
            </w: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5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tcPr>
          <w:p>
            <w:pPr>
              <w:ind w:left="460"/>
              <w:spacing w:after="0"/>
              <w:rPr>
                <w:sz w:val="20"/>
                <w:szCs w:val="20"/>
                <w:color w:val="auto"/>
              </w:rPr>
            </w:pPr>
            <w:r>
              <w:rPr>
                <w:rFonts w:ascii="Arial" w:cs="Arial" w:eastAsia="Arial" w:hAnsi="Arial"/>
                <w:sz w:val="18"/>
                <w:szCs w:val="18"/>
                <w:color w:val="auto"/>
                <w:w w:val="98"/>
              </w:rPr>
              <w:t>The carrying amount of goodwill, by operating segment is as follows: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4"/>
                <w:szCs w:val="24"/>
                <w:color w:val="auto"/>
              </w:rPr>
            </w:pPr>
          </w:p>
        </w:tc>
        <w:tc>
          <w:tcPr>
            <w:tcW w:w="17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Domestic Operations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International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and 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Goodwill written off related to spin-off of a business unit</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355,874</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adjustments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Impairment charge</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and 2021, accumulated impairment charges totaled $163.8 million and $123.1 million,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purchase accounting adjustments of $2.8 million to the carrying amount of goodwill in Domestic Operations in 2022 relate to the December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 acquisition of Sentai Holdings, a global supplier of anime content, including its anime-focused HIDIVE subscription streaming service.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annual reduction of $1.3 million in the carrying amount of goodwill for the Domestic Operations segment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addition of $21.3 million in the carrying amount of goodwill in Domestic Operations in 2021 relates to the acquisition of Sentai Holdings. The addition of $11.9 million in the carrying amount of goodwill in International and Other in 2021 relates to the acquisition of the remaining 50% interest in an equity method investment in which the Company previously owned a 50% interest.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Goodwill is not amortized, but instead is tested for impairment at the reporting unit level annually as of December 1, or more frequently upon the occurrence of certain events or substantive changes in circumstances.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1, 2022, the Company performed a quantitative assessment for all of its reporting units. The fair values were determined using a combination of an income approach, using a discounted cash flow model (DCF), and a market comparables approach. The DCF model includes significant assumptions about revenue growth rates, long-term growth rates and enterprise specific discount rates. Additionally, the market comparables approach is determined using guideline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valuation multiples. Given the uncertainty in determining assumptions underlying the DCF approach, actual results may differ from those used in the valuations.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on the valuations performed, in response to current and expected trends across the International television broadcasting markets, as well as a decrease in the valuation multiples used to estimate the fair value using the market approach, the fair value of the Company's AMCNI reporting unit declined to less than its carrying amount. As a result, the Company recognized an impairment charge of $40.7 million related to the AMCNI reporting unit, included in impairment and other charges in the consolidated statement of income. No impairment charges were required for any of the Company's other reporting units.</w:t>
      </w:r>
    </w:p>
    <w:p>
      <w:pPr>
        <w:spacing w:after="0" w:line="8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addition to the annual impairment test, the Company is required to regularly assess whether a triggering event has occurred which would require an interim impairment test. As a result of the continuing impact of the COVID-19 pandemic in 2020, the Company qualitatively assessed whether it was more likely than not that goodwill and long-lived assets were impaired as of June 30, 2020.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excess fair value over carrying value for each of its reporting units in the 2019 impairment test. In connection with the preparation of the second quarter 2020 financial information, the Company determined that a triggering event had occurred with respect to its AMCNI reporting unit, which required an interim impairment test to be performed as of June 30, 2020. As such, the Company performed a quantitative assessment for its AMCNI reporting unit. Based on the valuations performed, in response to the then current and expected trends across the International television broadcasting markets, the fair value of the Company's AMCNI reporting unit declined below its carrying amount. As a result, in June 2020, the Company recognized an impairment charge of $25.1 million related to the AMCNI reporting unit, included in impairment and other charges in the consolidated statement of income.</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Changes to assumptions that would decrease the fair value of the reporting unit would result in corresponding increases to the impairment of goodwill at the reporting unit.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2022</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634,000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(373,240)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260,760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(450,844)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354,676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649,543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(354,673)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294,870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(427,442)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399,434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Aggregate amortization expense for amortizable intangible assets for the years ended December 31, 2022, 2021 and 2020 was $41.5 million, $39.1 million and $42.2 million,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aggregate amortization expense for intangible assets subject to amortization for each of the following five years 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41,487</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39,697</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35,342</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31,184</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Long-Lived Assets</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June 2020, given the then continuing and expected future economic and market conditions surrounding the COVID-19 pandemic and its impact, the Company revised its outlook for the AMCNI business, resulting in lower expected future cash flows. As a result, the Company determined that sufficient indicators of potential impairment of long-lived assets existed and the Company performed a recoverability test of the long-lived asset groups within the AMCNI business. Based on the recoverability tests performed, the Company determined that certain long-lived assets were not recoverable and recognized an impairment charge of $97.1 million related primarily to certain identifiable intangible assets, as well as property and equipment, and operating lease right-of-use assets, which is included in impairment and other charges in the consolidated statement of income. Fair values used to determine the impairment charges were determined using an income approach, specifically a discounted cash flow model (DCF). The DCF model includes significant assumptions about revenue growth rates, long-term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rates and enterprise specific discount rates. Given the uncertainty in determining assumptions underlying the DCF approach, actual results may differ from those used in the valuations. No impairment charges for long-lived assets were required in 2021 or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10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As of December 1, 2022, the Company performed a quantitative assessment for its indefinite-lived intangible assets. Based on the annual impairment test performed, no impairment charge was required. The Company's indefinite-lived intangible assets relate to SundanceTV trademarks, which were valued using a relief-from-royalty method in which the expected benefits are valued by discounting estimated royalty revenue relating to projected revenues covered by the trademarks.</w:t>
      </w:r>
    </w:p>
    <w:p>
      <w:pPr>
        <w:spacing w:after="0" w:line="9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Significant judgments inherent in estimating the fair value of indefinite-lived intangible assets include the selection of appropriate discount and royalty rates, estimating the amount and timing of estimated future revenues and identification of appropriate continuing growth rate assumptions. The discount rates used in the analysis are intended to reflect the risk inherent in the projected future cash flows generated by the respective intangible assets.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2"/>
              </w:rPr>
              <w:t>December 31, 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6"/>
                <w:szCs w:val="16"/>
                <w:b w:val="1"/>
                <w:bCs w:val="1"/>
                <w:color w:val="auto"/>
                <w:w w:val="90"/>
              </w:rPr>
              <w:t>December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97,362</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138,384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107,998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419,065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Note 11. Long-term Debt</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60"/>
              <w:spacing w:after="0"/>
              <w:rPr>
                <w:sz w:val="20"/>
                <w:szCs w:val="20"/>
                <w:color w:val="auto"/>
              </w:rPr>
            </w:pPr>
            <w:r>
              <w:rPr>
                <w:rFonts w:ascii="Arial" w:cs="Arial" w:eastAsia="Arial" w:hAnsi="Arial"/>
                <w:sz w:val="18"/>
                <w:szCs w:val="18"/>
                <w:color w:val="auto"/>
              </w:rPr>
              <w:t>The Company's long-term debt consists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94"/>
              </w:rPr>
              <w:t>December 31,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December 31, 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641,250</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5.00% Notes due April 2024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4.75% Notes due August 2025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4.25% Notes due February 2029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2,841,250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(18,718)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2,812,453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33,750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2,778,703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extended the maturity dates of the $675 million Term Loan A Facility and $500 million Revolving Facility (each as defined below) under the Credit Agreement to February 8, 2026, and made certain other amendments to the covenants and other provisions of the Credit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Credit Agreement provides the Initial Borrowers with senior secured credit facilities consisting of (a) a $675 million Term Loan A (the "Term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Loan A Facility") and (b) a $500 million revolving credit facility (the "Revolving Facility" and, together with the Term Loan A Facility, the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Under Amendment No. 1, the maturity dates of the Term Loan A Facility and the Revolving Facility were extended to February 8, 2026.</w:t>
      </w:r>
    </w:p>
    <w:p>
      <w:pPr>
        <w:spacing w:after="0" w:line="1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w:t>
      </w:r>
    </w:p>
    <w:p>
      <w:pPr>
        <w:spacing w:after="0" w:line="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5.25:1 from January 1, 2021 through December 31, 2021 and decreasing to 5.00:1 on and after January 1, 2022, subject to increase (not to exceed 6.00:1) if AMC Networks consummates any leveraging acquisition; and (ii) a minimum ratio of annual operating cash flow to annual total interest expense (as defined in the Credit Agreement) of 2.50:1.</w:t>
      </w:r>
    </w:p>
    <w:p>
      <w:pPr>
        <w:spacing w:after="0" w:line="6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Facility was not drawn upon at December 31, 2022 or December 31, 2021. The total undrawn revolver commitment is available to be drawn for our general corporate purposes.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terms</w:t>
      </w:r>
    </w:p>
    <w:p>
      <w:pPr>
        <w:spacing w:after="0" w:line="10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4.25% Notes due 2029</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year ended December 31, 2021 of $22.1 million representing the redemption premium and the write-off of a portion of the unamortized discount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4.25% Notes due 2029 may be redeemed, at AMC Networks' option, in whole or in part, at any time on or after February 15, 2024, at a redemption price equal to 102.125% of the principal amount thereof (plus accrued and unpaid interest thereon, if any, to the date of such redemption), declining annually to 100% of the principal amount thereof (plus accrued and unpaid interest thereon, if any, to the date of such redemption) beginning on February 15, 2026.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2025</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July 28, 2017, AMC Networks issued, and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Notes due 2024</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March 30, 2016, the Company issued and the Guarantors guaranteed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 As discussed above, on February 26, 2021, the Company redeemed $600 million principal amount of its 5.00% Notes due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2022</w:t>
      </w:r>
    </w:p>
    <w:p>
      <w:pPr>
        <w:spacing w:after="0" w:line="117" w:lineRule="exact"/>
        <w:rPr>
          <w:sz w:val="20"/>
          <w:szCs w:val="20"/>
          <w:color w:val="auto"/>
        </w:rPr>
      </w:pPr>
    </w:p>
    <w:p>
      <w:pPr>
        <w:jc w:val="both"/>
        <w:ind w:right="20" w:firstLine="405"/>
        <w:spacing w:after="0" w:line="301" w:lineRule="auto"/>
        <w:rPr>
          <w:sz w:val="20"/>
          <w:szCs w:val="20"/>
          <w:color w:val="auto"/>
        </w:rPr>
      </w:pPr>
      <w:r>
        <w:rPr>
          <w:rFonts w:ascii="Arial" w:cs="Arial" w:eastAsia="Arial" w:hAnsi="Arial"/>
          <w:sz w:val="16"/>
          <w:szCs w:val="16"/>
          <w:color w:val="auto"/>
        </w:rPr>
        <w:t>On December 17, 2012, AMC Networks issued and the Guarantors guaranteed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4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2020 the Company redeemed $200 million principal amount of the outstanding $600 million principal amount of its 4.75% Notes due 2022. In connection with the redemption, the Company incurred a loss on extinguishment of debt for the year ended December 31, 2020 of $2.9 million representing the redemption premium and the write-off of a portion of the unamortized discount and deferred financing costs. As discussed above, on February 26, 2021, the Company redeemed the remaining $400 million principal amount of its 4.75% Notes due 2022.</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 majority owned subsidiary of the Company had credit facilities totaling $4.5 million. The facilities bear interest at the greater of 3.5% or the prime rate plus 1% and matured on November 18, 2022. There were no outstanding borrowings under the credit facilities during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60" w:type="dxa"/>
            <w:vAlign w:val="bottom"/>
            <w:gridSpan w:val="2"/>
          </w:tcPr>
          <w:p>
            <w:pPr>
              <w:jc w:val="right"/>
              <w:ind w:right="2550"/>
              <w:spacing w:after="0"/>
              <w:rPr>
                <w:sz w:val="20"/>
                <w:szCs w:val="20"/>
                <w:color w:val="auto"/>
              </w:rPr>
            </w:pPr>
            <w:r>
              <w:rPr>
                <w:rFonts w:ascii="Arial" w:cs="Arial" w:eastAsia="Arial" w:hAnsi="Arial"/>
                <w:sz w:val="18"/>
                <w:szCs w:val="18"/>
                <w:color w:val="auto"/>
              </w:rPr>
              <w:t>AMC NETWORKS INC. AND SUBSIDIARIES</w:t>
            </w:r>
          </w:p>
        </w:tc>
        <w:tc>
          <w:tcPr>
            <w:tcW w:w="1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60" w:type="dxa"/>
            <w:vAlign w:val="bottom"/>
            <w:gridSpan w:val="2"/>
          </w:tcPr>
          <w:p>
            <w:pPr>
              <w:jc w:val="right"/>
              <w:ind w:right="1630"/>
              <w:spacing w:after="0"/>
              <w:rPr>
                <w:sz w:val="20"/>
                <w:szCs w:val="20"/>
                <w:color w:val="auto"/>
              </w:rPr>
            </w:pPr>
            <w:r>
              <w:rPr>
                <w:rFonts w:ascii="Arial" w:cs="Arial" w:eastAsia="Arial" w:hAnsi="Arial"/>
                <w:sz w:val="18"/>
                <w:szCs w:val="18"/>
                <w:color w:val="auto"/>
              </w:rPr>
              <w:t>NOTES TO CONSOLIDATED FINANCIAL STATEMENTS (Continued)</w:t>
            </w:r>
          </w:p>
        </w:tc>
        <w:tc>
          <w:tcPr>
            <w:tcW w:w="1200" w:type="dxa"/>
            <w:vAlign w:val="bottom"/>
          </w:tcPr>
          <w:p>
            <w:pPr>
              <w:spacing w:after="0"/>
              <w:rPr>
                <w:sz w:val="20"/>
                <w:szCs w:val="20"/>
                <w:color w:val="auto"/>
              </w:rPr>
            </w:pPr>
          </w:p>
        </w:tc>
      </w:tr>
      <w:tr>
        <w:trPr>
          <w:trHeight w:val="945"/>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Summary of Debt Maturities</w:t>
            </w:r>
          </w:p>
        </w:tc>
        <w:tc>
          <w:tcPr>
            <w:tcW w:w="6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020" w:type="dxa"/>
            <w:vAlign w:val="bottom"/>
            <w:gridSpan w:val="4"/>
          </w:tcPr>
          <w:p>
            <w:pPr>
              <w:ind w:left="440"/>
              <w:spacing w:after="0"/>
              <w:rPr>
                <w:sz w:val="20"/>
                <w:szCs w:val="20"/>
                <w:color w:val="auto"/>
              </w:rPr>
            </w:pPr>
            <w:r>
              <w:rPr>
                <w:rFonts w:ascii="Arial" w:cs="Arial" w:eastAsia="Arial" w:hAnsi="Arial"/>
                <w:sz w:val="18"/>
                <w:szCs w:val="18"/>
                <w:color w:val="auto"/>
                <w:w w:val="94"/>
              </w:rPr>
              <w:t>Total amounts payable by the Company under its various debt obligations outstanding as of December 31, 2022 are as follows:</w:t>
            </w:r>
          </w:p>
        </w:tc>
        <w:tc>
          <w:tcPr>
            <w:tcW w:w="120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467,500</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867,500</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472,500</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69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2022 and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10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Arial" w:cs="Arial" w:eastAsia="Arial" w:hAnsi="Arial"/>
                <w:sz w:val="16"/>
                <w:szCs w:val="16"/>
                <w:b w:val="1"/>
                <w:bCs w:val="1"/>
                <w:color w:val="auto"/>
              </w:rPr>
              <w:t>At December 31, 2022: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8,965</w:t>
            </w:r>
          </w:p>
        </w:tc>
      </w:tr>
      <w:tr>
        <w:trPr>
          <w:trHeight w:val="256"/>
        </w:trPr>
        <w:tc>
          <w:tcPr>
            <w:tcW w:w="5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5100" w:type="dxa"/>
            <w:vAlign w:val="bottom"/>
            <w:tcBorders>
              <w:bottom w:val="single" w:sz="8" w:color="auto"/>
            </w:tcBorders>
          </w:tcPr>
          <w:p>
            <w:pPr>
              <w:ind w:left="1760"/>
              <w:spacing w:after="0"/>
              <w:rPr>
                <w:sz w:val="20"/>
                <w:szCs w:val="20"/>
                <w:color w:val="auto"/>
              </w:rPr>
            </w:pPr>
            <w:r>
              <w:rPr>
                <w:rFonts w:ascii="Arial" w:cs="Arial" w:eastAsia="Arial" w:hAnsi="Arial"/>
                <w:sz w:val="16"/>
                <w:szCs w:val="16"/>
                <w:b w:val="1"/>
                <w:bCs w:val="1"/>
                <w:color w:val="auto"/>
              </w:rPr>
              <w:t>At December 31, 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5,771</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bl>
    <w:p>
      <w:pPr>
        <w:spacing w:after="0" w:line="200" w:lineRule="exact"/>
        <w:rPr>
          <w:sz w:val="20"/>
          <w:szCs w:val="20"/>
          <w:color w:val="auto"/>
        </w:rPr>
      </w:pPr>
    </w:p>
    <w:p>
      <w:pPr>
        <w:spacing w:after="0" w:line="32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(comprised of money market mutual funds)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foreign currency derivatives are classified within Level II of the fair value hierarchy and their fair values are determined based on a market approach valuation technique that uses readily observable market parameters and the consideration of counterparty risk.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December 31, 2022 or 2021, the Company does not have any other material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 2022</w:t>
            </w: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12"/>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633,486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615,600</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 Notes due April 2024</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375,348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4.75% Notes due August 2025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794,171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607,000</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4.25% Notes due February 2029</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620,818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2,218,766</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4"/>
        </w:trPr>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 2021</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664,581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670,781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Notes due April 2024</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4.75% Notes due August 2025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792,098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818,000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4.25% Notes due February 2029</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2,889,781</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To manage interest rate risk, the Company may enter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designated benchmark interest rate being hedged (the "hedged risk"), 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amount of the Company's debt principal equal to the then-outstanding swap notional. The forecasted interest payments are deemed to be probable of occurring.</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gridSpan w:val="2"/>
          </w:tcPr>
          <w:p>
            <w:pPr>
              <w:ind w:left="126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20"/>
                <w:szCs w:val="20"/>
                <w:color w:val="auto"/>
              </w:rPr>
            </w:pPr>
          </w:p>
        </w:tc>
        <w:tc>
          <w:tcPr>
            <w:tcW w:w="1100" w:type="dxa"/>
            <w:vAlign w:val="bottom"/>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4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Assets:</w:t>
            </w: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Liabilities:</w:t>
            </w:r>
          </w:p>
        </w:tc>
        <w:tc>
          <w:tcPr>
            <w:tcW w:w="3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program rights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4,225</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gains and losses related to the Company's derivative financial instruments designated as hedging instruments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20" w:type="dxa"/>
            <w:vAlign w:val="bottom"/>
            <w:gridSpan w:val="3"/>
            <w:vMerge w:val="restart"/>
          </w:tcPr>
          <w:p>
            <w:pPr>
              <w:jc w:val="center"/>
              <w:ind w:left="17"/>
              <w:spacing w:after="0"/>
              <w:rPr>
                <w:sz w:val="20"/>
                <w:szCs w:val="20"/>
                <w:color w:val="auto"/>
              </w:rPr>
            </w:pPr>
            <w:r>
              <w:rPr>
                <w:rFonts w:ascii="Arial" w:cs="Arial" w:eastAsia="Arial" w:hAnsi="Arial"/>
                <w:sz w:val="16"/>
                <w:szCs w:val="16"/>
                <w:b w:val="1"/>
                <w:bCs w:val="1"/>
                <w:color w:val="auto"/>
                <w:w w:val="91"/>
              </w:rPr>
              <w:t>Gain or (Loss) on Derivatives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Location of Gain or</w:t>
            </w:r>
          </w:p>
        </w:tc>
        <w:tc>
          <w:tcPr>
            <w:tcW w:w="380" w:type="dxa"/>
            <w:vAlign w:val="bottom"/>
          </w:tcPr>
          <w:p>
            <w:pPr>
              <w:spacing w:after="0"/>
              <w:rPr>
                <w:sz w:val="16"/>
                <w:szCs w:val="16"/>
                <w:color w:val="auto"/>
              </w:rPr>
            </w:pPr>
          </w:p>
        </w:tc>
        <w:tc>
          <w:tcPr>
            <w:tcW w:w="2860" w:type="dxa"/>
            <w:vAlign w:val="bottom"/>
            <w:gridSpan w:val="4"/>
          </w:tcPr>
          <w:p>
            <w:pPr>
              <w:jc w:val="center"/>
              <w:ind w:right="31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29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gridSpan w:val="3"/>
          </w:tcPr>
          <w:p>
            <w:pPr>
              <w:jc w:val="center"/>
              <w:ind w:left="57"/>
              <w:spacing w:after="0"/>
              <w:rPr>
                <w:sz w:val="20"/>
                <w:szCs w:val="20"/>
                <w:color w:val="auto"/>
              </w:rPr>
            </w:pPr>
            <w:r>
              <w:rPr>
                <w:rFonts w:ascii="Arial" w:cs="Arial" w:eastAsia="Arial" w:hAnsi="Arial"/>
                <w:sz w:val="16"/>
                <w:szCs w:val="16"/>
                <w:b w:val="1"/>
                <w:bCs w:val="1"/>
                <w:color w:val="auto"/>
                <w:w w:val="93"/>
              </w:rPr>
              <w:t>Recognized in OCI</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80" w:type="dxa"/>
            <w:vAlign w:val="bottom"/>
          </w:tcPr>
          <w:p>
            <w:pPr>
              <w:spacing w:after="0"/>
              <w:rPr>
                <w:sz w:val="18"/>
                <w:szCs w:val="18"/>
                <w:color w:val="auto"/>
              </w:rPr>
            </w:pPr>
          </w:p>
        </w:tc>
        <w:tc>
          <w:tcPr>
            <w:tcW w:w="1880" w:type="dxa"/>
            <w:vAlign w:val="bottom"/>
            <w:gridSpan w:val="3"/>
          </w:tcPr>
          <w:p>
            <w:pPr>
              <w:ind w:left="680"/>
              <w:spacing w:after="0"/>
              <w:rPr>
                <w:sz w:val="20"/>
                <w:szCs w:val="20"/>
                <w:color w:val="auto"/>
              </w:rPr>
            </w:pPr>
            <w:r>
              <w:rPr>
                <w:rFonts w:ascii="Arial" w:cs="Arial" w:eastAsia="Arial" w:hAnsi="Arial"/>
                <w:sz w:val="16"/>
                <w:szCs w:val="16"/>
                <w:b w:val="1"/>
                <w:bCs w:val="1"/>
                <w:color w:val="auto"/>
                <w:w w:val="93"/>
              </w:rPr>
              <w:t>into Earnings (a)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gridSpan w:val="3"/>
          </w:tcPr>
          <w:p>
            <w:pPr>
              <w:jc w:val="center"/>
              <w:ind w:left="37"/>
              <w:spacing w:after="0"/>
              <w:rPr>
                <w:sz w:val="20"/>
                <w:szCs w:val="20"/>
                <w:color w:val="auto"/>
              </w:rPr>
            </w:pPr>
            <w:r>
              <w:rPr>
                <w:rFonts w:ascii="Arial" w:cs="Arial" w:eastAsia="Arial" w:hAnsi="Arial"/>
                <w:sz w:val="16"/>
                <w:szCs w:val="16"/>
                <w:b w:val="1"/>
                <w:bCs w:val="1"/>
                <w:color w:val="auto"/>
                <w:w w:val="90"/>
              </w:rPr>
              <w:t>Years Ended December 31,</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4"/>
          </w:tcPr>
          <w:p>
            <w:pPr>
              <w:jc w:val="center"/>
              <w:ind w:right="275"/>
              <w:spacing w:after="0"/>
              <w:rPr>
                <w:sz w:val="20"/>
                <w:szCs w:val="20"/>
                <w:color w:val="auto"/>
              </w:rPr>
            </w:pPr>
            <w:r>
              <w:rPr>
                <w:rFonts w:ascii="Arial" w:cs="Arial" w:eastAsia="Arial" w:hAnsi="Arial"/>
                <w:sz w:val="16"/>
                <w:szCs w:val="16"/>
                <w:b w:val="1"/>
                <w:bCs w:val="1"/>
                <w:color w:val="auto"/>
                <w:w w:val="90"/>
              </w:rPr>
              <w:t>Years Ended December 31,</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3"/>
              </w:rPr>
              <w:t>Derivatives in cash flow hedging</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hanging="329"/>
        <w:spacing w:after="0" w:line="277" w:lineRule="auto"/>
        <w:tabs>
          <w:tab w:leader="none" w:pos="5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amount of gains and losses related to the Company's derivative financial instruments not designated as hedging instruments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(Loss) Recognized</w:t>
            </w:r>
          </w:p>
        </w:tc>
        <w:tc>
          <w:tcPr>
            <w:tcW w:w="360" w:type="dxa"/>
            <w:vAlign w:val="bottom"/>
          </w:tcPr>
          <w:p>
            <w:pPr>
              <w:spacing w:after="0"/>
              <w:rPr>
                <w:sz w:val="16"/>
                <w:szCs w:val="16"/>
                <w:color w:val="auto"/>
              </w:rPr>
            </w:pPr>
          </w:p>
        </w:tc>
        <w:tc>
          <w:tcPr>
            <w:tcW w:w="4520" w:type="dxa"/>
            <w:vAlign w:val="bottom"/>
            <w:gridSpan w:val="7"/>
          </w:tcPr>
          <w:p>
            <w:pPr>
              <w:jc w:val="center"/>
              <w:ind w:right="275"/>
              <w:spacing w:after="0"/>
              <w:rPr>
                <w:sz w:val="20"/>
                <w:szCs w:val="20"/>
                <w:color w:val="auto"/>
              </w:rPr>
            </w:pPr>
            <w:r>
              <w:rPr>
                <w:rFonts w:ascii="Arial" w:cs="Arial" w:eastAsia="Arial" w:hAnsi="Arial"/>
                <w:sz w:val="16"/>
                <w:szCs w:val="16"/>
                <w:b w:val="1"/>
                <w:bCs w:val="1"/>
                <w:color w:val="auto"/>
                <w:w w:val="91"/>
              </w:rPr>
              <w:t>Amount of Gain (Loss) Recognized in Earnings</w:t>
            </w:r>
          </w:p>
        </w:tc>
      </w:tr>
      <w:tr>
        <w:trPr>
          <w:trHeight w:val="213"/>
        </w:trPr>
        <w:tc>
          <w:tcPr>
            <w:tcW w:w="366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366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6"/>
          </w:tcPr>
          <w:p>
            <w:pPr>
              <w:jc w:val="center"/>
              <w:ind w:left="777"/>
              <w:spacing w:after="0"/>
              <w:rPr>
                <w:sz w:val="20"/>
                <w:szCs w:val="20"/>
                <w:color w:val="auto"/>
              </w:rPr>
            </w:pPr>
            <w:r>
              <w:rPr>
                <w:rFonts w:ascii="Arial" w:cs="Arial" w:eastAsia="Arial" w:hAnsi="Arial"/>
                <w:sz w:val="16"/>
                <w:szCs w:val="16"/>
                <w:b w:val="1"/>
                <w:bCs w:val="1"/>
                <w:color w:val="auto"/>
                <w:w w:val="90"/>
              </w:rPr>
              <w:t>Years Ended December 31,</w:t>
            </w:r>
          </w:p>
        </w:tc>
        <w:tc>
          <w:tcPr>
            <w:tcW w:w="1200" w:type="dxa"/>
            <w:vAlign w:val="bottom"/>
            <w:tcBorders>
              <w:top w:val="single" w:sz="8" w:color="auto"/>
              <w:bottom w:val="single" w:sz="8" w:color="auto"/>
            </w:tcBorders>
          </w:tcPr>
          <w:p>
            <w:pPr>
              <w:spacing w:after="0"/>
              <w:rPr>
                <w:sz w:val="20"/>
                <w:szCs w:val="20"/>
                <w:color w:val="auto"/>
              </w:rPr>
            </w:pPr>
          </w:p>
        </w:tc>
      </w:tr>
      <w:tr>
        <w:trPr>
          <w:trHeight w:val="23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r>
      <w:tr>
        <w:trPr>
          <w:trHeight w:val="25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2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Arial" w:cs="Arial" w:eastAsia="Arial" w:hAnsi="Arial"/>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2021</w:t>
            </w: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108,229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125,866</w:t>
            </w: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w:t>
            </w:r>
          </w:p>
        </w:tc>
      </w:tr>
      <w:tr>
        <w:trPr>
          <w:trHeight w:val="210"/>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128,319</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included in the consolidated statement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gridSpan w:val="2"/>
          </w:tcPr>
          <w:p>
            <w:pPr>
              <w:ind w:left="1140"/>
              <w:spacing w:after="0"/>
              <w:rPr>
                <w:sz w:val="20"/>
                <w:szCs w:val="20"/>
                <w:color w:val="auto"/>
              </w:rPr>
            </w:pPr>
            <w:r>
              <w:rPr>
                <w:rFonts w:ascii="Arial" w:cs="Arial" w:eastAsia="Arial" w:hAnsi="Arial"/>
                <w:sz w:val="16"/>
                <w:szCs w:val="16"/>
                <w:b w:val="1"/>
                <w:bCs w:val="1"/>
                <w:color w:val="auto"/>
              </w:rPr>
              <w:t>Income Statement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2021</w:t>
            </w: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2,346</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costs</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 as of December 31,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Finance Leases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43,151</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42,027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37,832</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29,804</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14,064</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2"/>
              </w:rPr>
              <w:t>December 31, 2021</w:t>
            </w:r>
          </w:p>
        </w:tc>
      </w:tr>
      <w:tr>
        <w:trPr>
          <w:trHeight w:val="21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418"/>
        </w:trPr>
        <w:tc>
          <w:tcPr>
            <w:tcW w:w="9420" w:type="dxa"/>
            <w:vAlign w:val="bottom"/>
            <w:gridSpan w:val="5"/>
          </w:tcPr>
          <w:p>
            <w:pPr>
              <w:ind w:left="460"/>
              <w:spacing w:after="0"/>
              <w:rPr>
                <w:sz w:val="20"/>
                <w:szCs w:val="20"/>
                <w:color w:val="auto"/>
              </w:rPr>
            </w:pPr>
            <w:r>
              <w:rPr>
                <w:rFonts w:ascii="Arial" w:cs="Arial" w:eastAsia="Arial" w:hAnsi="Arial"/>
                <w:sz w:val="18"/>
                <w:szCs w:val="18"/>
                <w:color w:val="auto"/>
              </w:rPr>
              <w:t>The following table summarizes the supplemental cash paid for amounts in the measurement of lease liabilities:</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8"/>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24"/>
                <w:szCs w:val="24"/>
                <w:color w:val="auto"/>
              </w:rPr>
            </w:pPr>
          </w:p>
        </w:tc>
        <w:tc>
          <w:tcPr>
            <w:tcW w:w="1680" w:type="dxa"/>
            <w:vAlign w:val="bottom"/>
          </w:tcPr>
          <w:p>
            <w:pPr>
              <w:jc w:val="right"/>
              <w:ind w:right="17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1,789</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9"/>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2"/>
              </w:rPr>
              <w:t>(52,458)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437,039</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0"/>
              </w:rPr>
              <w:t>22,506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2"/>
              </w:rPr>
              <w:t>(34,660)</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92"/>
              </w:rPr>
              <w:t>(29,952)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402,379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continuing operations consists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86,977</w:t>
            </w: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w:t>
            </w:r>
          </w:p>
        </w:tc>
      </w:tr>
      <w:tr>
        <w:trPr>
          <w:trHeight w:val="230"/>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r>
      <w:tr>
        <w:trPr>
          <w:trHeight w:val="223"/>
        </w:trPr>
        <w:tc>
          <w:tcPr>
            <w:tcW w:w="6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128,555</w:t>
            </w:r>
          </w:p>
        </w:tc>
      </w:tr>
      <w:tr>
        <w:trPr>
          <w:trHeight w:val="210"/>
        </w:trPr>
        <w:tc>
          <w:tcPr>
            <w:tcW w:w="680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r>
      <w:tr>
        <w:trPr>
          <w:trHeight w:val="223"/>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23,159</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145,391</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3260" w:type="dxa"/>
            <w:vAlign w:val="bottom"/>
            <w:tcBorders>
              <w:bottom w:val="single" w:sz="8" w:color="auto"/>
            </w:tcBorders>
            <w:gridSpan w:val="5"/>
          </w:tcPr>
          <w:p>
            <w:pPr>
              <w:ind w:left="1220"/>
              <w:spacing w:after="0"/>
              <w:rPr>
                <w:sz w:val="20"/>
                <w:szCs w:val="20"/>
                <w:color w:val="auto"/>
              </w:rPr>
            </w:pPr>
            <w:r>
              <w:rPr>
                <w:rFonts w:ascii="Arial" w:cs="Arial" w:eastAsia="Arial" w:hAnsi="Arial"/>
                <w:sz w:val="16"/>
                <w:szCs w:val="16"/>
                <w:b w:val="1"/>
                <w:bCs w:val="1"/>
                <w:color w:val="auto"/>
                <w:w w:val="98"/>
              </w:rPr>
              <w:t>Years Ended December 31,</w:t>
            </w:r>
          </w:p>
        </w:tc>
        <w:tc>
          <w:tcPr>
            <w:tcW w:w="1040" w:type="dxa"/>
            <w:vAlign w:val="bottom"/>
            <w:tcBorders>
              <w:bottom w:val="single" w:sz="8" w:color="auto"/>
            </w:tcBorders>
          </w:tcPr>
          <w:p>
            <w:pPr>
              <w:spacing w:after="0"/>
              <w:rPr>
                <w:sz w:val="18"/>
                <w:szCs w:val="18"/>
                <w:color w:val="auto"/>
              </w:rPr>
            </w:pPr>
          </w:p>
        </w:tc>
      </w:tr>
      <w:tr>
        <w:trPr>
          <w:trHeight w:val="23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2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 statutory income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benefit (a)</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operations (b)</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Non-deductible compensation expenses (c)</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deficiencies related to share-based compensation</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Changes in the valuation allowance (d)</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188"/>
        </w:trPr>
        <w:tc>
          <w:tcPr>
            <w:tcW w:w="69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3"/>
              </w:rPr>
              <w:t>Tax expense relating to uncertain tax positions, including accrued interest, net of deferred</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benefits</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Deferral of investment tax credit benefit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Deemed liquidation - controlled foreign corporation (a)</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490"/>
        <w:spacing w:after="0" w:line="308" w:lineRule="auto"/>
        <w:tabs>
          <w:tab w:leader="none" w:pos="6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year ended December 31, 2022, the deemed liquidation – controlled foreign corporation is a result of a capital loss sustained related to a change in the entity classification of a wholly-owned controlled foreign corporation. This also impacts state and local income taxes.</w:t>
      </w:r>
    </w:p>
    <w:p>
      <w:pPr>
        <w:spacing w:after="0" w:line="38" w:lineRule="exact"/>
        <w:rPr>
          <w:rFonts w:ascii="Arial" w:cs="Arial" w:eastAsia="Arial" w:hAnsi="Arial"/>
          <w:sz w:val="17"/>
          <w:szCs w:val="17"/>
          <w:color w:val="auto"/>
        </w:rPr>
      </w:pPr>
    </w:p>
    <w:p>
      <w:pPr>
        <w:ind w:left="660" w:hanging="490"/>
        <w:spacing w:after="0" w:line="277" w:lineRule="auto"/>
        <w:tabs>
          <w:tab w:leader="none" w:pos="6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years ended December 31, 2022, 2021 and 2020, the effect of foreign operations relates to the income tax benefit or expense as a result of certain entities operating in foreign jurisdictions.</w:t>
      </w:r>
    </w:p>
    <w:p>
      <w:pPr>
        <w:spacing w:after="0" w:line="62" w:lineRule="exact"/>
        <w:rPr>
          <w:rFonts w:ascii="Arial" w:cs="Arial" w:eastAsia="Arial" w:hAnsi="Arial"/>
          <w:sz w:val="18"/>
          <w:szCs w:val="18"/>
          <w:color w:val="auto"/>
        </w:rPr>
      </w:pPr>
    </w:p>
    <w:p>
      <w:pPr>
        <w:ind w:left="580" w:hanging="410"/>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year ended December 31, 2022, the increase in nondeductible compensation expense is primarily due to contractual severance as a result of</w:t>
      </w:r>
    </w:p>
    <w:p>
      <w:pPr>
        <w:spacing w:after="0" w:line="7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employee separations. In the year ended December 31, 2021, the increase in nondeductible compensation expense is primarily due to the expiration of grandfathered arrangements related to equity compensation under Internal Revenue Code Section 162(m). Prior periods have been restated for comparative purposes.</w:t>
      </w:r>
    </w:p>
    <w:p>
      <w:pPr>
        <w:spacing w:after="0" w:line="76" w:lineRule="exact"/>
        <w:rPr>
          <w:sz w:val="20"/>
          <w:szCs w:val="20"/>
          <w:color w:val="auto"/>
        </w:rPr>
      </w:pPr>
    </w:p>
    <w:p>
      <w:pPr>
        <w:ind w:left="560" w:hanging="39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year ended December 31, 2022, the increase in valuation allowance relates primarily to the generation of excess capital losses and foreign tax</w:t>
      </w:r>
    </w:p>
    <w:p>
      <w:pPr>
        <w:spacing w:after="0" w:line="73"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credits. In the year ended December 31, 2021, the increase in valuation allowance from prior year relates primarily to the generation of excess foreign tax credits and a reduction in the expected utilization of interest expense carryforwards as a result of a tax assessment.</w:t>
      </w:r>
    </w:p>
    <w:p>
      <w:pPr>
        <w:spacing w:after="0" w:line="2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2022 and 2021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Deferred Tax Asset (Liability)</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NOLs and tax credit carry 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101,793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95,684</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and benefit plans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39,860</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Accrued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30,346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Unused capital losses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15,913</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tax asset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275,392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177,450</w:t>
            </w:r>
          </w:p>
        </w:tc>
      </w:tr>
      <w:tr>
        <w:trPr>
          <w:trHeight w:val="23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(105,494)</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deferred tax asset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143,228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71,956</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Prepaid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(106,820)</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Investments in partnerships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(128,434)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(92,866)</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(23,894)</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(242,252)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(224,222)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deferred tax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At December 31, 2022, the Company had investment tax credit carry forwards of approximately $59.3 million, expiring on various dates from 2032 through 2037 and foreign tax credit carryforwards of approximately $47.3 million, expiring on various dates from 2024 through 2032. The foreign tax credit carryforwards have been reduced by a valuation allowance of $47.3 million as it is more likely than not that these carry forwards will not be realized. The Company had net operating loss carry forwards of approximately $318.9 million, related primarily to federal and state net operating losses acquired as a result of the purchase of the outstanding shares of RLJ Entertainment and Sentai Holdings of approximately $87.3 million and $6.8 million, respectively, as well as net operating loss carryforwards of our foreign subsidiaries. The deferred tax asset related to the federal and state net operating loss carryforward of approximately $20.8 million has expiration dates ranging from 2023 through 2042 (some are indefinite) and has been reduced by a valuation allowance of approximately $9.7 million, including $7.7 million that was recorded through goodwill as part of purchase accounting. Although the foreign net operating loss carry forward periods range from 5 years to unlimited, the related deferred tax assets of approximately $33.6 million for these carry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forwards have been reduced by a valuation allowance of approximately $33.3 million as it is more likely than not that these carry forwards will not be realized. The deferred tax asset related to unused capital losses expires in 2027 and has been reduced by a valuation allowance of approximately $21.6 million as it is more likely than not that these losses will not be realized. The remainder of the valuation allowance at December 31, 2022 relates primarily to deferred tax assets attributable to temporary differences of certain foreign subsidiaries for which it is more likely than not that these deferred tax assets will not be realized.</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2022, $1.3 million relating to amortization of tax deductible second component goodwill was realized as a reduction in tax liability (as determined on a 'with-and-without' approach).</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At December 31, 2022, the liability for uncertain tax positions was $6.7 million, excluding accrued interest of $2.1 million and deferred tax assets of $1.7 million. All of such unrecognized tax benefits, if recognized, would reduce the Company's income tax expense and effective tax rate.</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9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r>
      <w:tr>
        <w:trPr>
          <w:trHeight w:val="230"/>
        </w:trPr>
        <w:tc>
          <w:tcPr>
            <w:tcW w:w="9100" w:type="dxa"/>
            <w:vAlign w:val="bottom"/>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prior year tax positions</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9100" w:type="dxa"/>
            <w:vAlign w:val="bottom"/>
          </w:tcPr>
          <w:p>
            <w:pPr>
              <w:ind w:left="360"/>
              <w:spacing w:after="0"/>
              <w:rPr>
                <w:sz w:val="20"/>
                <w:szCs w:val="20"/>
                <w:color w:val="auto"/>
              </w:rPr>
            </w:pPr>
            <w:r>
              <w:rPr>
                <w:rFonts w:ascii="Arial" w:cs="Arial" w:eastAsia="Arial" w:hAnsi="Arial"/>
                <w:sz w:val="18"/>
                <w:szCs w:val="18"/>
                <w:color w:val="auto"/>
              </w:rPr>
              <w:t>Decreases related to prior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Decreases due to settlements/payments</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29"/>
        </w:trPr>
        <w:tc>
          <w:tcPr>
            <w:tcW w:w="9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Decreases due to lapse of statute of limitations</w:t>
            </w: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benefit (net of the related deferred tax) of $1.3 million was recognized during the year ended December 31, 2022 and is included in income tax expense in the consolidated statement of income. At December 31, 2022 and 2021, the liability for uncertain tax positions and accrued interest are included in accrued liabilities and other liabilities, in the consolidated balance sheets.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being audited by the State and City of New York and various other states or jurisdictions, with most of the periods under examination relating to tax years 2013 and forward.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w w:val="89"/>
              </w:rPr>
              <w:t>Payments due by period</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Years</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Arial" w:cs="Arial" w:eastAsia="Arial" w:hAnsi="Arial"/>
                <w:sz w:val="16"/>
                <w:szCs w:val="16"/>
                <w:b w:val="1"/>
                <w:bCs w:val="1"/>
                <w:color w:val="auto"/>
                <w:w w:val="93"/>
              </w:rPr>
              <w:t>2 - 3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100"/>
              <w:spacing w:after="0" w:line="225"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344,681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Purchase obligations consist primarily of program rights obligations, and transmission and marketing commitments.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In December 2022, the parties entered into an agreement to resolve through confidential binding arbitration the remaining claims in the litigation (consisting mainly of ordinary course profit participation audit claims), which had been scheduled for a February 2023 jury trial. As a result, on January 9, 2023, the Plaintiffs filed with the court a notice of dismissal of the remaining claims, and on January 19, 2023, the court formally dismissed the case. On January, 26, 2023, the Plaintiffs filed a notice of appeal of the court’s post-trial, demurrer, and summary adjudication decisions. The Company believes the two remaining claims in the case for breach of contract, which will now be resolved through confidential binding arbitration, are without merit and is continuing to defend against them. At this time, no determination can be made as to the ultimate outcome of this litigation or the potential liability, if any, on the part of the Company.</w:t>
      </w:r>
    </w:p>
    <w:p>
      <w:pPr>
        <w:spacing w:after="0" w:line="6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bring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Noncontrolling Interests</w:t>
      </w:r>
    </w:p>
    <w:p>
      <w:pPr>
        <w:spacing w:after="0" w:line="11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connection with the 2018 acquisition of RLJ Entertainment, the terms of the operating agreement provide the noncontrolling member with a right to put all of its noncontrolling interest to a subsidiary of the Company following the seventh anniversary of the agreement, or earlier upon a change of control. The put option is exercisable at the greater of the then fair market value or enterprise value of RLJ Entertainment, (but not lower than the fair value of the initial equity interest at the closing date of the agreement), in each case pursuant to the operating agreement and applied to the equity interest.</w:t>
      </w:r>
    </w:p>
    <w:p>
      <w:pPr>
        <w:spacing w:after="0" w:line="3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2014, the Company, through a wholly-owned subsidiary, acquired 49.9% of the limited liability company interests of New Video Channel America L.L.C, that owns the cable channel BBC AMERICA. In connection with the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activity reflected within redeemable noncontrolling interests for the years ended December 31, 2022 and 2021 is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Redeemable Noncontrolling</w:t>
            </w:r>
          </w:p>
        </w:tc>
      </w:t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Interest</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17,230</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Distribution related to spin-off transaction</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283,849</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losses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(27,435)</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253,669</w:t>
            </w: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in 2021 (see Note 4), $8.2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Non-redeemable Noncontrolling Interests</w:t>
      </w:r>
    </w:p>
    <w:p>
      <w:pPr>
        <w:spacing w:after="0" w:line="104"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In April 2022, 25/7 Media entered into a purchase agreement to acquire the remaining 50% interest of a consolidated subsidiary. Under the terms of the agreement, 25/7 Media agreed to pay up to $7.1 million, of which $2.5 million was paid in cash upon closing and an additional $4.6 million represents an earn-out that is contingent on the subsidiary exceeding specified profitability targets. Upon the effective date of the transaction, the estimated fair value of the purchase price, based on the weighted average probability of such profitability targets being met, was $4.4 million (net of tax of $0.9 million). The carrying amount of the noncontrolling interest was eliminated and the excess of consideration transferred was recorded as additional-paid-in capital in the consolidated statement of stockholders' equity.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Equity and Long-Term Incentive Plans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On June 11, 2020,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12,000,000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Awards issued to employees under the 2016 Employee Stock Plan will settle in shares of the Company's Class A Common Stock (either from treasury or with newly issued shares), or, at the option of the Compensation Committee, in cash. As of December 31, 2022, there are 8,175,717 share awards available for future grant under the 2016 Employee Stock Plan.</w:t>
      </w:r>
    </w:p>
    <w:p>
      <w:pPr>
        <w:spacing w:after="0" w:line="7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June 11, 2020, the Company adopted the Amended and Restated 2011 Stock Plan for Non-Employee Directors (the "2011 Non-Employee Director Plan"). Under the 2011 Non-Employee Director Plan, the Company is authorized to grant non-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qualified stock options, restricted stock units, restricted shares, stock appreciation rights and other equity-based awards. The Company may grant awards for up to 665,000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2022, there are 191,989 shares available for future grant under the 2011 Non-Employee Director Plan.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activity relating to Company employees who held AMC Networks restricted stock units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Performance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Restricted</w:t>
            </w: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Units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2020</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1,002,537</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1,477,622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681,303</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920,372</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38,264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(857,044)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(221,269)</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1,031,724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restricted stock units granted vest ratably over a three or four year period.</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2020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27,423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Vested award balance, December 31, 2021</w:t>
            </w:r>
          </w:p>
        </w:tc>
        <w:tc>
          <w:tcPr>
            <w:tcW w:w="1740" w:type="dxa"/>
            <w:vAlign w:val="bottom"/>
          </w:tcPr>
          <w:p>
            <w:pPr>
              <w:jc w:val="right"/>
              <w:spacing w:after="0"/>
              <w:rPr>
                <w:sz w:val="20"/>
                <w:szCs w:val="20"/>
                <w:color w:val="auto"/>
              </w:rPr>
            </w:pPr>
            <w:r>
              <w:rPr>
                <w:rFonts w:ascii="Arial" w:cs="Arial" w:eastAsia="Arial" w:hAnsi="Arial"/>
                <w:sz w:val="18"/>
                <w:szCs w:val="18"/>
                <w:color w:val="auto"/>
              </w:rPr>
              <w:t>262,655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 Option Award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relating to employees of the Company who held AMC Networks stock options: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Shares Under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360" w:type="dxa"/>
            <w:vAlign w:val="bottom"/>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36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Weighted</w:t>
            </w:r>
          </w:p>
        </w:tc>
        <w:tc>
          <w:tcPr>
            <w:tcW w:w="148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6"/>
              </w:rPr>
              <w:t>Time</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3"/>
                <w:szCs w:val="13"/>
                <w:color w:val="auto"/>
              </w:rPr>
            </w:pPr>
          </w:p>
        </w:tc>
        <w:tc>
          <w:tcPr>
            <w:tcW w:w="1160" w:type="dxa"/>
            <w:vAlign w:val="bottom"/>
          </w:tcPr>
          <w:p>
            <w:pPr>
              <w:jc w:val="center"/>
              <w:ind w:right="133"/>
              <w:spacing w:after="0" w:line="155"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Vesting</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4"/>
                <w:szCs w:val="14"/>
                <w:color w:val="auto"/>
              </w:rPr>
            </w:pPr>
          </w:p>
        </w:tc>
        <w:tc>
          <w:tcPr>
            <w:tcW w:w="116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8"/>
                <w:szCs w:val="18"/>
                <w:color w:val="auto"/>
              </w:rPr>
            </w:pPr>
          </w:p>
        </w:tc>
        <w:tc>
          <w:tcPr>
            <w:tcW w:w="116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34"/>
              <w:spacing w:after="0"/>
              <w:rPr>
                <w:sz w:val="20"/>
                <w:szCs w:val="20"/>
                <w:color w:val="auto"/>
              </w:rPr>
            </w:pPr>
            <w:r>
              <w:rPr>
                <w:rFonts w:ascii="Arial" w:cs="Arial" w:eastAsia="Arial" w:hAnsi="Arial"/>
                <w:sz w:val="18"/>
                <w:szCs w:val="18"/>
                <w:color w:val="auto"/>
                <w:w w:val="91"/>
              </w:rPr>
              <w:t>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4"/>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left="854"/>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2022</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center"/>
              <w:ind w:left="954"/>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expected to vest in the future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40" w:hanging="329"/>
        <w:spacing w:after="0" w:line="277" w:lineRule="auto"/>
        <w:tabs>
          <w:tab w:leader="none" w:pos="5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the reporting date, as indicated.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Share-based Compensation Expenses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share-based compensation expenses of $37.7 million (including $7.7 million recorded as part of Restructuring and other related charges), $47.9 million and $52.9 million, reduced for forfeitures, for the years ended December 31, 2022, 2021 and 2020, respectively. Forfeitures are estimated based on historical experience. To the extent actual results of forfeitures differ from those estimates, such amounts are recorded as an adjustment in the period the estimates are revised.</w:t>
      </w:r>
    </w:p>
    <w:p>
      <w:pPr>
        <w:spacing w:after="0" w:line="7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Share-based compensation expenses are recognized in the consolidated statements of income as part of selling, general and administrative expenses. As of December 31, 2022, there was $21.8 million of total unrecognized share-based compensation costs related to Company employees who held unvested AMC Networks restricted stock units. The unrecognized compensation cost is expected to be recognized over a weighted-average remaining period of approximately 1.9 years. There were no costs related to share-based compensation that were capitalized.</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receives income tax deductions related to restricted stock units, stock options or other equity awards granted to its employees by the Company.</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deficiencies/(benefits) of $1.4 million, $(4.6) million and $8.4 million were recorded for the years ended December 31, 2022, 2021 and 2020, respectively.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During 2022, 2021 and 2020, the Company granted long-term incentive cash awards.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Long-term incentive compensation plan expense is recognized in the consolidated statements of income as part of selling, general and administrative expenses. The Company recorded long-term incentive compensation expense of $8.0 million, $22.5 million and $13.9 million for the years ended December 31, 2022, 2021, and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Benefit Plans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matching contribution, the Company may make a discretionary year-end contribution to employee 401(k) Plan and Excess Savings Plan accounts, subject to certain conditions.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Total expense related to all benefit plans was $4.3 million, $11.9 million and $9.3 million for the years ended December 31, 2022, 2021 and 2020, respectively. The Company does not provide postretirement benefits for any of its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79% of the aggregate voting power of the Company's outstanding common stock. Members of the Dolan Family are also the controlling stockholders of Madison Square Garden Sports Corp. ("MSGS") and Madison Square Garden Entertainment Corp. ("MSGE"). The Company provides services to and receives services from MSGS and MSGE.</w:t>
      </w:r>
    </w:p>
    <w:p>
      <w:pPr>
        <w:spacing w:after="0" w:line="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From time to time the Company enters into arrangements with 605, LLC. James L. Dolan, the Interim Executive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in the ordinary course of business.</w:t>
      </w:r>
    </w:p>
    <w:p>
      <w:pPr>
        <w:spacing w:after="0" w:line="7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August 1, 2022, the Audit Committee authorized the Company to enter into a Statement of Work for Strategic Analytic Services (the “Statement of Work”) with 605, LLC under the Master Services Agreement. The fees payable to 605, LLC by the Company for these services are $10.5 million payable in five installments with the first payment made upon execution of the agreement. The initial term of the Statement of Work ran from August 1, 2022 to December 31, 2022. The term was automatically extended to June 30, 2023 per the terms of the agreement.</w:t>
      </w:r>
    </w:p>
    <w:p>
      <w:pPr>
        <w:spacing w:after="0" w:line="63"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Under the Statement of Work, 605, LLC is engaged in a strategic, research, market, business and financial assessment of the Company and its business partnering with the Company’s management team. 605, LLC utilizes their expertise, including assessment of extensive real-time business intelligence and consumer research, to enable potential further acceleration of the Company’s long-term growth and value creation. Among the analytic services provided by 605, LLC are situation analysis, customer experience, data utilization, addressing the market, content strategy and overview, sales strategy, pricing analysis, customer profiles, content (by offering), marketing strategy and financial analysis.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 net</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$5.1 million, $5.0 million and $4.8 million for the years ended December 31, 2022, 2021 and 2020,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$8.0 million, $2.2 million and $0.5 million for the years ended December 31, 2022, 2021 and 2020, respectively.</w:t>
      </w:r>
    </w:p>
    <w:p>
      <w:pPr>
        <w:spacing w:after="0" w:line="7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AMC Networks has an arrangement with the Dolan Family Office, LLC ("DFO"), MSGS and MSGE providing for the sharing of certain expenses associated with executive office space which are available to Charles F. Dolan (the Chairman Emeritus and a director of the Company and a director of MSGS and MSGE), James L. Dolan (the Interim Executive Chairman and a director of the Company and a director of MSGS and MSGE), and the DFO which is controlled by Charles F. Dolan. The Company's share of initial set-up costs and office expenses was not 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2022, 2021 and 2020, the Company's non-cash investing and financing activities and other supplemental data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jc w:val="center"/>
              <w:ind w:left="933"/>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Operating lease additions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additions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for purchase of noncontrolling interests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Supplemental Data: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 paid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Income taxes paid, net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99,852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6740" w:type="dxa"/>
            <w:vAlign w:val="bottom"/>
          </w:tcPr>
          <w:p>
            <w:pPr>
              <w:spacing w:after="0"/>
              <w:rPr>
                <w:sz w:val="20"/>
                <w:szCs w:val="20"/>
                <w:color w:val="auto"/>
              </w:rPr>
            </w:pPr>
            <w:r>
              <w:rPr>
                <w:rFonts w:ascii="Arial" w:cs="Arial" w:eastAsia="Arial" w:hAnsi="Arial"/>
                <w:sz w:val="18"/>
                <w:szCs w:val="18"/>
                <w:b w:val="1"/>
                <w:bCs w:val="1"/>
                <w:color w:val="auto"/>
              </w:rPr>
              <w:t>Note 22. Accumulated Other Comprehensive Loss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w w:val="93"/>
              </w:rPr>
              <w:t>The following table details the components of accumulated other comprehensive loss: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2022</w:t>
            </w:r>
          </w:p>
        </w:tc>
        <w:tc>
          <w:tcPr>
            <w:tcW w:w="0" w:type="dxa"/>
            <w:vAlign w:val="bottom"/>
          </w:tcPr>
          <w:p>
            <w:pPr>
              <w:spacing w:after="0"/>
              <w:rPr>
                <w:sz w:val="1"/>
                <w:szCs w:val="1"/>
                <w:color w:val="auto"/>
              </w:rPr>
            </w:pPr>
          </w:p>
        </w:tc>
      </w:tr>
      <w:tr>
        <w:trPr>
          <w:trHeight w:val="34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24"/>
                <w:szCs w:val="24"/>
                <w:color w:val="auto"/>
              </w:rPr>
            </w:pP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87"/>
              </w:rPr>
              <w:t>Gains (Losses) on</w:t>
            </w:r>
          </w:p>
        </w:tc>
        <w:tc>
          <w:tcPr>
            <w:tcW w:w="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Cash Flow Hedges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(175,818)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 before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(63,982)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(63,982)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 net of income taxes</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(63,980)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(63,980)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2021</w:t>
            </w:r>
          </w:p>
        </w:tc>
        <w:tc>
          <w:tcPr>
            <w:tcW w:w="0" w:type="dxa"/>
            <w:vAlign w:val="bottom"/>
          </w:tcPr>
          <w:p>
            <w:pPr>
              <w:spacing w:after="0"/>
              <w:rPr>
                <w:sz w:val="1"/>
                <w:szCs w:val="1"/>
                <w:color w:val="auto"/>
              </w:rPr>
            </w:pPr>
          </w:p>
        </w:tc>
      </w:tr>
      <w:tr>
        <w:trPr>
          <w:trHeight w:val="34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24"/>
                <w:szCs w:val="24"/>
                <w:color w:val="auto"/>
              </w:rPr>
            </w:pP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87"/>
              </w:rPr>
              <w:t>Gains (Losses) on</w:t>
            </w:r>
          </w:p>
        </w:tc>
        <w:tc>
          <w:tcPr>
            <w:tcW w:w="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Cash Flow Hedges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 before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 net of income taxes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(40,868)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investees. The Company has presented the components that reconcile adjusted operating income to operating income, and other information as to the continuing operations of the Company's operating segments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2022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1,395,026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223,515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1,618,541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1,886,896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358,921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2,224,695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2,675,142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2021</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1,318,732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249,844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1,568,576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2,126,954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511,317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9"/>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F-44</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 2020</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1,145,970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239,145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1,385,115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554,025</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1,579,924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378,891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1,939,140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875,816</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2,814,956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52,908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122,227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Subscription revenues in the Domestic Operations segment, include revenues related to the Company's streaming services of approximately $501.9 million, $370.8 million and $185.6 million for the years ended December 31, 2022, 2021 and 2020 respectively.</w:t>
      </w:r>
    </w:p>
    <w:p>
      <w:pPr>
        <w:spacing w:after="0" w:line="6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Inter-segment eliminations are primarily licensing revenues recognized between the Domestic Operations and International and Other segments as well as revenues recognized by AMC Networks Broadcasting &amp; Technology for transmission revenues recognized from the International and Other operating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3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(15,852)</w:t>
            </w:r>
          </w:p>
        </w:tc>
      </w:tr>
      <w:tr>
        <w:trPr>
          <w:trHeight w:val="229"/>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223"/>
        </w:trPr>
        <w:tc>
          <w:tcPr>
            <w:tcW w:w="63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One customer within the Domestic Operations segment accounted for approximately 10% of consolidated revenues, net for the year ended December 31, 2022. For the years ended December 31, 2021 and 2020, no customer accounted for 10% of consolidated revenues, net.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3"/>
              </w:rPr>
              <w:t>Years Ended December 31,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2,574,504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2,462,210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2,267,754</w:t>
            </w:r>
          </w:p>
        </w:tc>
        <w:tc>
          <w:tcPr>
            <w:tcW w:w="40" w:type="dxa"/>
            <w:vAlign w:val="bottom"/>
          </w:tcPr>
          <w:p>
            <w:pPr>
              <w:spacing w:after="0"/>
              <w:rPr>
                <w:sz w:val="19"/>
                <w:szCs w:val="19"/>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385,787</w:t>
            </w:r>
          </w:p>
        </w:tc>
        <w:tc>
          <w:tcPr>
            <w:tcW w:w="4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161,415</w:t>
            </w:r>
          </w:p>
        </w:tc>
        <w:tc>
          <w:tcPr>
            <w:tcW w:w="40" w:type="dxa"/>
            <w:vAlign w:val="bottom"/>
            <w:tcBorders>
              <w:bottom w:val="single" w:sz="8" w:color="auto"/>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3,096,545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120" w:type="dxa"/>
            <w:vAlign w:val="bottom"/>
            <w:gridSpan w:val="2"/>
          </w:tcPr>
          <w:p>
            <w:pPr>
              <w:ind w:left="420"/>
              <w:spacing w:after="0"/>
              <w:rPr>
                <w:sz w:val="20"/>
                <w:szCs w:val="20"/>
                <w:color w:val="auto"/>
              </w:rPr>
            </w:pPr>
            <w:r>
              <w:rPr>
                <w:rFonts w:ascii="Arial" w:cs="Arial" w:eastAsia="Arial" w:hAnsi="Arial"/>
                <w:sz w:val="18"/>
                <w:szCs w:val="18"/>
                <w:color w:val="auto"/>
                <w:w w:val="91"/>
              </w:rPr>
              <w:t>The table below summarizes property and equipment based on asset location: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7"/>
          </w:tcPr>
          <w:p>
            <w:pPr>
              <w:ind w:left="560"/>
              <w:spacing w:after="0"/>
              <w:rPr>
                <w:sz w:val="20"/>
                <w:szCs w:val="20"/>
                <w:color w:val="auto"/>
              </w:rPr>
            </w:pPr>
            <w:r>
              <w:rPr>
                <w:rFonts w:ascii="Arial" w:cs="Arial" w:eastAsia="Arial" w:hAnsi="Arial"/>
                <w:sz w:val="16"/>
                <w:szCs w:val="16"/>
                <w:b w:val="1"/>
                <w:bCs w:val="1"/>
                <w:color w:val="auto"/>
              </w:rPr>
              <w:t>Years Ended December 31,</w:t>
            </w: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187,833</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210,252</w:t>
            </w:r>
          </w:p>
        </w:tc>
        <w:tc>
          <w:tcPr>
            <w:tcW w:w="40" w:type="dxa"/>
            <w:vAlign w:val="bottom"/>
          </w:tcPr>
          <w:p>
            <w:pPr>
              <w:spacing w:after="0"/>
              <w:rPr>
                <w:sz w:val="19"/>
                <w:szCs w:val="19"/>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40" w:type="dxa"/>
            <w:vAlign w:val="bottom"/>
          </w:tcPr>
          <w:p>
            <w:pPr>
              <w:spacing w:after="0"/>
              <w:rPr>
                <w:sz w:val="19"/>
                <w:szCs w:val="19"/>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40" w:type="dxa"/>
            <w:vAlign w:val="bottom"/>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225,791</w:t>
            </w:r>
          </w:p>
        </w:tc>
        <w:tc>
          <w:tcPr>
            <w:tcW w:w="40" w:type="dxa"/>
            <w:vAlign w:val="bottom"/>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ind w:left="378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Balance at Beginning of</w:t>
            </w: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6"/>
                <w:szCs w:val="16"/>
                <w:b w:val="1"/>
                <w:bCs w:val="1"/>
                <w:color w:val="auto"/>
              </w:rPr>
              <w:t>End of Period</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Ended December 31, 2022</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color w:val="auto"/>
                <w:w w:val="88"/>
              </w:rPr>
              <w:t>2,202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w w:val="91"/>
              </w:rPr>
              <w:t>(1,507)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2021</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color w:val="auto"/>
                <w:w w:val="88"/>
              </w:rPr>
              <w:t>5,337</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w w:val="91"/>
              </w:rPr>
              <w:t>(8,541)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91"/>
              </w:rPr>
              <w:t>(2,843)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center"/>
              <w:ind w:left="974"/>
              <w:spacing w:after="0"/>
              <w:rPr>
                <w:sz w:val="20"/>
                <w:szCs w:val="20"/>
                <w:color w:val="auto"/>
              </w:rPr>
            </w:pPr>
            <w:r>
              <w:rPr>
                <w:rFonts w:ascii="Arial" w:cs="Arial" w:eastAsia="Arial" w:hAnsi="Arial"/>
                <w:sz w:val="18"/>
                <w:szCs w:val="18"/>
                <w:color w:val="auto"/>
                <w:w w:val="88"/>
              </w:rPr>
              <w:t>8,344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320" w:top="1174"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w w:val="93"/>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1"/>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5"/>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4"/>
        </w:trPr>
        <w:tc>
          <w:tcPr>
            <w:tcW w:w="4040" w:type="dxa"/>
            <w:vAlign w:val="bottom"/>
          </w:tcPr>
          <w:p>
            <w:pPr>
              <w:ind w:left="3280"/>
              <w:spacing w:after="0"/>
              <w:rPr>
                <w:sz w:val="20"/>
                <w:szCs w:val="20"/>
                <w:color w:val="auto"/>
              </w:rPr>
            </w:pPr>
            <w:r>
              <w:rPr>
                <w:rFonts w:ascii="Arial" w:cs="Arial" w:eastAsia="Arial" w:hAnsi="Arial"/>
                <w:sz w:val="14"/>
                <w:szCs w:val="14"/>
                <w:b w:val="1"/>
                <w:bCs w:val="1"/>
                <w:color w:val="auto"/>
              </w:rPr>
              <w:t>Subsidiary</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Jurisdiction of Formation</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 Owned</w:t>
            </w:r>
          </w:p>
        </w:tc>
      </w:tr>
      <w:tr>
        <w:trPr>
          <w:trHeight w:val="26"/>
        </w:trPr>
        <w:tc>
          <w:tcPr>
            <w:tcW w:w="4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AMC Network Entertainment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49.9%</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9"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2"/>
              </w:rPr>
              <w:t>As of December 31, 2022,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Aesir Media Group, LLC</w:t>
            </w: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Games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Anime Network LLC</w:t>
            </w: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Dark Winds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HIDIVE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Entertainment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In Theaters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Infinite Frontiers,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 Creative Contents Alliance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Peachwood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Sentai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Sentai Filmworks,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Sxion 23,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Unio Mystica Holding,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113" w:name="page114"/>
    <w:bookmarkEnd w:id="113"/>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(No.333-214083 and No. 333-250143) on Form S-8 of our reports dated February 17, 2023, with respect to the consolidated financial statements of AMC Networks,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0880"/>
          </w:cols>
          <w:pgMar w:left="320" w:top="1404" w:right="6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James L. Dolan,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February 17, 2023</w:t>
            </w:r>
          </w:p>
        </w:tc>
        <w:tc>
          <w:tcPr>
            <w:tcW w:w="6180" w:type="dxa"/>
            <w:vAlign w:val="bottom"/>
            <w:gridSpan w:val="2"/>
          </w:tcPr>
          <w:p>
            <w:pPr>
              <w:ind w:left="2320"/>
              <w:spacing w:after="0"/>
              <w:rPr>
                <w:sz w:val="20"/>
                <w:szCs w:val="20"/>
                <w:color w:val="auto"/>
              </w:rPr>
            </w:pPr>
            <w:r>
              <w:rPr>
                <w:rFonts w:ascii="Arial" w:cs="Arial" w:eastAsia="Arial" w:hAnsi="Arial"/>
                <w:sz w:val="18"/>
                <w:szCs w:val="18"/>
                <w:color w:val="auto"/>
              </w:rPr>
              <w:t>By:  /s/ James L. Dolan</w:t>
            </w:r>
          </w:p>
        </w:tc>
      </w:tr>
      <w:tr>
        <w:trPr>
          <w:trHeight w:val="222"/>
        </w:trPr>
        <w:tc>
          <w:tcPr>
            <w:tcW w:w="4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James L. Dolan</w:t>
            </w:r>
          </w:p>
        </w:tc>
      </w:tr>
      <w:tr>
        <w:trPr>
          <w:trHeight w:val="230"/>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Interim Executive Chairman</w:t>
            </w:r>
          </w:p>
        </w:tc>
      </w:tr>
    </w:tbl>
    <w:p>
      <w:pPr>
        <w:sectPr>
          <w:pgSz w:w="11900" w:h="16838" w:orient="portrait"/>
          <w:cols w:equalWidth="0" w:num="1">
            <w:col w:w="11240"/>
          </w:cols>
          <w:pgMar w:left="320" w:top="12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February 17, 2023</w:t>
            </w:r>
          </w:p>
        </w:tc>
        <w:tc>
          <w:tcPr>
            <w:tcW w:w="6180" w:type="dxa"/>
            <w:vAlign w:val="bottom"/>
            <w:gridSpan w:val="2"/>
          </w:tcPr>
          <w:p>
            <w:pPr>
              <w:ind w:left="2320"/>
              <w:spacing w:after="0"/>
              <w:rPr>
                <w:sz w:val="20"/>
                <w:szCs w:val="20"/>
                <w:color w:val="auto"/>
              </w:rPr>
            </w:pPr>
            <w:r>
              <w:rPr>
                <w:rFonts w:ascii="Arial" w:cs="Arial" w:eastAsia="Arial" w:hAnsi="Arial"/>
                <w:sz w:val="18"/>
                <w:szCs w:val="18"/>
                <w:color w:val="auto"/>
              </w:rPr>
              <w:t>By:  /s/ Patrick O'Connell</w:t>
            </w:r>
          </w:p>
        </w:tc>
      </w:tr>
      <w:tr>
        <w:trPr>
          <w:trHeight w:val="222"/>
        </w:trPr>
        <w:tc>
          <w:tcPr>
            <w:tcW w:w="4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Patrick O'Connell</w:t>
            </w:r>
          </w:p>
        </w:tc>
      </w:tr>
      <w:tr>
        <w:trPr>
          <w:trHeight w:val="176"/>
        </w:trPr>
        <w:tc>
          <w:tcPr>
            <w:tcW w:w="4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5"/>
              </w:rPr>
              <w:t>Executive Vice President and Chief Financial</w:t>
            </w:r>
          </w:p>
        </w:tc>
      </w:tr>
      <w:tr>
        <w:trPr>
          <w:trHeight w:val="230"/>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2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2022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February 17, 2023</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L. Dolan</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James L. Dolan</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Interim Executive Chairman</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February 17, 2023</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Patrick O'Connell</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endash "/>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Roman"/>
      <w:start w:val="2"/>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21"/>
    </w:lvl>
  </w:abstractNum>
  <w:abstractNum w:abstractNumId="37">
    <w:nsid w:val="725A06FB"/>
    <w:multiLevelType w:val="hybridMultilevel"/>
    <w:lvl w:ilvl="0">
      <w:lvlJc w:val="left"/>
      <w:lvlText w:val="%1"/>
      <w:numFmt w:val="decimal"/>
      <w:start w:val="32"/>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2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95" Type="http://schemas.openxmlformats.org/officeDocument/2006/relationships/hyperlink" Target="http://www.sec.gov/Archives/edgar/data/1514991/000119312518230456/d586184dex21.htm" TargetMode="External"/><Relationship Id="rId96" Type="http://schemas.openxmlformats.org/officeDocument/2006/relationships/hyperlink" Target="http://www.sec.gov/Archives/edgar/data/1514991/000095012311063740/y91900exv99w4.htm" TargetMode="External"/><Relationship Id="rId97" Type="http://schemas.openxmlformats.org/officeDocument/2006/relationships/hyperlink" Target="http://www.sec.gov/Archives/edgar/data/1514991/000095012311063740/y91900exv99w5.htm" TargetMode="External"/><Relationship Id="rId98" Type="http://schemas.openxmlformats.org/officeDocument/2006/relationships/hyperlink" Target="http://www.sec.gov/Archives/edgar/data/1514991/000095012311056616/y91125a5exv3w5.htm" TargetMode="External"/><Relationship Id="rId99" Type="http://schemas.openxmlformats.org/officeDocument/2006/relationships/hyperlink" Target="http://www.sec.gov/Archives/edgar/data/1514991/000095012311056616/y91125a5exv3w6.htm" TargetMode="External"/><Relationship Id="rId100" Type="http://schemas.openxmlformats.org/officeDocument/2006/relationships/hyperlink" Target="http://www.sec.gov/Archives/edgar/data/1514991/000095012311063740/y91900exv99w2.htm" TargetMode="External"/><Relationship Id="rId101" Type="http://schemas.openxmlformats.org/officeDocument/2006/relationships/hyperlink" Target="http://www.sec.gov/Archives/edgar/data/1514991/000119312517240565/d435389dex41.htm" TargetMode="External"/><Relationship Id="rId102" Type="http://schemas.openxmlformats.org/officeDocument/2006/relationships/hyperlink" Target="http://www.sec.gov/Archives/edgar/data/1514991/000119312516523870/d144606dex41.htm" TargetMode="External"/><Relationship Id="rId103" Type="http://schemas.openxmlformats.org/officeDocument/2006/relationships/hyperlink" Target="http://www.sec.gov/Archives/edgar/data/1514991/000119312517240565/d435389dex42.htm" TargetMode="External"/><Relationship Id="rId104" Type="http://schemas.openxmlformats.org/officeDocument/2006/relationships/hyperlink" Target="https://www.sec.gov/Archives/edgar/data/1514991/000119312521032506/d78130dex42.htm" TargetMode="External"/><Relationship Id="rId105" Type="http://schemas.openxmlformats.org/officeDocument/2006/relationships/hyperlink" Target="https://www.sec.gov/Archives/edgar/data/1514991/000151499121000014/amcx-123120xex410.htm" TargetMode="External"/><Relationship Id="rId106" Type="http://schemas.openxmlformats.org/officeDocument/2006/relationships/hyperlink" Target="http://www.sec.gov/Archives/edgar/data/1514991/000095012311056616/y91125a5exv10w2.htm" TargetMode="External"/><Relationship Id="rId107" Type="http://schemas.openxmlformats.org/officeDocument/2006/relationships/hyperlink" Target="http://www.sec.gov/Archives/edgar/data/1514991/000095012311056616/y91125a5exv10w5.htm" TargetMode="External"/><Relationship Id="rId108" Type="http://schemas.openxmlformats.org/officeDocument/2006/relationships/hyperlink" Target="http://www.sec.gov/Archives/edgar/data/1514991/000119312517240565/d435389dex101.htm" TargetMode="External"/><Relationship Id="rId110" Type="http://schemas.openxmlformats.org/officeDocument/2006/relationships/hyperlink" Target="https://www.sec.gov/Archives/edgar/data/1514991/000119312521032506/d78130dex101.htm" TargetMode="External"/><Relationship Id="rId111" Type="http://schemas.openxmlformats.org/officeDocument/2006/relationships/hyperlink" Target="https://www.sec.gov/Archives/edgar/data/1514991/000151499120000033/amcx-6302020xex102.htm" TargetMode="External"/><Relationship Id="rId112" Type="http://schemas.openxmlformats.org/officeDocument/2006/relationships/hyperlink" Target="http://www.sec.gov/Archives/edgar/data/1514991/000095012311056616/y91125a5exv10w13.htm" TargetMode="External"/><Relationship Id="rId113" Type="http://schemas.openxmlformats.org/officeDocument/2006/relationships/hyperlink" Target="https://www.sec.gov/Archives/edgar/data/1514991/000119312520246295/d899294dex101.htm" TargetMode="External"/><Relationship Id="rId114" Type="http://schemas.openxmlformats.org/officeDocument/2006/relationships/hyperlink" Target="https://www.sec.gov/Archives/edgar/data/1514991/000151499121000014/amcx-123120xex109.htm" TargetMode="External"/><Relationship Id="rId115" Type="http://schemas.openxmlformats.org/officeDocument/2006/relationships/hyperlink" Target="https://www.sec.gov/Archives/edgar/data/1514991/000151499121000061/exhibit101.htm" TargetMode="External"/><Relationship Id="rId116" Type="http://schemas.openxmlformats.org/officeDocument/2006/relationships/hyperlink" Target="https://www.sec.gov/Archives/edgar/data/1514991/000151499122000043/amcx-9302022xex101.htm" TargetMode="External"/><Relationship Id="rId117" Type="http://schemas.openxmlformats.org/officeDocument/2006/relationships/hyperlink" Target="https://www.sec.gov/Archives/edgar/data/1514991/000151499122000043/amcx-9302022xex102.htm" TargetMode="External"/><Relationship Id="rId118" Type="http://schemas.openxmlformats.org/officeDocument/2006/relationships/hyperlink" Target="https://www.sec.gov/Archives/edgar/data/1514991/000151499121000061/exhibit102.htm" TargetMode="External"/><Relationship Id="rId119" Type="http://schemas.openxmlformats.org/officeDocument/2006/relationships/hyperlink" Target="https://www.sec.gov/Archives/edgar/data/1514991/000151499121000061/exhibit103.htm" TargetMode="External"/><Relationship Id="rId120" Type="http://schemas.openxmlformats.org/officeDocument/2006/relationships/hyperlink" Target="http://www.sec.gov/Archives/edgar/data/1514991/000151499116000066/exhibit101.htm" TargetMode="External"/><Relationship Id="rId121" Type="http://schemas.openxmlformats.org/officeDocument/2006/relationships/hyperlink" Target="https://www.sec.gov/Archives/edgar/data/1514991/000151499121000061/exhibit104.htm" TargetMode="External"/><Relationship Id="rId122" Type="http://schemas.openxmlformats.org/officeDocument/2006/relationships/hyperlink" Target="https://www.sec.gov/Archives/edgar/data/1514991/000151499122000043/amcx-9302022xex103.htm" TargetMode="External"/><Relationship Id="rId123" Type="http://schemas.openxmlformats.org/officeDocument/2006/relationships/hyperlink" Target="https://www.sec.gov/Archives/edgar/data/1514991/000151499121000014/amcx-123120xex1015.htm" TargetMode="External"/><Relationship Id="rId124" Type="http://schemas.openxmlformats.org/officeDocument/2006/relationships/hyperlink" Target="https://www.sec.gov/Archives/edgar/data/1514991/000151499122000007/amcx-12312021xex1017.htm" TargetMode="External"/><Relationship Id="rId125" Type="http://schemas.openxmlformats.org/officeDocument/2006/relationships/hyperlink" Target="http://www.sec.gov/Archives/edgar/data/1514991/000095012311056616/y91125a5exv10w22.htm" TargetMode="External"/><Relationship Id="rId127" Type="http://schemas.openxmlformats.org/officeDocument/2006/relationships/hyperlink" Target="http://www.sec.gov/Archives/edgar/data/1514991/000119312512347653/d392047dex104.htm" TargetMode="External"/><Relationship Id="rId128" Type="http://schemas.openxmlformats.org/officeDocument/2006/relationships/hyperlink" Target="https://www.sec.gov/Archives/edgar/data/1514991/000151499120000033/amcx-6302020xex101.htm" TargetMode="External"/><Relationship Id="rId129" Type="http://schemas.openxmlformats.org/officeDocument/2006/relationships/hyperlink" Target="http://www.sec.gov/Archives/edgar/data/1514991/000151499116000061/amcx-6302016xex101.htm" TargetMode="External"/><Relationship Id="rId130" Type="http://schemas.openxmlformats.org/officeDocument/2006/relationships/hyperlink" Target="http://www.sec.gov/Archives/edgar/data/1514991/000151499118000004/amcx-12312017xex1021.htm" TargetMode="External"/><Relationship Id="rId131" Type="http://schemas.openxmlformats.org/officeDocument/2006/relationships/hyperlink" Target="http://www.sec.gov/Archives/edgar/data/1514991/000151499118000004/amcx-12312017xex1022.htm" TargetMode="External"/><Relationship Id="rId132" Type="http://schemas.openxmlformats.org/officeDocument/2006/relationships/hyperlink" Target="https://www.sec.gov/Archives/edgar/data/1514991/000151499120000018/amcx-3312020xex101.htm" TargetMode="External"/><Relationship Id="rId133" Type="http://schemas.openxmlformats.org/officeDocument/2006/relationships/hyperlink" Target="https://www.sec.gov/Archives/edgar/data/1514991/000151499122000007/amcx-12312021xex1027.htm" TargetMode="External"/><Relationship Id="rId134" Type="http://schemas.openxmlformats.org/officeDocument/2006/relationships/hyperlink" Target="http://www.sec.gov/Archives/edgar/data/1514991/000151499119000014/amcx-3312019xex101.htm" TargetMode="External"/><Relationship Id="rId135" Type="http://schemas.openxmlformats.org/officeDocument/2006/relationships/hyperlink" Target="https://www.sec.gov/Archives/edgar/data/1514991/000151499122000028/amcx-6302022xex101.htm" TargetMode="External"/><Relationship Id="rId136" Type="http://schemas.openxmlformats.org/officeDocument/2006/relationships/hyperlink" Target="https://www.sec.gov/Archives/edgar/data/1514991/000151499122000007/amcx-12312021x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2023-02-17T15:30:45Z</dcterms:created>
  <dcterms:modified xsi:type="dcterms:W3CDTF">2023-02-17T15:30:45Z</dcterms:modified>
</cp:coreProperties>
</file>