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91440</wp:posOffset>
            </wp:positionV>
            <wp:extent cx="3291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62230</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5"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transition period from  to</w:t>
      </w:r>
    </w:p>
    <w:p>
      <w:pPr>
        <w:spacing w:after="0" w:line="63"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102870</wp:posOffset>
            </wp:positionV>
            <wp:extent cx="3291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32" w:lineRule="exact"/>
        <w:rPr>
          <w:sz w:val="24"/>
          <w:szCs w:val="24"/>
          <w:color w:val="auto"/>
        </w:rPr>
      </w:pPr>
    </w:p>
    <w:tbl>
      <w:tblPr>
        <w:tblLayout w:type="fixed"/>
        <w:tblInd w:w="1640" w:type="dxa"/>
        <w:tblCellMar>
          <w:top w:w="0" w:type="dxa"/>
          <w:left w:w="0" w:type="dxa"/>
          <w:bottom w:w="0" w:type="dxa"/>
          <w:right w:w="0" w:type="dxa"/>
        </w:tblCellMar>
      </w:tblPr>
      <w:tr>
        <w:trPr>
          <w:trHeight w:val="375"/>
        </w:trPr>
        <w:tc>
          <w:tcPr>
            <w:tcW w:w="1400" w:type="dxa"/>
            <w:vAlign w:val="bottom"/>
          </w:tcPr>
          <w:p>
            <w:pPr>
              <w:spacing w:after="0"/>
              <w:rPr>
                <w:sz w:val="24"/>
                <w:szCs w:val="24"/>
                <w:color w:val="auto"/>
              </w:rPr>
            </w:pPr>
          </w:p>
        </w:tc>
        <w:tc>
          <w:tcPr>
            <w:tcW w:w="4600" w:type="dxa"/>
            <w:vAlign w:val="bottom"/>
          </w:tcPr>
          <w:p>
            <w:pPr>
              <w:jc w:val="center"/>
              <w:ind w:left="448"/>
              <w:spacing w:after="0"/>
              <w:rPr>
                <w:sz w:val="20"/>
                <w:szCs w:val="20"/>
                <w:color w:val="auto"/>
              </w:rPr>
            </w:pPr>
            <w:r>
              <w:rPr>
                <w:rFonts w:ascii="Arial" w:cs="Arial" w:eastAsia="Arial" w:hAnsi="Arial"/>
                <w:sz w:val="29"/>
                <w:szCs w:val="29"/>
                <w:b w:val="1"/>
                <w:bCs w:val="1"/>
                <w:color w:val="auto"/>
                <w:w w:val="94"/>
              </w:rPr>
              <w:t>AMC Networks Inc.</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4600" w:type="dxa"/>
            <w:vAlign w:val="bottom"/>
          </w:tcPr>
          <w:p>
            <w:pPr>
              <w:jc w:val="center"/>
              <w:ind w:left="46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73"/>
        </w:trPr>
        <w:tc>
          <w:tcPr>
            <w:tcW w:w="1400" w:type="dxa"/>
            <w:vAlign w:val="bottom"/>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Pr>
          <w:p>
            <w:pPr>
              <w:spacing w:after="0"/>
              <w:rPr>
                <w:sz w:val="6"/>
                <w:szCs w:val="6"/>
                <w:color w:val="auto"/>
              </w:rPr>
            </w:pPr>
          </w:p>
        </w:tc>
      </w:tr>
      <w:tr>
        <w:trPr>
          <w:trHeight w:val="709"/>
        </w:trPr>
        <w:tc>
          <w:tcPr>
            <w:tcW w:w="6000" w:type="dxa"/>
            <w:vAlign w:val="bottom"/>
            <w:gridSpan w:val="2"/>
          </w:tcPr>
          <w:p>
            <w:pPr>
              <w:jc w:val="center"/>
              <w:ind w:right="3528"/>
              <w:spacing w:after="0"/>
              <w:rPr>
                <w:sz w:val="20"/>
                <w:szCs w:val="20"/>
                <w:color w:val="auto"/>
              </w:rPr>
            </w:pPr>
            <w:r>
              <w:rPr>
                <w:rFonts w:ascii="Arial" w:cs="Arial" w:eastAsia="Arial" w:hAnsi="Arial"/>
                <w:sz w:val="18"/>
                <w:szCs w:val="18"/>
                <w:b w:val="1"/>
                <w:bCs w:val="1"/>
                <w:color w:val="auto"/>
                <w:w w:val="91"/>
              </w:rPr>
              <w:t>Delaware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6000" w:type="dxa"/>
            <w:vAlign w:val="bottom"/>
            <w:gridSpan w:val="2"/>
          </w:tcPr>
          <w:p>
            <w:pPr>
              <w:jc w:val="center"/>
              <w:ind w:right="3528"/>
              <w:spacing w:after="0"/>
              <w:rPr>
                <w:sz w:val="20"/>
                <w:szCs w:val="20"/>
                <w:color w:val="auto"/>
              </w:rPr>
            </w:pPr>
            <w:r>
              <w:rPr>
                <w:rFonts w:ascii="Arial" w:cs="Arial" w:eastAsia="Arial" w:hAnsi="Arial"/>
                <w:sz w:val="14"/>
                <w:szCs w:val="14"/>
                <w:b w:val="1"/>
                <w:bCs w:val="1"/>
                <w:color w:val="auto"/>
                <w:w w:val="93"/>
              </w:rPr>
              <w:t>(State or other jurisdiction of</w:t>
            </w:r>
          </w:p>
        </w:tc>
        <w:tc>
          <w:tcPr>
            <w:tcW w:w="13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000" w:type="dxa"/>
            <w:vAlign w:val="bottom"/>
            <w:gridSpan w:val="2"/>
          </w:tcPr>
          <w:p>
            <w:pPr>
              <w:jc w:val="center"/>
              <w:ind w:right="3528"/>
              <w:spacing w:after="0"/>
              <w:rPr>
                <w:sz w:val="20"/>
                <w:szCs w:val="20"/>
                <w:color w:val="auto"/>
              </w:rPr>
            </w:pPr>
            <w:r>
              <w:rPr>
                <w:rFonts w:ascii="Arial" w:cs="Arial" w:eastAsia="Arial" w:hAnsi="Arial"/>
                <w:sz w:val="14"/>
                <w:szCs w:val="14"/>
                <w:b w:val="1"/>
                <w:bCs w:val="1"/>
                <w:color w:val="auto"/>
                <w:w w:val="94"/>
              </w:rPr>
              <w:t>incorporation or organization)</w:t>
            </w:r>
          </w:p>
        </w:tc>
        <w:tc>
          <w:tcPr>
            <w:tcW w:w="13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4"/>
              </w:rPr>
              <w:t>Identification No.)</w:t>
            </w:r>
          </w:p>
        </w:tc>
      </w:tr>
      <w:tr>
        <w:trPr>
          <w:trHeight w:val="309"/>
        </w:trPr>
        <w:tc>
          <w:tcPr>
            <w:tcW w:w="6000" w:type="dxa"/>
            <w:vAlign w:val="bottom"/>
            <w:gridSpan w:val="2"/>
          </w:tcPr>
          <w:p>
            <w:pPr>
              <w:jc w:val="center"/>
              <w:ind w:right="3528"/>
              <w:spacing w:after="0"/>
              <w:rPr>
                <w:sz w:val="20"/>
                <w:szCs w:val="20"/>
                <w:color w:val="auto"/>
              </w:rPr>
            </w:pPr>
            <w:r>
              <w:rPr>
                <w:rFonts w:ascii="Arial" w:cs="Arial" w:eastAsia="Arial" w:hAnsi="Arial"/>
                <w:sz w:val="18"/>
                <w:szCs w:val="18"/>
                <w:b w:val="1"/>
                <w:bCs w:val="1"/>
                <w:color w:val="auto"/>
                <w:w w:val="89"/>
              </w:rPr>
              <w:t>11 Penn Plaza,</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6000" w:type="dxa"/>
            <w:vAlign w:val="bottom"/>
            <w:gridSpan w:val="2"/>
          </w:tcPr>
          <w:p>
            <w:pPr>
              <w:ind w:left="380"/>
              <w:spacing w:after="0"/>
              <w:rPr>
                <w:sz w:val="20"/>
                <w:szCs w:val="20"/>
                <w:color w:val="auto"/>
              </w:rPr>
            </w:pPr>
            <w:r>
              <w:rPr>
                <w:rFonts w:ascii="Arial" w:cs="Arial" w:eastAsia="Arial" w:hAnsi="Arial"/>
                <w:sz w:val="18"/>
                <w:szCs w:val="18"/>
                <w:b w:val="1"/>
                <w:bCs w:val="1"/>
                <w:color w:val="auto"/>
              </w:rPr>
              <w:t>New York, NY</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10001</w:t>
            </w:r>
          </w:p>
        </w:tc>
      </w:tr>
      <w:tr>
        <w:trPr>
          <w:trHeight w:val="217"/>
        </w:trPr>
        <w:tc>
          <w:tcPr>
            <w:tcW w:w="6000" w:type="dxa"/>
            <w:vAlign w:val="bottom"/>
            <w:gridSpan w:val="2"/>
          </w:tcPr>
          <w:p>
            <w:pPr>
              <w:jc w:val="center"/>
              <w:ind w:right="35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8"/>
              </w:rPr>
              <w:t>(Zip Code)</w:t>
            </w:r>
          </w:p>
        </w:tc>
      </w:tr>
      <w:tr>
        <w:trPr>
          <w:trHeight w:val="329"/>
        </w:trPr>
        <w:tc>
          <w:tcPr>
            <w:tcW w:w="6000" w:type="dxa"/>
            <w:vAlign w:val="bottom"/>
            <w:gridSpan w:val="2"/>
          </w:tcPr>
          <w:p>
            <w:pPr>
              <w:jc w:val="center"/>
              <w:ind w:left="1878"/>
              <w:spacing w:after="0"/>
              <w:rPr>
                <w:sz w:val="20"/>
                <w:szCs w:val="20"/>
                <w:color w:val="auto"/>
              </w:rPr>
            </w:pPr>
            <w:r>
              <w:rPr>
                <w:rFonts w:ascii="Arial" w:cs="Arial" w:eastAsia="Arial" w:hAnsi="Arial"/>
                <w:sz w:val="18"/>
                <w:szCs w:val="18"/>
                <w:b w:val="1"/>
                <w:bCs w:val="1"/>
                <w:color w:val="auto"/>
                <w:w w:val="90"/>
              </w:rPr>
              <w:t>(212) 324-8500</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769" w:right="339" w:bottom="1440" w:gutter="0" w:footer="0" w:header="0"/>
        </w:sectPr>
      </w:pPr>
    </w:p>
    <w:p>
      <w:pPr>
        <w:spacing w:after="0" w:line="48"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3860" w:space="720"/>
            <w:col w:w="1860" w:space="720"/>
            <w:col w:w="4080"/>
          </w:cols>
          <w:pgMar w:left="320" w:top="769" w:right="3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AMCX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-1236345</wp:posOffset>
            </wp:positionH>
            <wp:positionV relativeFrom="paragraph">
              <wp:posOffset>274955</wp:posOffset>
            </wp:positionV>
            <wp:extent cx="3291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NASDAQ</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Stock Market LLC</w:t>
      </w:r>
    </w:p>
    <w:p>
      <w:pPr>
        <w:spacing w:after="0" w:line="211" w:lineRule="exact"/>
        <w:rPr>
          <w:sz w:val="24"/>
          <w:szCs w:val="24"/>
          <w:color w:val="auto"/>
        </w:rPr>
      </w:pPr>
    </w:p>
    <w:p>
      <w:pPr>
        <w:sectPr>
          <w:pgSz w:w="11900" w:h="16838" w:orient="portrait"/>
          <w:cols w:equalWidth="0" w:num="5">
            <w:col w:w="4260" w:space="720"/>
            <w:col w:w="1700" w:space="720"/>
            <w:col w:w="240" w:space="140"/>
            <w:col w:w="680" w:space="120"/>
            <w:col w:w="2660"/>
          </w:cols>
          <w:pgMar w:left="320" w:top="769" w:right="3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52"/>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8"/>
        </w:trPr>
        <w:tc>
          <w:tcPr>
            <w:tcW w:w="1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3"/>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July 24, 2020:</w:t>
            </w:r>
          </w:p>
        </w:tc>
        <w:tc>
          <w:tcPr>
            <w:tcW w:w="3800" w:type="dxa"/>
            <w:vAlign w:val="bottom"/>
          </w:tcPr>
          <w:p>
            <w:pPr>
              <w:spacing w:after="0"/>
              <w:rPr>
                <w:sz w:val="24"/>
                <w:szCs w:val="24"/>
                <w:color w:val="auto"/>
              </w:rPr>
            </w:pPr>
          </w:p>
        </w:tc>
      </w:tr>
      <w:tr>
        <w:trPr>
          <w:trHeight w:val="297"/>
        </w:trPr>
        <w:tc>
          <w:tcPr>
            <w:tcW w:w="7440" w:type="dxa"/>
            <w:vAlign w:val="bottom"/>
          </w:tcPr>
          <w:p>
            <w:pPr>
              <w:ind w:left="142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39"/>
              <w:spacing w:after="0"/>
              <w:rPr>
                <w:sz w:val="20"/>
                <w:szCs w:val="20"/>
                <w:color w:val="auto"/>
              </w:rPr>
            </w:pPr>
            <w:r>
              <w:rPr>
                <w:rFonts w:ascii="Arial" w:cs="Arial" w:eastAsia="Arial" w:hAnsi="Arial"/>
                <w:sz w:val="16"/>
                <w:szCs w:val="16"/>
                <w:color w:val="auto"/>
              </w:rPr>
              <w:t>40,557,330</w:t>
            </w:r>
          </w:p>
        </w:tc>
      </w:tr>
      <w:tr>
        <w:trPr>
          <w:trHeight w:val="25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7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80" w:type="dxa"/>
            <w:vAlign w:val="bottom"/>
            <w:gridSpan w:val="2"/>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8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(unaudited)</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ind w:left="5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7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ind w:left="5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w:t>
              </w:r>
            </w:hyperlink>
          </w:p>
        </w:tc>
        <w:tc>
          <w:tcPr>
            <w:tcW w:w="7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ind w:left="5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w:t>
              </w:r>
            </w:hyperlink>
          </w:p>
        </w:tc>
        <w:tc>
          <w:tcPr>
            <w:tcW w:w="7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ind w:left="5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Stockholders' Equity</w:t>
              </w:r>
            </w:hyperlink>
          </w:p>
        </w:tc>
        <w:tc>
          <w:tcPr>
            <w:tcW w:w="7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ind w:left="5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w:t>
              </w:r>
            </w:hyperlink>
          </w:p>
        </w:tc>
        <w:tc>
          <w:tcPr>
            <w:tcW w:w="7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ind w:left="5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7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ind w:left="2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 Management’s Discussion and Analysis of Financial Condition and Results of Operations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ind w:left="2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3. Quantitative and Qualitative Disclosures About Market Risk</w:t>
              </w:r>
            </w:hyperlink>
          </w:p>
        </w:tc>
        <w:tc>
          <w:tcPr>
            <w:tcW w:w="7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26"/>
        </w:trPr>
        <w:tc>
          <w:tcPr>
            <w:tcW w:w="760" w:type="dxa"/>
            <w:vAlign w:val="bottom"/>
          </w:tcPr>
          <w:p>
            <w:pPr>
              <w:ind w:left="220"/>
              <w:spacing w:after="0"/>
              <w:rPr>
                <w:rFonts w:ascii="Arial" w:cs="Arial" w:eastAsia="Arial" w:hAnsi="Arial"/>
                <w:sz w:val="18"/>
                <w:szCs w:val="18"/>
                <w:u w:val="single" w:color="auto"/>
                <w:color w:val="0000FF"/>
                <w:w w:val="94"/>
              </w:rPr>
            </w:pPr>
            <w:hyperlink w:anchor="page49">
              <w:r>
                <w:rPr>
                  <w:rFonts w:ascii="Arial" w:cs="Arial" w:eastAsia="Arial" w:hAnsi="Arial"/>
                  <w:sz w:val="18"/>
                  <w:szCs w:val="18"/>
                  <w:u w:val="single" w:color="auto"/>
                  <w:color w:val="0000FF"/>
                  <w:w w:val="94"/>
                </w:rPr>
                <w:t>Item 4.</w:t>
              </w:r>
            </w:hyperlink>
          </w:p>
        </w:tc>
        <w:tc>
          <w:tcPr>
            <w:tcW w:w="972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Controls and Procedures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c>
          <w:tcPr>
            <w:tcW w:w="0" w:type="dxa"/>
            <w:vAlign w:val="bottom"/>
          </w:tcPr>
          <w:p>
            <w:pPr>
              <w:spacing w:after="0"/>
              <w:rPr>
                <w:sz w:val="1"/>
                <w:szCs w:val="1"/>
                <w:color w:val="auto"/>
              </w:rPr>
            </w:pPr>
          </w:p>
        </w:tc>
      </w:tr>
      <w:tr>
        <w:trPr>
          <w:trHeight w:val="233"/>
        </w:trPr>
        <w:tc>
          <w:tcPr>
            <w:tcW w:w="10480" w:type="dxa"/>
            <w:vAlign w:val="bottom"/>
            <w:gridSpan w:val="2"/>
          </w:tcPr>
          <w:p>
            <w:pPr>
              <w:ind w:left="2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PART II. OTHER INFORMATION</w:t>
              </w:r>
            </w:hyperlink>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20"/>
              <w:spacing w:after="0"/>
              <w:rPr>
                <w:rFonts w:ascii="Arial" w:cs="Arial" w:eastAsia="Arial" w:hAnsi="Arial"/>
                <w:sz w:val="18"/>
                <w:szCs w:val="18"/>
                <w:u w:val="single" w:color="auto"/>
                <w:color w:val="0000FF"/>
                <w:w w:val="94"/>
              </w:rPr>
            </w:pPr>
            <w:hyperlink w:anchor="page50">
              <w:r>
                <w:rPr>
                  <w:rFonts w:ascii="Arial" w:cs="Arial" w:eastAsia="Arial" w:hAnsi="Arial"/>
                  <w:sz w:val="18"/>
                  <w:szCs w:val="18"/>
                  <w:u w:val="single" w:color="auto"/>
                  <w:color w:val="0000FF"/>
                  <w:w w:val="94"/>
                </w:rPr>
                <w:t>Item 1.</w:t>
              </w:r>
            </w:hyperlink>
          </w:p>
        </w:tc>
        <w:tc>
          <w:tcPr>
            <w:tcW w:w="97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Proceedings</w:t>
              </w:r>
            </w:hyperlink>
          </w:p>
        </w:tc>
        <w:tc>
          <w:tcPr>
            <w:tcW w:w="7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ind w:left="2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1A. Risk Factors</w:t>
              </w:r>
            </w:hyperlink>
          </w:p>
        </w:tc>
        <w:tc>
          <w:tcPr>
            <w:tcW w:w="7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r>
        <w:trPr>
          <w:trHeight w:val="229"/>
        </w:trPr>
        <w:tc>
          <w:tcPr>
            <w:tcW w:w="760" w:type="dxa"/>
            <w:vAlign w:val="bottom"/>
          </w:tcPr>
          <w:p>
            <w:pPr>
              <w:ind w:left="220"/>
              <w:spacing w:after="0"/>
              <w:rPr>
                <w:rFonts w:ascii="Arial" w:cs="Arial" w:eastAsia="Arial" w:hAnsi="Arial"/>
                <w:sz w:val="18"/>
                <w:szCs w:val="18"/>
                <w:u w:val="single" w:color="auto"/>
                <w:color w:val="0000FF"/>
                <w:w w:val="94"/>
              </w:rPr>
            </w:pPr>
            <w:hyperlink w:anchor="page50">
              <w:r>
                <w:rPr>
                  <w:rFonts w:ascii="Arial" w:cs="Arial" w:eastAsia="Arial" w:hAnsi="Arial"/>
                  <w:sz w:val="18"/>
                  <w:szCs w:val="18"/>
                  <w:u w:val="single" w:color="auto"/>
                  <w:color w:val="0000FF"/>
                  <w:w w:val="94"/>
                </w:rPr>
                <w:t>Item 2.</w:t>
              </w:r>
            </w:hyperlink>
          </w:p>
        </w:tc>
        <w:tc>
          <w:tcPr>
            <w:tcW w:w="97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Unregistered Sales of Equity Securities and Use of Proceeds</w:t>
              </w:r>
            </w:hyperlink>
          </w:p>
        </w:tc>
        <w:tc>
          <w:tcPr>
            <w:tcW w:w="7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c>
          <w:tcPr>
            <w:tcW w:w="0" w:type="dxa"/>
            <w:vAlign w:val="bottom"/>
          </w:tcPr>
          <w:p>
            <w:pPr>
              <w:spacing w:after="0"/>
              <w:rPr>
                <w:sz w:val="1"/>
                <w:szCs w:val="1"/>
                <w:color w:val="auto"/>
              </w:rPr>
            </w:pPr>
          </w:p>
        </w:tc>
      </w:tr>
      <w:tr>
        <w:trPr>
          <w:trHeight w:val="225"/>
        </w:trPr>
        <w:tc>
          <w:tcPr>
            <w:tcW w:w="760" w:type="dxa"/>
            <w:vAlign w:val="bottom"/>
          </w:tcPr>
          <w:p>
            <w:pPr>
              <w:ind w:left="220"/>
              <w:spacing w:after="0"/>
              <w:rPr>
                <w:rFonts w:ascii="Arial" w:cs="Arial" w:eastAsia="Arial" w:hAnsi="Arial"/>
                <w:sz w:val="18"/>
                <w:szCs w:val="18"/>
                <w:u w:val="single" w:color="auto"/>
                <w:color w:val="0000FF"/>
                <w:w w:val="94"/>
              </w:rPr>
            </w:pPr>
            <w:hyperlink w:anchor="page51">
              <w:r>
                <w:rPr>
                  <w:rFonts w:ascii="Arial" w:cs="Arial" w:eastAsia="Arial" w:hAnsi="Arial"/>
                  <w:sz w:val="18"/>
                  <w:szCs w:val="18"/>
                  <w:u w:val="single" w:color="auto"/>
                  <w:color w:val="0000FF"/>
                  <w:w w:val="94"/>
                </w:rPr>
                <w:t>Item 6.</w:t>
              </w:r>
            </w:hyperlink>
          </w:p>
        </w:tc>
        <w:tc>
          <w:tcPr>
            <w:tcW w:w="972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Exhibits</w:t>
              </w:r>
            </w:hyperlink>
          </w:p>
        </w:tc>
        <w:tc>
          <w:tcPr>
            <w:tcW w:w="7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tc>
        <w:tc>
          <w:tcPr>
            <w:tcW w:w="0" w:type="dxa"/>
            <w:vAlign w:val="bottom"/>
          </w:tcPr>
          <w:p>
            <w:pPr>
              <w:spacing w:after="0"/>
              <w:rPr>
                <w:sz w:val="1"/>
                <w:szCs w:val="1"/>
                <w:color w:val="auto"/>
              </w:rPr>
            </w:pPr>
          </w:p>
        </w:tc>
      </w:tr>
      <w:tr>
        <w:trPr>
          <w:trHeight w:val="234"/>
        </w:trPr>
        <w:tc>
          <w:tcPr>
            <w:tcW w:w="10480" w:type="dxa"/>
            <w:vAlign w:val="bottom"/>
            <w:gridSpan w:val="2"/>
          </w:tcPr>
          <w:p>
            <w:pPr>
              <w:ind w:left="20"/>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SIGNATURES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c>
          <w:tcPr>
            <w:tcW w:w="0" w:type="dxa"/>
            <w:vAlign w:val="bottom"/>
          </w:tcPr>
          <w:p>
            <w:pPr>
              <w:spacing w:after="0"/>
              <w:rPr>
                <w:sz w:val="1"/>
                <w:szCs w:val="1"/>
                <w:color w:val="auto"/>
              </w:rPr>
            </w:pPr>
          </w:p>
        </w:tc>
      </w:tr>
      <w:tr>
        <w:trPr>
          <w:trHeight w:val="1276"/>
        </w:trPr>
        <w:tc>
          <w:tcPr>
            <w:tcW w:w="76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3960"/>
        <w:spacing w:after="0"/>
        <w:rPr>
          <w:sz w:val="20"/>
          <w:szCs w:val="20"/>
          <w:color w:val="auto"/>
        </w:rPr>
      </w:pPr>
      <w:r>
        <w:rPr>
          <w:rFonts w:ascii="Arial" w:cs="Arial" w:eastAsia="Arial" w:hAnsi="Arial"/>
          <w:sz w:val="16"/>
          <w:szCs w:val="16"/>
          <w:b w:val="1"/>
          <w:bCs w:val="1"/>
          <w:color w:val="auto"/>
        </w:rPr>
        <w:t>AMC NETWORKS INC. AND SUBSIDIARIES</w:t>
      </w:r>
    </w:p>
    <w:p>
      <w:pPr>
        <w:ind w:left="370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ind w:right="-19"/>
        <w:spacing w:after="0" w:line="211"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7540" w:type="dxa"/>
            <w:vAlign w:val="bottom"/>
            <w:vMerge w:val="restart"/>
          </w:tcPr>
          <w:p>
            <w:pPr>
              <w:ind w:left="346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889,887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816,170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trade (less allowance for doubtful accounts of $9,440 and $5,733)</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796,834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857,143</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Current portion of program rights, net</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17,354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426,624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189,683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230,360</w:t>
            </w:r>
          </w:p>
        </w:tc>
        <w:tc>
          <w:tcPr>
            <w:tcW w:w="0" w:type="dxa"/>
            <w:vAlign w:val="bottom"/>
          </w:tcPr>
          <w:p>
            <w:pPr>
              <w:spacing w:after="0"/>
              <w:rPr>
                <w:sz w:val="1"/>
                <w:szCs w:val="1"/>
                <w:color w:val="auto"/>
              </w:rPr>
            </w:pPr>
          </w:p>
        </w:tc>
      </w:tr>
      <w:tr>
        <w:trPr>
          <w:trHeight w:val="217"/>
        </w:trPr>
        <w:tc>
          <w:tcPr>
            <w:tcW w:w="754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1,893,758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2,330,297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$235,687 and $347,302</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259,783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283,752</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1,370,500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1,038,060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425,233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524,531</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665,890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701,980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55,792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51,545</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154,676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170,056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480,324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496,465</w:t>
            </w:r>
          </w:p>
        </w:tc>
        <w:tc>
          <w:tcPr>
            <w:tcW w:w="0" w:type="dxa"/>
            <w:vAlign w:val="bottom"/>
          </w:tcPr>
          <w:p>
            <w:pPr>
              <w:spacing w:after="0"/>
              <w:rPr>
                <w:sz w:val="1"/>
                <w:szCs w:val="1"/>
                <w:color w:val="auto"/>
              </w:rPr>
            </w:pPr>
          </w:p>
        </w:tc>
      </w:tr>
      <w:tr>
        <w:trPr>
          <w:trHeight w:val="247"/>
        </w:trPr>
        <w:tc>
          <w:tcPr>
            <w:tcW w:w="754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5,305,956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5,596,686</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4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89,971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94,306</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245,281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251,214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program rights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286,143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304,692</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58,871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63,921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56,250</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Current portion of lease obligations</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33,179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33,959</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794,445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804,342</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222,631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239,813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2,807,890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3,039,979</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214,334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211,047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liability, net</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150,046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136,911</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133,933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163,638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4,323,279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4,595,730</w:t>
            </w: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307,532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309,451</w:t>
            </w: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5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1"/>
              </w:rPr>
              <w:t>Class A Common Stock, $0.01 par value, 360,000 shares authorized, 64,348 and 63,886 shares issued and 40,557</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44,078 shares outstanding, respectively</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54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260" w:type="dxa"/>
            <w:vAlign w:val="bottom"/>
          </w:tcPr>
          <w:p>
            <w:pPr>
              <w:spacing w:after="0"/>
              <w:rPr>
                <w:sz w:val="22"/>
                <w:szCs w:val="22"/>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60"/>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6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2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308,288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286,491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1,691,100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1,609,428</w:t>
            </w:r>
          </w:p>
        </w:tc>
        <w:tc>
          <w:tcPr>
            <w:tcW w:w="0" w:type="dxa"/>
            <w:vAlign w:val="bottom"/>
          </w:tcPr>
          <w:p>
            <w:pPr>
              <w:spacing w:after="0"/>
              <w:rPr>
                <w:sz w:val="1"/>
                <w:szCs w:val="1"/>
                <w:color w:val="auto"/>
              </w:rPr>
            </w:pPr>
          </w:p>
        </w:tc>
      </w:tr>
      <w:tr>
        <w:trPr>
          <w:trHeight w:val="254"/>
        </w:trPr>
        <w:tc>
          <w:tcPr>
            <w:tcW w:w="7540" w:type="dxa"/>
            <w:vAlign w:val="bottom"/>
          </w:tcPr>
          <w:p>
            <w:pPr>
              <w:ind w:left="20"/>
              <w:spacing w:after="0"/>
              <w:rPr>
                <w:sz w:val="20"/>
                <w:szCs w:val="20"/>
                <w:color w:val="auto"/>
              </w:rPr>
            </w:pPr>
            <w:r>
              <w:rPr>
                <w:rFonts w:ascii="Arial" w:cs="Arial" w:eastAsia="Arial" w:hAnsi="Arial"/>
                <w:sz w:val="16"/>
                <w:szCs w:val="16"/>
                <w:color w:val="auto"/>
              </w:rPr>
              <w:t>Treasury stock, at cost (23,790 and 19,808 shares Class A Common Stock, respectively)</w:t>
            </w:r>
          </w:p>
        </w:tc>
        <w:tc>
          <w:tcPr>
            <w:tcW w:w="26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(1,166,119)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(1,063,181)</w:t>
            </w:r>
          </w:p>
        </w:tc>
        <w:tc>
          <w:tcPr>
            <w:tcW w:w="0" w:type="dxa"/>
            <w:vAlign w:val="bottom"/>
          </w:tcPr>
          <w:p>
            <w:pPr>
              <w:spacing w:after="0"/>
              <w:rPr>
                <w:sz w:val="1"/>
                <w:szCs w:val="1"/>
                <w:color w:val="auto"/>
              </w:rPr>
            </w:pPr>
          </w:p>
        </w:tc>
      </w:tr>
      <w:tr>
        <w:trPr>
          <w:trHeight w:val="26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(182,111)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(167,711)</w:t>
            </w:r>
          </w:p>
        </w:tc>
        <w:tc>
          <w:tcPr>
            <w:tcW w:w="0" w:type="dxa"/>
            <w:vAlign w:val="bottom"/>
          </w:tcPr>
          <w:p>
            <w:pPr>
              <w:spacing w:after="0"/>
              <w:rPr>
                <w:sz w:val="1"/>
                <w:szCs w:val="1"/>
                <w:color w:val="auto"/>
              </w:rPr>
            </w:pPr>
          </w:p>
        </w:tc>
      </w:tr>
      <w:tr>
        <w:trPr>
          <w:trHeight w:val="217"/>
        </w:trPr>
        <w:tc>
          <w:tcPr>
            <w:tcW w:w="7540" w:type="dxa"/>
            <w:vAlign w:val="bottom"/>
          </w:tcPr>
          <w:p>
            <w:pPr>
              <w:ind w:left="640"/>
              <w:spacing w:after="0"/>
              <w:rPr>
                <w:sz w:val="20"/>
                <w:szCs w:val="20"/>
                <w:color w:val="auto"/>
              </w:rPr>
            </w:pPr>
            <w:r>
              <w:rPr>
                <w:rFonts w:ascii="Arial" w:cs="Arial" w:eastAsia="Arial" w:hAnsi="Arial"/>
                <w:sz w:val="16"/>
                <w:szCs w:val="16"/>
                <w:color w:val="auto"/>
              </w:rPr>
              <w:t>Total AMC Networks stockholders' equity</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651,916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665,781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25,724</w:t>
            </w:r>
          </w:p>
        </w:tc>
        <w:tc>
          <w:tcPr>
            <w:tcW w:w="0" w:type="dxa"/>
            <w:vAlign w:val="bottom"/>
          </w:tcPr>
          <w:p>
            <w:pPr>
              <w:spacing w:after="0"/>
              <w:rPr>
                <w:sz w:val="1"/>
                <w:szCs w:val="1"/>
                <w:color w:val="auto"/>
              </w:rPr>
            </w:pPr>
          </w:p>
        </w:tc>
      </w:tr>
      <w:tr>
        <w:trPr>
          <w:trHeight w:val="217"/>
        </w:trPr>
        <w:tc>
          <w:tcPr>
            <w:tcW w:w="7540" w:type="dxa"/>
            <w:vAlign w:val="bottom"/>
          </w:tcPr>
          <w:p>
            <w:pPr>
              <w:ind w:left="6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675,145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691,505</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5,305,956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5,596,686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688"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type w:val="continuous"/>
        </w:sectPr>
      </w:pPr>
    </w:p>
    <w:bookmarkStart w:id="3" w:name="page4"/>
    <w:bookmarkEnd w:id="3"/>
    <w:p>
      <w:pPr>
        <w:ind w:left="396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CONDENSED CONSOLIDATED STATEMENTS OF INCOME</w:t>
      </w:r>
    </w:p>
    <w:p>
      <w:pPr>
        <w:ind w:left="42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8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r>
      <w:tr>
        <w:trPr>
          <w:trHeight w:val="33"/>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646,291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772,299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1,380,666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1,556,520</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282,503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385,623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626,563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725,771</w:t>
            </w:r>
          </w:p>
        </w:tc>
      </w:tr>
      <w:tr>
        <w:trPr>
          <w:trHeight w:val="270"/>
        </w:trPr>
        <w:tc>
          <w:tcPr>
            <w:tcW w:w="56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155,163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173,364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339,812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345,876</w:t>
            </w: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49,949</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19,804</w:t>
            </w:r>
          </w:p>
        </w:tc>
      </w:tr>
      <w:tr>
        <w:trPr>
          <w:trHeight w:val="237"/>
        </w:trPr>
        <w:tc>
          <w:tcPr>
            <w:tcW w:w="566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597,489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602,042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1,158,894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1,141,400</w:t>
            </w: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48,802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170,257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221,772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415,120</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(79,361)</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8,945</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Miscellaneous, net</w:t>
            </w: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(15,482)</w:t>
            </w: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income</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(85,898)</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26,941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132,589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134,055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329,222</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(45,080)</w:t>
            </w:r>
          </w:p>
        </w:tc>
      </w:tr>
      <w:tr>
        <w:trPr>
          <w:trHeight w:val="236"/>
        </w:trPr>
        <w:tc>
          <w:tcPr>
            <w:tcW w:w="566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17,234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133,985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90,760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284,142</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(12,002)</w:t>
            </w:r>
          </w:p>
        </w:tc>
      </w:tr>
      <w:tr>
        <w:trPr>
          <w:trHeight w:val="263"/>
        </w:trPr>
        <w:tc>
          <w:tcPr>
            <w:tcW w:w="566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14,961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128,743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83,628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272,140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5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4.73</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5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52,311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56,589</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52,797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57,335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54,429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57,529</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8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33"/>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133,985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90,760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284,142</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(5,210)</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Unrealized gain (loss) on interest rate swaps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(2,263)</w:t>
            </w: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(7,473)</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523</w:t>
            </w: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(6,950)</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31,686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133,287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75,398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277,192</w:t>
            </w: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(11,831)</w:t>
            </w:r>
          </w:p>
        </w:tc>
      </w:tr>
      <w:tr>
        <w:trPr>
          <w:trHeight w:val="264"/>
        </w:trPr>
        <w:tc>
          <w:tcPr>
            <w:tcW w:w="566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29,214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128,254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69,228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265,361</w:t>
            </w: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3"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14"/>
                <w:szCs w:val="14"/>
                <w:color w:val="auto"/>
              </w:rPr>
            </w:pPr>
          </w:p>
        </w:tc>
        <w:tc>
          <w:tcPr>
            <w:tcW w:w="6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9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Networks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7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6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102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6"/>
                <w:szCs w:val="16"/>
                <w:color w:val="auto"/>
              </w:rPr>
            </w:pPr>
          </w:p>
        </w:tc>
        <w:tc>
          <w:tcPr>
            <w:tcW w:w="960" w:type="dxa"/>
            <w:vAlign w:val="bottom"/>
            <w:gridSpan w:val="3"/>
          </w:tcPr>
          <w:p>
            <w:pPr>
              <w:ind w:left="26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643</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3"/>
              </w:rPr>
              <w:t>$ 282,153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4"/>
              </w:rPr>
              <w:t>$ 1,676,139</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3"/>
              </w:rPr>
              <w:t>$ (1,149,138)</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(196,364)</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613,548</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23,848</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637,396</w:t>
            </w:r>
          </w:p>
        </w:tc>
        <w:tc>
          <w:tcPr>
            <w:tcW w:w="0" w:type="dxa"/>
            <w:vAlign w:val="bottom"/>
          </w:tcPr>
          <w:p>
            <w:pPr>
              <w:spacing w:after="0"/>
              <w:rPr>
                <w:sz w:val="1"/>
                <w:szCs w:val="1"/>
                <w:color w:val="auto"/>
              </w:rPr>
            </w:pPr>
          </w:p>
        </w:tc>
      </w:tr>
      <w:tr>
        <w:trPr>
          <w:trHeight w:val="143"/>
        </w:trPr>
        <w:tc>
          <w:tcPr>
            <w:tcW w:w="31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14,961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Net loss attributable to non-redeemable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96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10,988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10,988</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960" w:type="dxa"/>
            <w:vAlign w:val="bottom"/>
            <w:gridSpan w:val="3"/>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14,253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14,253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14,452</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15,235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15,235</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(16,981)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(16,981)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(16,981)</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3"/>
              </w:rPr>
              <w:t>$ 308,288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4"/>
              </w:rPr>
              <w:t>$ 1,691,100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3"/>
              </w:rPr>
              <w:t>$ (1,166,119)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(182,111)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651,916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23,229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675,145</w:t>
            </w:r>
          </w:p>
        </w:tc>
        <w:tc>
          <w:tcPr>
            <w:tcW w:w="0" w:type="dxa"/>
            <w:vAlign w:val="bottom"/>
          </w:tcPr>
          <w:p>
            <w:pPr>
              <w:spacing w:after="0"/>
              <w:rPr>
                <w:sz w:val="1"/>
                <w:szCs w:val="1"/>
                <w:color w:val="auto"/>
              </w:rPr>
            </w:pPr>
          </w:p>
        </w:tc>
      </w:tr>
      <w:tr>
        <w:trPr>
          <w:trHeight w:val="773"/>
        </w:trPr>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24"/>
                <w:szCs w:val="24"/>
                <w:color w:val="auto"/>
              </w:rPr>
            </w:pPr>
          </w:p>
        </w:tc>
        <w:tc>
          <w:tcPr>
            <w:tcW w:w="6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9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Networks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6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2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Interests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w w:val="96"/>
              </w:rPr>
              <w:t>$ 286,491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4"/>
                <w:szCs w:val="14"/>
                <w:color w:val="auto"/>
                <w:w w:val="97"/>
              </w:rPr>
              <w:t>$ 1,609,428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w w:val="96"/>
              </w:rPr>
              <w:t>$ (1,063,181)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(167,711)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665,781</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25,724</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691,505</w:t>
            </w:r>
          </w:p>
        </w:tc>
        <w:tc>
          <w:tcPr>
            <w:tcW w:w="0" w:type="dxa"/>
            <w:vAlign w:val="bottom"/>
          </w:tcPr>
          <w:p>
            <w:pPr>
              <w:spacing w:after="0"/>
              <w:rPr>
                <w:sz w:val="1"/>
                <w:szCs w:val="1"/>
                <w:color w:val="auto"/>
              </w:rPr>
            </w:pPr>
          </w:p>
        </w:tc>
      </w:tr>
      <w:tr>
        <w:trPr>
          <w:trHeight w:val="143"/>
        </w:trPr>
        <w:tc>
          <w:tcPr>
            <w:tcW w:w="31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83,628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83,628</w:t>
            </w:r>
          </w:p>
        </w:tc>
        <w:tc>
          <w:tcPr>
            <w:tcW w:w="0" w:type="dxa"/>
            <w:vAlign w:val="bottom"/>
          </w:tcPr>
          <w:p>
            <w:pPr>
              <w:spacing w:after="0"/>
              <w:rPr>
                <w:sz w:val="1"/>
                <w:szCs w:val="1"/>
                <w:color w:val="auto"/>
              </w:rPr>
            </w:pP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Net loss attributable to non-redeemable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96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ASU 2016-13, credit losses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96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(15,362)</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30,747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96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30,747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30,747</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(102,938)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(102,938)</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(8,950)</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(8,946)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(8,946)</w:t>
            </w:r>
          </w:p>
        </w:tc>
        <w:tc>
          <w:tcPr>
            <w:tcW w:w="0" w:type="dxa"/>
            <w:vAlign w:val="bottom"/>
          </w:tcPr>
          <w:p>
            <w:pPr>
              <w:spacing w:after="0"/>
              <w:rPr>
                <w:sz w:val="1"/>
                <w:szCs w:val="1"/>
                <w:color w:val="auto"/>
              </w:rPr>
            </w:pPr>
          </w:p>
        </w:tc>
      </w:tr>
      <w:tr>
        <w:trPr>
          <w:trHeight w:val="196"/>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$ 308,288</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$ 1,691,100</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3"/>
              </w:rPr>
              <w:t>$ (1,166,119)</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(182,111)</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651,916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23,229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675,145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Networks</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1040" w:type="dxa"/>
            <w:vAlign w:val="bottom"/>
            <w:gridSpan w:val="3"/>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0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634</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3"/>
              </w:rPr>
              <w:t>$ 242,322</w:t>
            </w:r>
          </w:p>
        </w:tc>
        <w:tc>
          <w:tcPr>
            <w:tcW w:w="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91"/>
              </w:rPr>
              <w:t>$ 1,372,339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(993,574)</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(166,446)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455,390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29,147</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484,537</w:t>
            </w:r>
          </w:p>
        </w:tc>
        <w:tc>
          <w:tcPr>
            <w:tcW w:w="0" w:type="dxa"/>
            <w:vAlign w:val="bottom"/>
          </w:tcPr>
          <w:p>
            <w:pPr>
              <w:spacing w:after="0"/>
              <w:rPr>
                <w:sz w:val="1"/>
                <w:szCs w:val="1"/>
                <w:color w:val="auto"/>
              </w:rPr>
            </w:pPr>
          </w:p>
        </w:tc>
      </w:tr>
      <w:tr>
        <w:trPr>
          <w:trHeight w:val="143"/>
        </w:trPr>
        <w:tc>
          <w:tcPr>
            <w:tcW w:w="31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128,743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128,743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128,743</w:t>
            </w:r>
          </w:p>
        </w:tc>
        <w:tc>
          <w:tcPr>
            <w:tcW w:w="0" w:type="dxa"/>
            <w:vAlign w:val="bottom"/>
          </w:tcPr>
          <w:p>
            <w:pPr>
              <w:spacing w:after="0"/>
              <w:rPr>
                <w:sz w:val="1"/>
                <w:szCs w:val="1"/>
                <w:color w:val="auto"/>
              </w:rPr>
            </w:pPr>
          </w:p>
        </w:tc>
      </w:tr>
      <w:tr>
        <w:trPr>
          <w:trHeight w:val="157"/>
        </w:trPr>
        <w:tc>
          <w:tcPr>
            <w:tcW w:w="318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color w:val="auto"/>
              </w:rPr>
              <w:t>Treasury stock not yet settled</w:t>
            </w:r>
          </w:p>
        </w:tc>
        <w:tc>
          <w:tcPr>
            <w:tcW w:w="1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16,725</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16,725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16,725</w:t>
            </w: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$ 258,150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1"/>
              </w:rPr>
              <w:t>$ 1,501,082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2"/>
              </w:rPr>
              <w:t>(1,051,022)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(167,144)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541,820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26,693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568,513</w:t>
            </w:r>
          </w:p>
        </w:tc>
        <w:tc>
          <w:tcPr>
            <w:tcW w:w="0" w:type="dxa"/>
            <w:vAlign w:val="bottom"/>
          </w:tcPr>
          <w:p>
            <w:pPr>
              <w:spacing w:after="0"/>
              <w:rPr>
                <w:sz w:val="1"/>
                <w:szCs w:val="1"/>
                <w:color w:val="auto"/>
              </w:rPr>
            </w:pPr>
          </w:p>
        </w:tc>
      </w:tr>
      <w:tr>
        <w:trPr>
          <w:trHeight w:val="773"/>
        </w:trPr>
        <w:tc>
          <w:tcPr>
            <w:tcW w:w="3180" w:type="dxa"/>
            <w:vAlign w:val="bottom"/>
          </w:tcPr>
          <w:p>
            <w:pPr>
              <w:spacing w:after="0"/>
              <w:rPr>
                <w:sz w:val="24"/>
                <w:szCs w:val="24"/>
                <w:color w:val="auto"/>
              </w:rPr>
            </w:pP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Networks</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1040" w:type="dxa"/>
            <w:vAlign w:val="bottom"/>
            <w:gridSpan w:val="3"/>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0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3"/>
              </w:rPr>
              <w:t>$ 239,767</w:t>
            </w:r>
          </w:p>
        </w:tc>
        <w:tc>
          <w:tcPr>
            <w:tcW w:w="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91"/>
              </w:rPr>
              <w:t>$ 1,228,942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(992,583)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(160,194)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316,680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28,528</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143"/>
        </w:trPr>
        <w:tc>
          <w:tcPr>
            <w:tcW w:w="31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272,140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272,140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272,140</w:t>
            </w:r>
          </w:p>
        </w:tc>
        <w:tc>
          <w:tcPr>
            <w:tcW w:w="0" w:type="dxa"/>
            <w:vAlign w:val="bottom"/>
          </w:tcPr>
          <w:p>
            <w:pPr>
              <w:spacing w:after="0"/>
              <w:rPr>
                <w:sz w:val="1"/>
                <w:szCs w:val="1"/>
                <w:color w:val="auto"/>
              </w:rPr>
            </w:pPr>
          </w:p>
        </w:tc>
      </w:tr>
      <w:tr>
        <w:trPr>
          <w:trHeight w:val="157"/>
        </w:trPr>
        <w:tc>
          <w:tcPr>
            <w:tcW w:w="318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color w:val="auto"/>
              </w:rPr>
              <w:t>Treasury stock not yet settled</w:t>
            </w:r>
          </w:p>
        </w:tc>
        <w:tc>
          <w:tcPr>
            <w:tcW w:w="1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(7,120)</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36,624</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36,624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36,624</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1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986</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(58,439)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(57,453)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(57,453)</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(23,025)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(23,019)</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3"/>
              </w:rPr>
              <w:t>$ 258,150</w:t>
            </w:r>
          </w:p>
        </w:tc>
        <w:tc>
          <w:tcPr>
            <w:tcW w:w="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91"/>
              </w:rPr>
              <w:t>$ 1,501,082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2"/>
              </w:rPr>
              <w:t>(1,051,022)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(167,144)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541,820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26,693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568,513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7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Net income including noncontrolling interests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90,760</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284,142</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52,635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49,949</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Impairment charges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130,411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30,747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36,624</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Non-cash restructuring and other related charges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14,026</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Amortization and write-off of program rights</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415,255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468,987</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Amortization of deferred carriage fees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7,761</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Unrealized foreign currency transaction loss (gain)</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13,941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(647)</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3,947</w:t>
            </w:r>
          </w:p>
        </w:tc>
      </w:tr>
      <w:tr>
        <w:trPr>
          <w:trHeight w:val="243"/>
        </w:trPr>
        <w:tc>
          <w:tcPr>
            <w:tcW w:w="7920" w:type="dxa"/>
            <w:vAlign w:val="bottom"/>
          </w:tcPr>
          <w:p>
            <w:pPr>
              <w:ind w:left="64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Bad debt expense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2,937</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(40,065)</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Write-down of non-marketable equity securities and note receivable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17,741</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(2,057)</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55,365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(9,011)</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45,953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(40,017)</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Program rights and obligations, net</w:t>
            </w: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(387,027)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(443,519)</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Income taxes payable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8,948</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1,107</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Deferred carriage fees, net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(13,597)</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Accounts payable, accrued liabilities and other liabilities</w:t>
            </w: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(45,412)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(58,319)</w:t>
            </w:r>
          </w:p>
        </w:tc>
      </w:tr>
      <w:tr>
        <w:trPr>
          <w:trHeight w:val="33"/>
        </w:trPr>
        <w:tc>
          <w:tcPr>
            <w:tcW w:w="7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424,912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288,937</w:t>
            </w:r>
          </w:p>
        </w:tc>
      </w:tr>
      <w:tr>
        <w:trPr>
          <w:trHeight w:val="203"/>
        </w:trPr>
        <w:tc>
          <w:tcPr>
            <w:tcW w:w="7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(49,463)</w:t>
            </w:r>
          </w:p>
        </w:tc>
      </w:tr>
      <w:tr>
        <w:trPr>
          <w:trHeight w:val="224"/>
        </w:trPr>
        <w:tc>
          <w:tcPr>
            <w:tcW w:w="7920" w:type="dxa"/>
            <w:vAlign w:val="bottom"/>
          </w:tcPr>
          <w:p>
            <w:pPr>
              <w:ind w:left="320"/>
              <w:spacing w:after="0"/>
              <w:rPr>
                <w:sz w:val="20"/>
                <w:szCs w:val="20"/>
                <w:color w:val="auto"/>
              </w:rPr>
            </w:pPr>
            <w:r>
              <w:rPr>
                <w:rFonts w:ascii="Arial" w:cs="Arial" w:eastAsia="Arial" w:hAnsi="Arial"/>
                <w:sz w:val="16"/>
                <w:szCs w:val="16"/>
                <w:color w:val="auto"/>
              </w:rPr>
              <w:t>Return of capital from investees</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5,908</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Acquisition of investment securities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920" w:type="dxa"/>
            <w:vAlign w:val="bottom"/>
          </w:tcPr>
          <w:p>
            <w:pPr>
              <w:ind w:left="320"/>
              <w:spacing w:after="0"/>
              <w:rPr>
                <w:sz w:val="20"/>
                <w:szCs w:val="20"/>
                <w:color w:val="auto"/>
              </w:rPr>
            </w:pPr>
            <w:r>
              <w:rPr>
                <w:rFonts w:ascii="Arial" w:cs="Arial" w:eastAsia="Arial" w:hAnsi="Arial"/>
                <w:sz w:val="16"/>
                <w:szCs w:val="16"/>
                <w:color w:val="auto"/>
              </w:rPr>
              <w:t>Principal payment received on loan to investee</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sale of investments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7920" w:type="dxa"/>
            <w:vAlign w:val="bottom"/>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(9,998)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(43,555)</w:t>
            </w:r>
          </w:p>
        </w:tc>
      </w:tr>
      <w:tr>
        <w:trPr>
          <w:trHeight w:val="33"/>
        </w:trPr>
        <w:tc>
          <w:tcPr>
            <w:tcW w:w="7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Proceeds from the issuance of long-term debt</w:t>
            </w:r>
          </w:p>
        </w:tc>
        <w:tc>
          <w:tcPr>
            <w:tcW w:w="3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Principal payments on long-term debt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(218,750)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(2,717)</w:t>
            </w: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Deemed repurchases of restricted stock units</w:t>
            </w: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(8,946)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(23,019)</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treasury stock</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(102,938)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(58,440)</w:t>
            </w: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Proceeds from stock option exercises</w:t>
            </w:r>
          </w:p>
        </w:tc>
        <w:tc>
          <w:tcPr>
            <w:tcW w:w="3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4,630</w:t>
            </w:r>
          </w:p>
        </w:tc>
      </w:tr>
      <w:tr>
        <w:trPr>
          <w:trHeight w:val="33"/>
        </w:trPr>
        <w:tc>
          <w:tcPr>
            <w:tcW w:w="7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Principal payments on finance lease obligations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w:t>
            </w: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(10,129)</w:t>
            </w:r>
          </w:p>
        </w:tc>
      </w:tr>
      <w:tr>
        <w:trPr>
          <w:trHeight w:val="33"/>
        </w:trPr>
        <w:tc>
          <w:tcPr>
            <w:tcW w:w="7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(92,265)</w:t>
            </w: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78,098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153,117</w:t>
            </w:r>
          </w:p>
        </w:tc>
      </w:tr>
      <w:tr>
        <w:trPr>
          <w:trHeight w:val="33"/>
        </w:trPr>
        <w:tc>
          <w:tcPr>
            <w:tcW w:w="7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w:t>
            </w: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816,170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554,886</w:t>
            </w:r>
          </w:p>
        </w:tc>
      </w:tr>
      <w:tr>
        <w:trPr>
          <w:trHeight w:val="33"/>
        </w:trPr>
        <w:tc>
          <w:tcPr>
            <w:tcW w:w="7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889,887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706,342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60" w:top="895" w:right="359" w:bottom="1068"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5" w:right="359" w:bottom="1068"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Our national programming networks are AMC, WE tv, BBC AMERICA, IFC and SundanceTV and also include our AMC Premiere service.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79"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AMC Networks SVOD, consisting of our targeted subscription streaming services (Acorn TV, Shudder, Sundance Now, UMC) and other subscription video on demand ("SVOD") initiatives; Levity, our production services and comedy venues business; and IFC Films, our independent film distribution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2019 contained in the Company's Annual Report on Form 10-K ("2019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2020.</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Risks and Uncertainties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the World Health Organization characterized the novel coronavirus ("COVID-19") a pandemic, and the President of the United States declared the COVID-19 outbreak a national emergency. The rapid spread of the pandemic and the continuously evolving responses to combat it have had an increasingly negative impact on the global economy.</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impact of COVID-19 and measures to prevent its spread are affecting our businesses in a number of ways. Beginning in mid-March, the Company experienced adverse advertising sales impacts, suspended content production, which has led to delays in the creation and availability of substantially all of its programming, and the temporary closure of its comedy venues. Operationally, nearly all Company employees are working remotely, and the Company has restricted business travel. If significant portions of our workforce, including key personnel, are unable to work effectively because of illness, government actions or other restrictions in connection with the COVID-19 pandemic, the impact of the pandemic on our businesses could be exacerbated.</w:t>
      </w:r>
    </w:p>
    <w:p>
      <w:pPr>
        <w:spacing w:after="0" w:line="84" w:lineRule="exact"/>
        <w:rPr>
          <w:sz w:val="20"/>
          <w:szCs w:val="20"/>
          <w:color w:val="auto"/>
        </w:rPr>
      </w:pPr>
    </w:p>
    <w:p>
      <w:pPr>
        <w:ind w:right="80" w:firstLine="445"/>
        <w:spacing w:after="0" w:line="279" w:lineRule="auto"/>
        <w:rPr>
          <w:sz w:val="20"/>
          <w:szCs w:val="20"/>
          <w:color w:val="auto"/>
        </w:rPr>
      </w:pPr>
      <w:r>
        <w:rPr>
          <w:rFonts w:ascii="Arial" w:cs="Arial" w:eastAsia="Arial" w:hAnsi="Arial"/>
          <w:sz w:val="16"/>
          <w:szCs w:val="16"/>
          <w:color w:val="auto"/>
        </w:rPr>
        <w:t>The Company has evaluated and continues to evaluate the potential impact of the COVID-19 pandemic on its consolidated financial statements, including the impairment of goodwill (see Note 7) and indefinite-lived intangible assets and the fair value and collectibility of receivables. The COVID-19 pandemic has had a material impact on the Company's operations since mid-March 2020.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continue to be, imposed in response to the pandemic, the effectiveness of actions taken to contain or mitigate the outbreak, the availability, safety and efficacy of a vaccine, and global economic conditions. The Company does not expect the COVID-19 pandemic and its related economic impact to affect its liquidity position or its ongoing ability to meet the covenants in its debt instruments.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Effective January 1, 2020, the Company adopted Financial Accounting Standard Board (“FASB”) Accounting Standards Update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which changed the impairment model for most financial assets and certain other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trade and other receivables, held-to-maturity debt securities and loans, and requires entities to use a new forward-looking "expected loss" model that would generally result in the earlier recognition of allowances for losses. The Company adopted the standard using the modified retrospective approach and recorded a decrease to opening retained earnings of $2.0 million, after taxes, for the cumulative-effect of the adoption.</w:t>
      </w:r>
    </w:p>
    <w:p>
      <w:pPr>
        <w:spacing w:after="0" w:line="5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 xml:space="preserve">Effective January 1, 2020, the Company adopted FASB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The standard changed the disclosure requirements related to transfers between Level I and II assets, as well as several aspects surrounding the valuation process and unrealized gains and losses related to Level III assets. The adoption of the standard did not have any effect on the Company's consolidated financial statements.</w:t>
      </w:r>
    </w:p>
    <w:p>
      <w:pPr>
        <w:spacing w:after="0" w:line="41"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 xml:space="preserve">Effective January 1, 2020, the Company adopted FASB ASU No.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Computing Arrangement that is a Service Contract</w:t>
      </w:r>
      <w:r>
        <w:rPr>
          <w:rFonts w:ascii="Arial" w:cs="Arial" w:eastAsia="Arial" w:hAnsi="Arial"/>
          <w:sz w:val="18"/>
          <w:szCs w:val="18"/>
          <w:color w:val="auto"/>
        </w:rPr>
        <w:t>. The standard amended prior guidance to align the accounting for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costs associated with developing or obtaining internal-use software. Capitalized implementation costs must be expensed over the term of the hosting arrangement and presented in the same line item in the income statement as the fees associated with the hosting element (service) of the arrangement. The adoption of the standard did not have a material effect on the Company's consolidated financial statements.</w:t>
      </w:r>
    </w:p>
    <w:p>
      <w:pPr>
        <w:spacing w:after="0" w:line="5"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Program Materials. </w:t>
      </w:r>
      <w:r>
        <w:rPr>
          <w:rFonts w:ascii="Arial" w:cs="Arial" w:eastAsia="Arial" w:hAnsi="Arial"/>
          <w:sz w:val="18"/>
          <w:szCs w:val="18"/>
          <w:color w:val="auto"/>
        </w:rPr>
        <w:t>The standard aligns the accounting for production costs of episodic television series with the accounting for production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films. In addition, the standard modifies certain aspects of the capitalization, impairment, presentation and disclosure requirements in Accounting Standards Codification (“ASC”) 926-20 and the impairment, presentation and disclosure requirements in ASC 920-350. The Company adopted the standard on a prospective basis. See Note 5 for further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to the general principles in Topic 740 - Income Taxes. These changes are effective for the first quarter of 2021, with early adoption permitted. The Company is currently evaluating the impact the adoption will have on its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2020, other than contracts for which the Company has applied the practical expedients, the aggregate amount of transaction price allocated to future performance obligations was not material to our consolidated revenues.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31, 2019</w:t>
            </w: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included in Other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1,056,628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1,121,834</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7,283</w:t>
            </w:r>
          </w:p>
        </w:tc>
      </w:tr>
      <w:tr>
        <w:trPr>
          <w:trHeight w:val="243"/>
        </w:trPr>
        <w:tc>
          <w:tcPr>
            <w:tcW w:w="714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3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9,964</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58,871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63,921</w:t>
            </w:r>
          </w:p>
        </w:tc>
      </w:tr>
      <w:tr>
        <w:trPr>
          <w:trHeight w:val="27"/>
        </w:trPr>
        <w:tc>
          <w:tcPr>
            <w:tcW w:w="7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recognized for the six months ended June 30, 2020 relating to the contract liability at December 31, 2019 was $28.5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840" w:type="dxa"/>
            <w:vAlign w:val="bottom"/>
            <w:gridSpan w:val="4"/>
          </w:tcPr>
          <w:p>
            <w:pPr>
              <w:ind w:left="320"/>
              <w:spacing w:after="0"/>
              <w:rPr>
                <w:sz w:val="20"/>
                <w:szCs w:val="20"/>
                <w:color w:val="auto"/>
              </w:rPr>
            </w:pPr>
            <w:r>
              <w:rPr>
                <w:rFonts w:ascii="Arial" w:cs="Arial" w:eastAsia="Arial" w:hAnsi="Arial"/>
                <w:sz w:val="16"/>
                <w:szCs w:val="16"/>
                <w:b w:val="1"/>
                <w:bCs w:val="1"/>
                <w:color w:val="auto"/>
              </w:rPr>
              <w:t>Three Months Ended June 30,</w:t>
            </w:r>
          </w:p>
        </w:tc>
        <w:tc>
          <w:tcPr>
            <w:tcW w:w="272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4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52,311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56,590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53,894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56,589</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916</w:t>
            </w:r>
          </w:p>
        </w:tc>
      </w:tr>
      <w:tr>
        <w:trPr>
          <w:trHeight w:val="27"/>
        </w:trPr>
        <w:tc>
          <w:tcPr>
            <w:tcW w:w="54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52,797</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57,335</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54,429</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57,529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Approximately 1.2 million and 1.5 million restricted stock units outstanding as of June 30, 2020 and June 30, 2019, respectively, have been excluded from diluted weighted average common shares outstanding since a performance condition for these awards was not met in each of the respective periods. As of June 30, 2020 and June 30, 2019, 0.7 million and 0.3 million, respectively, of restricted stock units and stock options have been excluded from diluted weighted average common shares outstanding, as their impact would have been anti-dilutive.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six months ended June 30, 2020, the Company repurchased 4.0 million shares of its Class A Common Stock at an average purchase price of approximately $25.85 per share. As of June 30, 2020, the Company has $385.9 million of authorization remaining for repurchase under the Stock Repurchase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Related Charges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$3.5 million and $9.5 million for the three and six months ended June 30, 2020, respectively, related to restructuring costs associated with termination of distribution in certain territories as well as severance and other personnel related costs associated with previously announced restructuring activities.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$17.2 million and $19.8 million for the three and six months ended June 30, 2019, respectively, primarily related to the direct to consumer re-organization as well as severance and other personnel related costs incurred at AMCNI associated with the termination of distribution in certain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20" w:type="dxa"/>
            <w:vAlign w:val="bottom"/>
            <w:gridSpan w:val="3"/>
          </w:tcPr>
          <w:p>
            <w:pPr>
              <w:jc w:val="right"/>
              <w:ind w:right="193"/>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jc w:val="right"/>
              <w:ind w:right="107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2020</w:t>
            </w: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0" w:type="dxa"/>
            <w:vAlign w:val="bottom"/>
            <w:tcBorders>
              <w:bottom w:val="single" w:sz="8" w:color="CCEEFF"/>
            </w:tcBorders>
            <w:gridSpan w:val="3"/>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6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International &amp; Other</w:t>
            </w:r>
          </w:p>
        </w:tc>
        <w:tc>
          <w:tcPr>
            <w:tcW w:w="48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16,888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8"/>
                <w:szCs w:val="18"/>
                <w:color w:val="auto"/>
                <w:w w:val="95"/>
              </w:rPr>
              <w:t>Total restructuring and other related</w:t>
            </w: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8"/>
                <w:szCs w:val="18"/>
                <w:color w:val="auto"/>
              </w:rPr>
            </w:pPr>
          </w:p>
        </w:tc>
        <w:tc>
          <w:tcPr>
            <w:tcW w:w="1260" w:type="dxa"/>
            <w:vAlign w:val="bottom"/>
            <w:tcBorders>
              <w:top w:val="single" w:sz="8" w:color="auto"/>
            </w:tcBorders>
            <w:vMerge w:val="restart"/>
          </w:tcPr>
          <w:p>
            <w:pPr>
              <w:jc w:val="right"/>
              <w:ind w:right="10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17,162</w:t>
            </w:r>
          </w:p>
        </w:tc>
        <w:tc>
          <w:tcPr>
            <w:tcW w:w="80" w:type="dxa"/>
            <w:vAlign w:val="bottom"/>
            <w:tcBorders>
              <w:top w:val="single" w:sz="8" w:color="auto"/>
            </w:tcBorders>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840" w:type="dxa"/>
            <w:vAlign w:val="bottom"/>
            <w:tcBorders>
              <w:top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9,473</w:t>
            </w:r>
          </w:p>
        </w:tc>
        <w:tc>
          <w:tcPr>
            <w:tcW w:w="140" w:type="dxa"/>
            <w:vAlign w:val="bottom"/>
            <w:tcBorders>
              <w:top w:val="single" w:sz="8" w:color="auto"/>
            </w:tcBorders>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charges</w:t>
            </w:r>
          </w:p>
        </w:tc>
        <w:tc>
          <w:tcPr>
            <w:tcW w:w="48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6180" w:type="dxa"/>
            <w:vAlign w:val="bottom"/>
            <w:gridSpan w:val="5"/>
          </w:tcPr>
          <w:p>
            <w:pPr>
              <w:ind w:left="460"/>
              <w:spacing w:after="0"/>
              <w:rPr>
                <w:sz w:val="20"/>
                <w:szCs w:val="20"/>
                <w:color w:val="auto"/>
              </w:rPr>
            </w:pPr>
            <w:r>
              <w:rPr>
                <w:rFonts w:ascii="Arial" w:cs="Arial" w:eastAsia="Arial" w:hAnsi="Arial"/>
                <w:sz w:val="18"/>
                <w:szCs w:val="18"/>
                <w:color w:val="auto"/>
              </w:rPr>
              <w:t>The following table summarizes the accrued restructuring costs: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Severance and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employee-related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6"/>
                <w:szCs w:val="16"/>
                <w:b w:val="1"/>
                <w:bCs w:val="1"/>
                <w:color w:val="auto"/>
                <w:w w:val="81"/>
              </w:rPr>
              <w:t>costs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w w:val="89"/>
              </w:rPr>
              <w:t>Other exit costs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27,407</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27,628</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Charges</w:t>
            </w: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gridSpan w:val="3"/>
          </w:tcPr>
          <w:p>
            <w:pPr>
              <w:jc w:val="right"/>
              <w:ind w:right="70"/>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(22,372)</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gridSpan w:val="3"/>
          </w:tcPr>
          <w:p>
            <w:pPr>
              <w:jc w:val="right"/>
              <w:ind w:right="30"/>
              <w:spacing w:after="0"/>
              <w:rPr>
                <w:sz w:val="20"/>
                <w:szCs w:val="20"/>
                <w:color w:val="auto"/>
              </w:rPr>
            </w:pPr>
            <w:r>
              <w:rPr>
                <w:rFonts w:ascii="Arial" w:cs="Arial" w:eastAsia="Arial" w:hAnsi="Arial"/>
                <w:sz w:val="18"/>
                <w:szCs w:val="18"/>
                <w:color w:val="auto"/>
                <w:w w:val="91"/>
              </w:rPr>
              <w:t>(4,316)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8,574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760" w:firstLine="445"/>
        <w:spacing w:after="0" w:line="375" w:lineRule="auto"/>
        <w:rPr>
          <w:sz w:val="20"/>
          <w:szCs w:val="20"/>
          <w:color w:val="auto"/>
        </w:rPr>
      </w:pPr>
      <w:r>
        <w:rPr>
          <w:rFonts w:ascii="Arial" w:cs="Arial" w:eastAsia="Arial" w:hAnsi="Arial"/>
          <w:sz w:val="18"/>
          <w:szCs w:val="18"/>
          <w:color w:val="auto"/>
        </w:rPr>
        <w:t xml:space="preserve">Accrued restructuring costs of $8.6 million are included in accrued liabilities in the condensed consolidated balance sheet at June 30, 2020. </w:t>
      </w:r>
      <w:r>
        <w:rPr>
          <w:rFonts w:ascii="Arial" w:cs="Arial" w:eastAsia="Arial" w:hAnsi="Arial"/>
          <w:sz w:val="18"/>
          <w:szCs w:val="18"/>
          <w:b w:val="1"/>
          <w:bCs w:val="1"/>
          <w:color w:val="auto"/>
        </w:rPr>
        <w:t>Note 5. Program Rights</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Program Materials</w:t>
      </w:r>
      <w:r>
        <w:rPr>
          <w:rFonts w:ascii="Arial" w:cs="Arial" w:eastAsia="Arial" w:hAnsi="Arial"/>
          <w:sz w:val="18"/>
          <w:szCs w:val="18"/>
          <w:color w:val="auto"/>
        </w:rPr>
        <w:t>. The new guidance impacts the Company as follows:</w:t>
      </w:r>
    </w:p>
    <w:p>
      <w:pPr>
        <w:spacing w:after="0" w:line="62"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Allows for the classification of acquired/licensed program rights as long-term assets. Previously, the Company reported a portion of these rights in current assets. Advances for live programming rights made prior to the live event and acquired/licensed program rights with license terms of less than one year continue to be reported in current assets.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Aligns the capitalization of production costs for episodic television programs with the capitalization of production costs for theatrical content. Previously, theatrical content production costs could be fully capitalized while episodic television production costs were generally limited to the amount of contracted revenues.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Introduces the concept of “predominant monetization strategy” to classify capitalized program rights for purposes of amortization and impairment as follows:</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Individual program rights - programming value is predominantly derived from third-party revenues that are directly attributable to the specific film or television title (e.g., theatrical revenues, significant in-show advertising on the Company’s programming networks or specific content licensing revenues).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Group program rights - programming value is predominantly derived from third-party revenues that are not directly attributable to a specific film or television title (e.g., library of program rights for purpose of the Company’s programming networks or subscription revenue for direct-to-consumer SVOD targeted streaming services).</w:t>
      </w:r>
    </w:p>
    <w:p>
      <w:pPr>
        <w:spacing w:after="0" w:line="76"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determination of the predominant monetization strategy is made at commencement of production and is based on the means by which we derive third-party revenues from use of the programming. The classification of program rights as individual or group only changes if there is a significant change to the title’s monetization strategy relative to its initial assessment.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 June 30, 2020</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9"/>
                <w:szCs w:val="19"/>
                <w:color w:val="auto"/>
              </w:rPr>
            </w:pPr>
          </w:p>
        </w:tc>
        <w:tc>
          <w:tcPr>
            <w:tcW w:w="1760" w:type="dxa"/>
            <w:vAlign w:val="bottom"/>
            <w:gridSpan w:val="2"/>
          </w:tcPr>
          <w:p>
            <w:pPr>
              <w:ind w:left="260"/>
              <w:spacing w:after="0"/>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Total</w:t>
            </w:r>
          </w:p>
        </w:tc>
      </w:tr>
      <w:tr>
        <w:trPr>
          <w:trHeight w:val="250"/>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ind w:left="32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324,669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39,631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364,300</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12,254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144,415</w:t>
            </w:r>
          </w:p>
        </w:tc>
      </w:tr>
      <w:tr>
        <w:trPr>
          <w:trHeight w:val="237"/>
        </w:trPr>
        <w:tc>
          <w:tcPr>
            <w:tcW w:w="20" w:type="dxa"/>
            <w:vAlign w:val="bottom"/>
          </w:tcPr>
          <w:p>
            <w:pPr>
              <w:spacing w:after="0"/>
              <w:rPr>
                <w:sz w:val="20"/>
                <w:szCs w:val="20"/>
                <w:color w:val="auto"/>
              </w:rPr>
            </w:pPr>
          </w:p>
        </w:tc>
        <w:tc>
          <w:tcPr>
            <w:tcW w:w="5500" w:type="dxa"/>
            <w:vAlign w:val="bottom"/>
            <w:gridSpan w:val="3"/>
          </w:tcPr>
          <w:p>
            <w:pPr>
              <w:ind w:left="64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456,830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51,885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508,715</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5500" w:type="dxa"/>
            <w:vAlign w:val="bottom"/>
            <w:gridSpan w:val="3"/>
          </w:tcPr>
          <w:p>
            <w:pPr>
              <w:spacing w:after="0" w:line="202"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595,252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607,069</w:t>
            </w:r>
          </w:p>
        </w:tc>
      </w:tr>
      <w:tr>
        <w:trPr>
          <w:trHeight w:val="243"/>
        </w:trPr>
        <w:tc>
          <w:tcPr>
            <w:tcW w:w="20" w:type="dxa"/>
            <w:vAlign w:val="bottom"/>
          </w:tcPr>
          <w:p>
            <w:pPr>
              <w:spacing w:after="0"/>
              <w:rPr>
                <w:sz w:val="21"/>
                <w:szCs w:val="21"/>
                <w:color w:val="auto"/>
              </w:rPr>
            </w:pPr>
          </w:p>
        </w:tc>
        <w:tc>
          <w:tcPr>
            <w:tcW w:w="5500" w:type="dxa"/>
            <w:vAlign w:val="bottom"/>
            <w:gridSpan w:val="3"/>
          </w:tcPr>
          <w:p>
            <w:pPr>
              <w:ind w:left="32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229,345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229,345</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42,725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42,725</w:t>
            </w:r>
          </w:p>
        </w:tc>
      </w:tr>
      <w:tr>
        <w:trPr>
          <w:trHeight w:val="237"/>
        </w:trPr>
        <w:tc>
          <w:tcPr>
            <w:tcW w:w="20" w:type="dxa"/>
            <w:vAlign w:val="bottom"/>
          </w:tcPr>
          <w:p>
            <w:pPr>
              <w:spacing w:after="0"/>
              <w:rPr>
                <w:sz w:val="20"/>
                <w:szCs w:val="20"/>
                <w:color w:val="auto"/>
              </w:rPr>
            </w:pPr>
          </w:p>
        </w:tc>
        <w:tc>
          <w:tcPr>
            <w:tcW w:w="5500" w:type="dxa"/>
            <w:vAlign w:val="bottom"/>
            <w:gridSpan w:val="3"/>
          </w:tcPr>
          <w:p>
            <w:pPr>
              <w:ind w:left="64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241,162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637,977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879,139</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697,992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689,862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1,387,854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17,354</w:t>
            </w: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1,370,500</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1,387,854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including write-offs, of owned and licensed program rights is as follows: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5"/>
          </w:tcPr>
          <w:p>
            <w:pPr>
              <w:ind w:left="1120"/>
              <w:spacing w:after="0"/>
              <w:rPr>
                <w:sz w:val="20"/>
                <w:szCs w:val="20"/>
                <w:color w:val="auto"/>
              </w:rPr>
            </w:pPr>
            <w:r>
              <w:rPr>
                <w:rFonts w:ascii="Arial" w:cs="Arial" w:eastAsia="Arial" w:hAnsi="Arial"/>
                <w:sz w:val="16"/>
                <w:szCs w:val="16"/>
                <w:b w:val="1"/>
                <w:bCs w:val="1"/>
                <w:color w:val="auto"/>
                <w:w w:val="95"/>
              </w:rPr>
              <w:t>Three Months Ended June 30,</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122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1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3"/>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color w:val="auto"/>
              </w:rPr>
              <w:t>Predominantly</w:t>
            </w:r>
          </w:p>
        </w:tc>
        <w:tc>
          <w:tcPr>
            <w:tcW w:w="22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Predominantly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color w:val="auto"/>
              </w:rPr>
              <w:t>Predominantly</w:t>
            </w:r>
          </w:p>
        </w:tc>
        <w:tc>
          <w:tcPr>
            <w:tcW w:w="22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Predominantly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3"/>
        </w:trPr>
        <w:tc>
          <w:tcPr>
            <w:tcW w:w="1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3"/>
          </w:tcPr>
          <w:p>
            <w:pPr>
              <w:ind w:left="40"/>
              <w:spacing w:after="0"/>
              <w:rPr>
                <w:sz w:val="20"/>
                <w:szCs w:val="20"/>
                <w:color w:val="auto"/>
              </w:rPr>
            </w:pPr>
            <w:r>
              <w:rPr>
                <w:rFonts w:ascii="Arial" w:cs="Arial" w:eastAsia="Arial" w:hAnsi="Arial"/>
                <w:sz w:val="16"/>
                <w:szCs w:val="16"/>
                <w:color w:val="auto"/>
              </w:rPr>
              <w:t>Monetized Individually</w:t>
            </w:r>
          </w:p>
        </w:tc>
        <w:tc>
          <w:tcPr>
            <w:tcW w:w="17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Monetized as a Group</w:t>
            </w:r>
          </w:p>
        </w:tc>
        <w:tc>
          <w:tcPr>
            <w:tcW w:w="26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Monetized Individually</w:t>
            </w:r>
          </w:p>
        </w:tc>
        <w:tc>
          <w:tcPr>
            <w:tcW w:w="17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Monetized as a Group</w:t>
            </w:r>
          </w:p>
        </w:tc>
        <w:tc>
          <w:tcPr>
            <w:tcW w:w="26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color w:val="auto"/>
              </w:rPr>
              <w:t>Total</w:t>
            </w:r>
          </w:p>
        </w:tc>
      </w:tr>
      <w:tr>
        <w:trPr>
          <w:trHeight w:val="256"/>
        </w:trPr>
        <w:tc>
          <w:tcPr>
            <w:tcW w:w="15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r>
      <w:tr>
        <w:trPr>
          <w:trHeight w:val="220"/>
        </w:trPr>
        <w:tc>
          <w:tcPr>
            <w:tcW w:w="1560" w:type="dxa"/>
            <w:vAlign w:val="bottom"/>
          </w:tcPr>
          <w:p>
            <w:pPr>
              <w:ind w:left="20"/>
              <w:spacing w:after="0"/>
              <w:rPr>
                <w:sz w:val="20"/>
                <w:szCs w:val="20"/>
                <w:color w:val="auto"/>
              </w:rPr>
            </w:pPr>
            <w:r>
              <w:rPr>
                <w:rFonts w:ascii="Arial" w:cs="Arial" w:eastAsia="Arial" w:hAnsi="Arial"/>
                <w:sz w:val="16"/>
                <w:szCs w:val="16"/>
                <w:color w:val="auto"/>
              </w:rPr>
              <w:t>Owned original</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62,229</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9,458</w:t>
            </w:r>
          </w:p>
        </w:tc>
        <w:tc>
          <w:tcPr>
            <w:tcW w:w="1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71,687</w:t>
            </w:r>
          </w:p>
        </w:tc>
        <w:tc>
          <w:tcPr>
            <w:tcW w:w="2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161,271</w:t>
            </w:r>
          </w:p>
        </w:tc>
        <w:tc>
          <w:tcPr>
            <w:tcW w:w="1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15,977</w:t>
            </w:r>
          </w:p>
        </w:tc>
        <w:tc>
          <w:tcPr>
            <w:tcW w:w="1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177,248</w:t>
            </w:r>
          </w:p>
        </w:tc>
      </w:tr>
      <w:tr>
        <w:trPr>
          <w:trHeight w:val="206"/>
        </w:trPr>
        <w:tc>
          <w:tcPr>
            <w:tcW w:w="1560" w:type="dxa"/>
            <w:vAlign w:val="bottom"/>
          </w:tcPr>
          <w:p>
            <w:pPr>
              <w:ind w:left="20"/>
              <w:spacing w:after="0"/>
              <w:rPr>
                <w:sz w:val="20"/>
                <w:szCs w:val="20"/>
                <w:color w:val="auto"/>
              </w:rPr>
            </w:pPr>
            <w:r>
              <w:rPr>
                <w:rFonts w:ascii="Arial" w:cs="Arial" w:eastAsia="Arial" w:hAnsi="Arial"/>
                <w:sz w:val="16"/>
                <w:szCs w:val="16"/>
                <w:color w:val="auto"/>
              </w:rPr>
              <w:t>program rights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program</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99,678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119,588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41,262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196,745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238,007</w:t>
            </w:r>
          </w:p>
        </w:tc>
      </w:tr>
      <w:tr>
        <w:trPr>
          <w:trHeight w:val="239"/>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00"/>
        </w:trPr>
        <w:tc>
          <w:tcPr>
            <w:tcW w:w="1560" w:type="dxa"/>
            <w:vAlign w:val="bottom"/>
          </w:tcPr>
          <w:p>
            <w:pPr>
              <w:ind w:left="20"/>
              <w:spacing w:after="0"/>
              <w:rPr>
                <w:sz w:val="20"/>
                <w:szCs w:val="20"/>
                <w:color w:val="auto"/>
              </w:rPr>
            </w:pPr>
            <w:r>
              <w:rPr>
                <w:rFonts w:ascii="Arial" w:cs="Arial" w:eastAsia="Arial" w:hAnsi="Arial"/>
                <w:sz w:val="16"/>
                <w:szCs w:val="16"/>
                <w:color w:val="auto"/>
              </w:rPr>
              <w:t>Program rights</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82,139</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109,136</w:t>
            </w:r>
          </w:p>
        </w:tc>
        <w:tc>
          <w:tcPr>
            <w:tcW w:w="18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191,275</w:t>
            </w:r>
          </w:p>
        </w:tc>
        <w:tc>
          <w:tcPr>
            <w:tcW w:w="20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202,533</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212,722</w:t>
            </w:r>
          </w:p>
        </w:tc>
        <w:tc>
          <w:tcPr>
            <w:tcW w:w="18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415,255</w:t>
            </w:r>
          </w:p>
        </w:tc>
      </w:tr>
      <w:tr>
        <w:trPr>
          <w:trHeight w:val="209"/>
        </w:trPr>
        <w:tc>
          <w:tcPr>
            <w:tcW w:w="156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4"/>
        </w:trPr>
        <w:tc>
          <w:tcPr>
            <w:tcW w:w="1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Rights to programming, including feature films and episodic series, acquired under license agreements are stated at the lower of unamortized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 on a straight-line or accelerated basis, based on the expected exploitation strategy of the rights, over a period not to exceed the respective license periods.</w:t>
      </w:r>
    </w:p>
    <w:p>
      <w:pPr>
        <w:spacing w:after="0" w:line="6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(individual-film-forecast-computation method). Projected attributable revenue is based on previously generated revenues for similar content in established markets, primarily consisting of distribution and advertising revenues, and projected program usage. Projected program usage is based on the Company's current expectation of future exhibitions taking into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written off.</w:t>
      </w:r>
    </w:p>
    <w:p>
      <w:pPr>
        <w:spacing w:after="0" w:line="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 in the consolidated statements of income. Program rights write-offs, included in technical and operating expense, were $7.9 million and $12.1 million for the three and six months ended June 30, 2020, respectively, and $10.3 million and $13.6 million for the three and six months ended June 30, 2019,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and loans in non-consolidated entities which are included in Other assets in the condensed consolidated balance sheet. Equity method investments were $68.2 million at June 30, 2020 and $69.1 million at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 of income. In April 2020, one of our investments with a cost of $25.0 million, previously classified as a non-marketable equity security, became a publicly traded company. Accordingly, the investment is classified within marketable equity securities as of June 30, 2020. Investments in marketable equity securities were $43.3 million at June 30, 2020 and $4.4 million at December 31, 2019. For the three and six months ended June 30, 2020, unrealized gains on marketable equity securities were $15.0 million and $14.0 million, respectively, included in miscellaneous, net in the condensed consolidated statement of income.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condensed consolidated statement of income.</w:t>
      </w:r>
    </w:p>
    <w:p>
      <w:pPr>
        <w:spacing w:after="0" w:line="6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Investments in non-marketable equity securities were $16.8 million at June 30, 2020 and $61.8 million at December 31, 2019. For the six months ended June 30, 2020 and June 30, 2019, the Company recognized impairment charges of $20.0 million and $17.7 million, respectively, related to the write-down of certain non-marketable equity securities and a note receivable, included in miscellaneous,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National Networks</w:t>
            </w:r>
          </w:p>
        </w:tc>
        <w:tc>
          <w:tcPr>
            <w:tcW w:w="26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Total</w:t>
            </w:r>
          </w:p>
        </w:tc>
      </w:tr>
      <w:tr>
        <w:trPr>
          <w:trHeight w:val="250"/>
        </w:trPr>
        <w:tc>
          <w:tcPr>
            <w:tcW w:w="5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464,877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701,980</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18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(25,062)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(25,062)</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(10,364)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(10,364)</w:t>
            </w:r>
          </w:p>
        </w:tc>
      </w:tr>
      <w:tr>
        <w:trPr>
          <w:trHeight w:val="27"/>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236,439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429,451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665,890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2020 and December 31, 2019, accumulated impairment charges in the International and Other segment totaled $123.1 million and $98.0 million, respectively.</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$0.7 million in the carrying amount of goodwill for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The Company performs its annual goodwill impairment test as of December 1 each year. In addition to the annual impairment test, the Company is required to regularly assess whether a triggering event has occurred which would require an interim impairment test. As a result of the continuing impact of the COVID-19 pandemic, the Company qualitatively assessed whether it was more likely than not that goodwill and long-lived assets were impaired as of June 30, 2020. The Company considered the current and expected future economic and market conditions surrounding the COVID-19 pandemic and its impact on each of its reporting units. Further, the Company assessed the current forecasts (including significant assumptions about revenue growth rates, long-term growth rates and enterprise specific discount rates) and the amount of excess fair value over carrying value for each of its reporting units in the 2019 impairment test. In connection with the preparation of the second quarter financial information, the Company determined that a triggering event had occurred with respect to its AMCNI reporting unit, which required an interim impairment test to be performed as of June 30, 2020. As such, the Company performed a quantitative assessment for its AMCNI reporting unit. The fair value was determined using a combination of an income approach, using a discounted cash flow (DCF) model, and a market comparables approach. The DCF model includes significant assumptions about revenue growth rates, long-term growth rates and enterprise specific discount rates. Additionally, the market comparables approach is determined using guideline company financial multiples. Given the uncertainty in determining assumptions underlying the DCF approach, actual results may differ from those used in the valuations.</w:t>
      </w:r>
    </w:p>
    <w:p>
      <w:pPr>
        <w:spacing w:after="0" w:line="24" w:lineRule="exact"/>
        <w:rPr>
          <w:sz w:val="20"/>
          <w:szCs w:val="20"/>
          <w:color w:val="auto"/>
        </w:rPr>
      </w:pPr>
    </w:p>
    <w:p>
      <w:pPr>
        <w:jc w:val="both"/>
        <w:ind w:right="120" w:firstLine="405"/>
        <w:spacing w:after="0" w:line="311" w:lineRule="auto"/>
        <w:rPr>
          <w:sz w:val="20"/>
          <w:szCs w:val="20"/>
          <w:color w:val="auto"/>
        </w:rPr>
      </w:pPr>
      <w:r>
        <w:rPr>
          <w:rFonts w:ascii="Arial" w:cs="Arial" w:eastAsia="Arial" w:hAnsi="Arial"/>
          <w:sz w:val="16"/>
          <w:szCs w:val="16"/>
          <w:color w:val="auto"/>
        </w:rPr>
        <w:t>Based on the valuations performed, in response to current and expected trends across the International television broadcasting markets, the fair value of the Company's AMCNI reporting unit declined below its carrying amount. As a result, in June 2020, the Company recognized an impairment charge of $25.1 million related to the AMCNI reporting unit, included in impairment charges in the condensed consolidated income statement.</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impairment charge was required for any of the Company's other reporting units.</w:t>
      </w:r>
    </w:p>
    <w:p>
      <w:pPr>
        <w:spacing w:after="0" w:line="252"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determination of fair value of the Company's AMCNI reporting unit represents a Level 3 fair value measurement in the fair value hierarchy due to its use of internal projections and unobservable measurement inputs. Changes in significant judgments and estimates could significantly impact the concluded fair value of the reporting unit or the valuation of intangible assets. Changes to assumptions that would decrease the fair value of the reporting unit would result in corresponding increases to the impairment of goodwill at the reporting unit.</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unable to predict how long the COVID-19 pandemic conditions will persist, what additional measures may be introduced by governments or private parties or what effect any such additional measures may have on our business. If these estimates or related assumptions change in the future, we may be required to record additional impairment charges related to goodwill.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left="1680" w:right="64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2020</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20"/>
                <w:szCs w:val="20"/>
                <w:color w:val="auto"/>
              </w:rPr>
            </w:pPr>
          </w:p>
        </w:tc>
        <w:tc>
          <w:tcPr>
            <w:tcW w:w="122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43"/>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611,324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(306,696)</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304,628</w:t>
            </w: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Advertiser relationships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46,282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(23,924)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22,358</w:t>
            </w: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110,918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(32,778)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78,140</w:t>
            </w: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771,323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(365,990)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405,333</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791,223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(365,990)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425,233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December 31, 2019</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20"/>
                <w:szCs w:val="20"/>
                <w:color w:val="auto"/>
              </w:rPr>
            </w:pPr>
          </w:p>
        </w:tc>
        <w:tc>
          <w:tcPr>
            <w:tcW w:w="122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43"/>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616,197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(232,193)</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384,004</w:t>
            </w: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Advertiser relationships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46,282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(21,820)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113,075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(17,997)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95,078</w:t>
            </w: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778,352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(273,721)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504,631</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798,252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(273,721)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524,531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-3316605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062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06285"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10628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062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062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0628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710628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Estimated Useful</w:t>
      </w:r>
    </w:p>
    <w:p>
      <w:pPr>
        <w:spacing w:after="0" w:line="49"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Lives</w:t>
      </w:r>
    </w:p>
    <w:p>
      <w:pPr>
        <w:spacing w:after="0" w:line="37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 to 25 years</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 years</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 to 20 years</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 to 15 years</w:t>
      </w:r>
    </w:p>
    <w:p>
      <w:pPr>
        <w:spacing w:after="0" w:line="4637" w:lineRule="exact"/>
        <w:rPr>
          <w:sz w:val="20"/>
          <w:szCs w:val="20"/>
          <w:color w:val="auto"/>
        </w:rPr>
      </w:pPr>
    </w:p>
    <w:p>
      <w:pPr>
        <w:sectPr>
          <w:pgSz w:w="11900" w:h="16838" w:orient="portrait"/>
          <w:cols w:equalWidth="0" w:num="2">
            <w:col w:w="9580" w:space="280"/>
            <w:col w:w="1380"/>
          </w:cols>
          <w:pgMar w:left="320" w:top="125" w:right="339" w:bottom="1440" w:gutter="0" w:footer="0" w:header="0"/>
        </w:sectPr>
      </w:pPr>
    </w:p>
    <w:p>
      <w:pPr>
        <w:spacing w:after="0" w:line="245"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Aggregate amortization expense for amortizable intangible assets for the six months ended June 30, 2020 and 2019 was $23.1 million and $22.3 million, respectively. Estimated aggregate amortization expense for intangible assets subject to amortization for each of the following five years is: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390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9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41,779</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39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37,567</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9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37,394</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9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37,288</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00" w:type="dxa"/>
            <w:vAlign w:val="bottom"/>
            <w:shd w:val="clear" w:color="auto" w:fill="CCEEFF"/>
          </w:tcPr>
          <w:p>
            <w:pPr>
              <w:spacing w:after="0"/>
              <w:rPr>
                <w:sz w:val="21"/>
                <w:szCs w:val="21"/>
                <w:color w:val="auto"/>
              </w:rPr>
            </w:pPr>
          </w:p>
        </w:tc>
        <w:tc>
          <w:tcPr>
            <w:tcW w:w="4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37,220</w:t>
            </w:r>
          </w:p>
        </w:tc>
      </w:tr>
      <w:tr>
        <w:trPr>
          <w:trHeight w:val="27"/>
        </w:trPr>
        <w:tc>
          <w:tcPr>
            <w:tcW w:w="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Long-Lived Assets</w:t>
      </w:r>
    </w:p>
    <w:p>
      <w:pPr>
        <w:spacing w:after="0" w:line="12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June 2020, given the continuing and expected future economic and market conditions surrounding the COVID-19 pandemic and its impact, the Company revised its outlook for the AMCNI business, resulting in lower expected future cash flows. As a result, the Company determined that sufficient indicators of potential impairment of long-lived assets existed and the Company performed a recoverability test of the long-lived asset groups within the AMCNI business. Based on the recoverability tests performed, the Company determined that certain long-lived assets were not recoverable and recognized an impairment charge of $105.3 million related primarily to certain identifiable intangible assets, as well as property and equipment, and operating lease right-of-use assets, which is included in impairment charges in the condensed consolidated statement of income.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center"/>
        <w:ind w:left="640" w:right="20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ind w:left="40"/>
        <w:spacing w:after="0"/>
        <w:tabs>
          <w:tab w:leader="none" w:pos="7800" w:val="left"/>
          <w:tab w:leader="none" w:pos="9600" w:val="left"/>
        </w:tabs>
        <w:rPr>
          <w:sz w:val="20"/>
          <w:szCs w:val="20"/>
          <w:color w:val="auto"/>
        </w:rPr>
      </w:pPr>
      <w:r>
        <w:rPr>
          <w:rFonts w:ascii="Arial" w:cs="Arial" w:eastAsia="Arial" w:hAnsi="Arial"/>
          <w:sz w:val="28"/>
          <w:szCs w:val="28"/>
          <w:b w:val="1"/>
          <w:bCs w:val="1"/>
          <w:color w:val="auto"/>
          <w:vertAlign w:val="subscript"/>
        </w:rPr>
        <w:t>(In thousands)</w:t>
      </w:r>
      <w:r>
        <w:rPr>
          <w:sz w:val="20"/>
          <w:szCs w:val="20"/>
          <w:color w:val="auto"/>
        </w:rPr>
        <w:tab/>
      </w:r>
      <w:r>
        <w:rPr>
          <w:rFonts w:ascii="Arial" w:cs="Arial" w:eastAsia="Arial" w:hAnsi="Arial"/>
          <w:sz w:val="16"/>
          <w:szCs w:val="16"/>
          <w:b w:val="1"/>
          <w:bCs w:val="1"/>
          <w:color w:val="auto"/>
        </w:rPr>
        <w:t>June 30,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711517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related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Participations and residuals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accrued liabilities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long-term debt consists of the following: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72,114</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89,753</w:t>
            </w:r>
          </w:p>
        </w:tc>
      </w:tr>
      <w:tr>
        <w:trPr>
          <w:trHeight w:val="270"/>
        </w:trPr>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91,620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70,682</w:t>
            </w:r>
          </w:p>
        </w:tc>
      </w:tr>
      <w:tr>
        <w:trPr>
          <w:trHeight w:val="270"/>
        </w:trPr>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29,340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29,767</w:t>
            </w:r>
          </w:p>
        </w:tc>
      </w:tr>
      <w:tr>
        <w:trPr>
          <w:trHeight w:val="270"/>
        </w:trPr>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52,207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61,012</w:t>
            </w:r>
          </w:p>
        </w:tc>
      </w:tr>
      <w:tr>
        <w:trPr>
          <w:trHeight w:val="27"/>
        </w:trPr>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245,281</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251,214</w:t>
            </w:r>
          </w:p>
        </w:tc>
      </w:tr>
      <w:tr>
        <w:trPr>
          <w:trHeight w:val="27"/>
        </w:trPr>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6"/>
          <w:szCs w:val="16"/>
          <w:b w:val="1"/>
          <w:bCs w:val="1"/>
          <w:color w:val="auto"/>
        </w:rPr>
        <w:t>June 30, 2020</w:t>
      </w:r>
      <w:r>
        <w:rPr>
          <w:sz w:val="20"/>
          <w:szCs w:val="20"/>
          <w:color w:val="auto"/>
        </w:rPr>
        <w:tab/>
      </w:r>
      <w:r>
        <w:rPr>
          <w:rFonts w:ascii="Arial" w:cs="Arial" w:eastAsia="Arial" w:hAnsi="Arial"/>
          <w:sz w:val="14"/>
          <w:szCs w:val="14"/>
          <w:b w:val="1"/>
          <w:bCs w:val="1"/>
          <w:color w:val="auto"/>
        </w:rPr>
        <w:t>December 31, 2019</w:t>
      </w:r>
    </w:p>
    <w:p>
      <w:pPr>
        <w:spacing w:after="0" w:line="43" w:lineRule="exact"/>
        <w:rPr>
          <w:sz w:val="20"/>
          <w:szCs w:val="20"/>
          <w:color w:val="auto"/>
        </w:rPr>
      </w:pPr>
    </w:p>
    <w:p>
      <w:pPr>
        <w:sectPr>
          <w:pgSz w:w="11900" w:h="16838" w:orient="portrait"/>
          <w:cols w:equalWidth="0" w:num="2">
            <w:col w:w="6620" w:space="720"/>
            <w:col w:w="390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712,500</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731,250</w:t>
            </w:r>
          </w:p>
        </w:tc>
      </w:tr>
      <w:tr>
        <w:trPr>
          <w:trHeight w:val="256"/>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5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70"/>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800,000</w:t>
            </w:r>
          </w:p>
        </w:tc>
      </w:tr>
      <w:tr>
        <w:trPr>
          <w:trHeight w:val="270"/>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5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1,000,000</w:t>
            </w:r>
          </w:p>
        </w:tc>
      </w:tr>
      <w:tr>
        <w:trPr>
          <w:trHeight w:val="270"/>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600,000</w:t>
            </w:r>
          </w:p>
        </w:tc>
      </w:tr>
      <w:tr>
        <w:trPr>
          <w:trHeight w:val="27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debt </w:t>
            </w:r>
            <w:r>
              <w:rPr>
                <w:rFonts w:ascii="Arial" w:cs="Arial" w:eastAsia="Arial" w:hAnsi="Arial"/>
                <w:sz w:val="23"/>
                <w:szCs w:val="23"/>
                <w:color w:val="auto"/>
                <w:vertAlign w:val="superscript"/>
              </w:rPr>
              <w:t>(b)</w:t>
            </w: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5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2,918,500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3,131,250</w:t>
            </w:r>
          </w:p>
        </w:tc>
      </w:tr>
      <w:tr>
        <w:trPr>
          <w:trHeight w:val="27"/>
        </w:trPr>
        <w:tc>
          <w:tcPr>
            <w:tcW w:w="7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(24,351)</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Unamortized deferred financing costs</w:t>
            </w:r>
          </w:p>
        </w:tc>
        <w:tc>
          <w:tcPr>
            <w:tcW w:w="5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(10,670)</w:t>
            </w:r>
          </w:p>
        </w:tc>
      </w:tr>
      <w:tr>
        <w:trPr>
          <w:trHeight w:val="27"/>
        </w:trPr>
        <w:tc>
          <w:tcPr>
            <w:tcW w:w="732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2,888,890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3,096,229</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56,250</w:t>
            </w:r>
          </w:p>
        </w:tc>
      </w:tr>
      <w:tr>
        <w:trPr>
          <w:trHeight w:val="27"/>
        </w:trPr>
        <w:tc>
          <w:tcPr>
            <w:tcW w:w="732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2,807,890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3,039,979</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80" w:hanging="652"/>
        <w:spacing w:after="0" w:line="277"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June 30, 2020. Total undrawn revolver commitments are available to be drawn for general corporate purposes of the Company.</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5"/>
        </w:numPr>
        <w:rPr>
          <w:rFonts w:ascii="Arial" w:cs="Arial" w:eastAsia="Arial" w:hAnsi="Arial"/>
          <w:sz w:val="17"/>
          <w:szCs w:val="17"/>
          <w:color w:val="auto"/>
        </w:rPr>
      </w:pPr>
      <w:r>
        <w:rPr>
          <w:rFonts w:ascii="Arial" w:cs="Arial" w:eastAsia="Arial" w:hAnsi="Arial"/>
          <w:sz w:val="17"/>
          <w:szCs w:val="17"/>
          <w:color w:val="auto"/>
        </w:rPr>
        <w:t>A majority owned subsidiary of the Company has credit facilities totaling $7.0 million, which bear interest at the greater of 3.5% or the prime rate plus 1% and mature on August 25, 2020. As of June 30, 2020, there was $6.0 million of outstanding borrowings on the credit facilities.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Notes due December 2022</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March 2020, the Company redeemed $200 million principal amount of the outstanding $600 million principal amount of its 4.75% Notes due 2022. In connection with the redemption, the Company incurred a loss on extinguishment of debt for the six months ended June 30, 2020 of $2.9 million representing the redemption premium and the write-off of a portion of the unamortized discount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Arial" w:cs="Arial" w:eastAsia="Arial" w:hAnsi="Arial"/>
                <w:sz w:val="16"/>
                <w:szCs w:val="16"/>
                <w:b w:val="1"/>
                <w:bCs w:val="1"/>
                <w:color w:val="auto"/>
              </w:rPr>
              <w:t>Balance Sheet Location</w:t>
            </w:r>
          </w:p>
        </w:tc>
        <w:tc>
          <w:tcPr>
            <w:tcW w:w="340" w:type="dxa"/>
            <w:vAlign w:val="bottom"/>
          </w:tcPr>
          <w:p>
            <w:pPr>
              <w:spacing w:after="0"/>
              <w:rPr>
                <w:sz w:val="20"/>
                <w:szCs w:val="20"/>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0"/>
                <w:szCs w:val="20"/>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2019</w:t>
            </w:r>
          </w:p>
        </w:tc>
      </w:tr>
      <w:tr>
        <w:trPr>
          <w:trHeight w:val="202"/>
        </w:trPr>
        <w:tc>
          <w:tcPr>
            <w:tcW w:w="2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154,676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71"/>
              <w:spacing w:after="0"/>
              <w:rPr>
                <w:sz w:val="20"/>
                <w:szCs w:val="20"/>
                <w:color w:val="auto"/>
              </w:rPr>
            </w:pPr>
            <w:r>
              <w:rPr>
                <w:rFonts w:ascii="Arial" w:cs="Arial" w:eastAsia="Arial" w:hAnsi="Arial"/>
                <w:sz w:val="18"/>
                <w:szCs w:val="18"/>
                <w:color w:val="auto"/>
              </w:rPr>
              <w:t>170,056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15,713</w:t>
            </w:r>
          </w:p>
        </w:tc>
      </w:tr>
      <w:tr>
        <w:trPr>
          <w:trHeight w:val="263"/>
        </w:trPr>
        <w:tc>
          <w:tcPr>
            <w:tcW w:w="20" w:type="dxa"/>
            <w:vAlign w:val="bottom"/>
          </w:tcPr>
          <w:p>
            <w:pPr>
              <w:spacing w:after="0"/>
              <w:rPr>
                <w:sz w:val="22"/>
                <w:szCs w:val="22"/>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Total lease assets</w:t>
            </w:r>
          </w:p>
        </w:tc>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168,404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185,769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Liabilities</w:t>
            </w:r>
          </w:p>
        </w:tc>
        <w:tc>
          <w:tcPr>
            <w:tcW w:w="1560" w:type="dxa"/>
            <w:vAlign w:val="bottom"/>
            <w:tcBorders>
              <w:bottom w:val="single" w:sz="8" w:color="CCEEFF"/>
            </w:tcBorders>
            <w:shd w:val="clear" w:color="auto" w:fill="CCEEFF"/>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Current:</w:t>
            </w: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45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Current portion of lease obligations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30,171</w:t>
            </w:r>
          </w:p>
        </w:tc>
      </w:tr>
      <w:tr>
        <w:trPr>
          <w:trHeight w:val="243"/>
        </w:trPr>
        <w:tc>
          <w:tcPr>
            <w:tcW w:w="20" w:type="dxa"/>
            <w:vAlign w:val="bottom"/>
          </w:tcPr>
          <w:p>
            <w:pPr>
              <w:spacing w:after="0"/>
              <w:rPr>
                <w:sz w:val="21"/>
                <w:szCs w:val="21"/>
                <w:color w:val="auto"/>
              </w:rPr>
            </w:pPr>
          </w:p>
        </w:tc>
        <w:tc>
          <w:tcPr>
            <w:tcW w:w="234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Current portion of lease obligations</w:t>
            </w:r>
          </w:p>
        </w:tc>
        <w:tc>
          <w:tcPr>
            <w:tcW w:w="34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71"/>
              <w:spacing w:after="0"/>
              <w:rPr>
                <w:sz w:val="20"/>
                <w:szCs w:val="20"/>
                <w:color w:val="auto"/>
              </w:rPr>
            </w:pPr>
            <w:r>
              <w:rPr>
                <w:rFonts w:ascii="Arial" w:cs="Arial" w:eastAsia="Arial" w:hAnsi="Arial"/>
                <w:sz w:val="18"/>
                <w:szCs w:val="18"/>
                <w:color w:val="auto"/>
              </w:rPr>
              <w:t>3,788</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33,179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33,959</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Noncurrent:</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45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Lease obligations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193,570</w:t>
            </w:r>
          </w:p>
        </w:tc>
      </w:tr>
      <w:tr>
        <w:trPr>
          <w:trHeight w:val="243"/>
        </w:trPr>
        <w:tc>
          <w:tcPr>
            <w:tcW w:w="20" w:type="dxa"/>
            <w:vAlign w:val="bottom"/>
          </w:tcPr>
          <w:p>
            <w:pPr>
              <w:spacing w:after="0"/>
              <w:rPr>
                <w:sz w:val="21"/>
                <w:szCs w:val="21"/>
                <w:color w:val="auto"/>
              </w:rPr>
            </w:pPr>
          </w:p>
        </w:tc>
        <w:tc>
          <w:tcPr>
            <w:tcW w:w="234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Lease obligations</w:t>
            </w:r>
          </w:p>
        </w:tc>
        <w:tc>
          <w:tcPr>
            <w:tcW w:w="34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29,133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71"/>
              <w:spacing w:after="0"/>
              <w:rPr>
                <w:sz w:val="20"/>
                <w:szCs w:val="20"/>
                <w:color w:val="auto"/>
              </w:rPr>
            </w:pPr>
            <w:r>
              <w:rPr>
                <w:rFonts w:ascii="Arial" w:cs="Arial" w:eastAsia="Arial" w:hAnsi="Arial"/>
                <w:sz w:val="18"/>
                <w:szCs w:val="18"/>
                <w:color w:val="auto"/>
              </w:rPr>
              <w:t>17,477</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214,334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211,047</w:t>
            </w:r>
          </w:p>
        </w:tc>
      </w:tr>
      <w:tr>
        <w:trPr>
          <w:trHeight w:val="34"/>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7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lease liabilities</w:t>
            </w:r>
          </w:p>
        </w:tc>
        <w:tc>
          <w:tcPr>
            <w:tcW w:w="4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247,513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245,006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For the six months ended June 30, 2020, impairment charges were recorded related to certain operating lease right-of-use assets at the AMCNI business. See Note 7 for additional details regarding the impairment test of long-lived assets.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June 30, 2020 and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56"/>
        </w:trPr>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4300" w:type="dxa"/>
            <w:vAlign w:val="bottom"/>
            <w:tcBorders>
              <w:top w:val="single" w:sz="8" w:color="auto"/>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3"/>
              </w:rPr>
              <w:t>At June 30, 2020: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50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350,294</w:t>
            </w:r>
          </w:p>
        </w:tc>
      </w:tr>
      <w:tr>
        <w:trPr>
          <w:trHeight w:val="243"/>
        </w:trPr>
        <w:tc>
          <w:tcPr>
            <w:tcW w:w="20" w:type="dxa"/>
            <w:vAlign w:val="bottom"/>
          </w:tcPr>
          <w:p>
            <w:pPr>
              <w:spacing w:after="0"/>
              <w:rPr>
                <w:sz w:val="21"/>
                <w:szCs w:val="21"/>
                <w:color w:val="auto"/>
              </w:rPr>
            </w:pPr>
          </w:p>
        </w:tc>
        <w:tc>
          <w:tcPr>
            <w:tcW w:w="5080" w:type="dxa"/>
            <w:vAlign w:val="bottom"/>
            <w:gridSpan w:val="3"/>
          </w:tcPr>
          <w:p>
            <w:pPr>
              <w:ind w:left="3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43,309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43,309</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1,955</w:t>
            </w:r>
          </w:p>
        </w:tc>
      </w:tr>
      <w:tr>
        <w:trPr>
          <w:trHeight w:val="203"/>
        </w:trPr>
        <w:tc>
          <w:tcPr>
            <w:tcW w:w="2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Interest rate swap contracts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3,622</w:t>
            </w:r>
          </w:p>
        </w:tc>
      </w:tr>
      <w:tr>
        <w:trPr>
          <w:trHeight w:val="243"/>
        </w:trPr>
        <w:tc>
          <w:tcPr>
            <w:tcW w:w="20" w:type="dxa"/>
            <w:vAlign w:val="bottom"/>
          </w:tcPr>
          <w:p>
            <w:pPr>
              <w:spacing w:after="0"/>
              <w:rPr>
                <w:sz w:val="21"/>
                <w:szCs w:val="21"/>
                <w:color w:val="auto"/>
              </w:rPr>
            </w:pPr>
          </w:p>
        </w:tc>
        <w:tc>
          <w:tcPr>
            <w:tcW w:w="5080" w:type="dxa"/>
            <w:vAlign w:val="bottom"/>
            <w:gridSpan w:val="3"/>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2,876</w:t>
            </w:r>
          </w:p>
        </w:tc>
      </w:tr>
      <w:tr>
        <w:trPr>
          <w:trHeight w:val="61"/>
        </w:trPr>
        <w:tc>
          <w:tcPr>
            <w:tcW w:w="2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00" w:type="dxa"/>
            <w:vAlign w:val="bottom"/>
          </w:tcPr>
          <w:p>
            <w:pPr>
              <w:jc w:val="center"/>
              <w:ind w:right="719"/>
              <w:spacing w:after="0"/>
              <w:rPr>
                <w:sz w:val="20"/>
                <w:szCs w:val="20"/>
                <w:color w:val="auto"/>
              </w:rPr>
            </w:pPr>
            <w:r>
              <w:rPr>
                <w:rFonts w:ascii="Arial" w:cs="Arial" w:eastAsia="Arial" w:hAnsi="Arial"/>
                <w:sz w:val="16"/>
                <w:szCs w:val="16"/>
                <w:b w:val="1"/>
                <w:bCs w:val="1"/>
                <w:color w:val="auto"/>
                <w:w w:val="92"/>
              </w:rPr>
              <w:t>At December 31, 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191,214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191,214</w:t>
            </w:r>
          </w:p>
        </w:tc>
      </w:tr>
      <w:tr>
        <w:trPr>
          <w:trHeight w:val="270"/>
        </w:trPr>
        <w:tc>
          <w:tcPr>
            <w:tcW w:w="20" w:type="dxa"/>
            <w:vAlign w:val="bottom"/>
            <w:shd w:val="clear" w:color="auto" w:fill="CCEEFF"/>
          </w:tcPr>
          <w:p>
            <w:pPr>
              <w:spacing w:after="0"/>
              <w:rPr>
                <w:sz w:val="23"/>
                <w:szCs w:val="23"/>
                <w:color w:val="auto"/>
              </w:rPr>
            </w:pPr>
          </w:p>
        </w:tc>
        <w:tc>
          <w:tcPr>
            <w:tcW w:w="5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4,448</w:t>
            </w:r>
          </w:p>
        </w:tc>
      </w:tr>
      <w:tr>
        <w:trPr>
          <w:trHeight w:val="270"/>
        </w:trPr>
        <w:tc>
          <w:tcPr>
            <w:tcW w:w="20" w:type="dxa"/>
            <w:vAlign w:val="bottom"/>
          </w:tcPr>
          <w:p>
            <w:pPr>
              <w:spacing w:after="0"/>
              <w:rPr>
                <w:sz w:val="23"/>
                <w:szCs w:val="23"/>
                <w:color w:val="auto"/>
              </w:rPr>
            </w:pP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1,884</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1"/>
              </w:rPr>
              <w:t>Liabilities</w:t>
            </w:r>
          </w:p>
        </w:tc>
        <w:tc>
          <w:tcPr>
            <w:tcW w:w="4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80" w:type="dxa"/>
            <w:vAlign w:val="bottom"/>
            <w:gridSpan w:val="3"/>
          </w:tcPr>
          <w:p>
            <w:pPr>
              <w:ind w:left="32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1,966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1,888</w:t>
            </w:r>
          </w:p>
        </w:tc>
      </w:tr>
      <w:tr>
        <w:trPr>
          <w:trHeight w:val="27"/>
        </w:trPr>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June 30, 2020 and December 31, 2019, the Company did not have any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intangible assets and property and equipment. All of our nonrecurring valuations use significant unobservable inputs and therefore fall under Level III of the fair value hierarchy.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2020</w:t>
            </w:r>
          </w:p>
        </w:tc>
        <w:tc>
          <w:tcPr>
            <w:tcW w:w="14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Carrying</w:t>
            </w:r>
          </w:p>
        </w:tc>
        <w:tc>
          <w:tcPr>
            <w:tcW w:w="500" w:type="dxa"/>
            <w:vAlign w:val="bottom"/>
          </w:tcPr>
          <w:p>
            <w:pPr>
              <w:spacing w:after="0"/>
              <w:rPr>
                <w:sz w:val="18"/>
                <w:szCs w:val="18"/>
                <w:color w:val="auto"/>
              </w:rPr>
            </w:pPr>
          </w:p>
        </w:tc>
        <w:tc>
          <w:tcPr>
            <w:tcW w:w="1400" w:type="dxa"/>
            <w:vAlign w:val="bottom"/>
          </w:tcPr>
          <w:p>
            <w:pPr>
              <w:jc w:val="right"/>
              <w:ind w:right="512"/>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20" w:type="dxa"/>
            <w:vAlign w:val="bottom"/>
          </w:tcPr>
          <w:p>
            <w:pPr>
              <w:spacing w:after="0"/>
              <w:rPr>
                <w:sz w:val="20"/>
                <w:szCs w:val="20"/>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Amount</w:t>
            </w:r>
          </w:p>
        </w:tc>
        <w:tc>
          <w:tcPr>
            <w:tcW w:w="500" w:type="dxa"/>
            <w:vAlign w:val="bottom"/>
          </w:tcPr>
          <w:p>
            <w:pPr>
              <w:spacing w:after="0"/>
              <w:rPr>
                <w:sz w:val="20"/>
                <w:szCs w:val="20"/>
                <w:color w:val="auto"/>
              </w:rPr>
            </w:pPr>
          </w:p>
        </w:tc>
        <w:tc>
          <w:tcPr>
            <w:tcW w:w="1400" w:type="dxa"/>
            <w:vAlign w:val="bottom"/>
          </w:tcPr>
          <w:p>
            <w:pPr>
              <w:jc w:val="right"/>
              <w:ind w:right="492"/>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gridSpan w:val="3"/>
          </w:tcPr>
          <w:p>
            <w:pPr>
              <w:ind w:left="32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706,099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694,688</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789,173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784,000</w:t>
            </w:r>
          </w:p>
        </w:tc>
      </w:tr>
      <w:tr>
        <w:trPr>
          <w:trHeight w:val="27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tcPr>
          <w:p>
            <w:pPr>
              <w:spacing w:after="0"/>
              <w:rPr>
                <w:sz w:val="23"/>
                <w:szCs w:val="23"/>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989,817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987,500</w:t>
            </w:r>
          </w:p>
        </w:tc>
      </w:tr>
      <w:tr>
        <w:trPr>
          <w:trHeight w:val="27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397,801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400,000</w:t>
            </w:r>
          </w:p>
        </w:tc>
      </w:tr>
      <w:tr>
        <w:trPr>
          <w:trHeight w:val="243"/>
        </w:trPr>
        <w:tc>
          <w:tcPr>
            <w:tcW w:w="20" w:type="dxa"/>
            <w:vAlign w:val="bottom"/>
          </w:tcPr>
          <w:p>
            <w:pPr>
              <w:spacing w:after="0"/>
              <w:rPr>
                <w:sz w:val="21"/>
                <w:szCs w:val="21"/>
                <w:color w:val="auto"/>
              </w:rPr>
            </w:pPr>
          </w:p>
        </w:tc>
        <w:tc>
          <w:tcPr>
            <w:tcW w:w="7300" w:type="dxa"/>
            <w:vAlign w:val="bottom"/>
            <w:gridSpan w:val="3"/>
          </w:tcPr>
          <w:p>
            <w:pPr>
              <w:ind w:left="320"/>
              <w:spacing w:after="0"/>
              <w:rPr>
                <w:sz w:val="20"/>
                <w:szCs w:val="20"/>
                <w:color w:val="auto"/>
              </w:rPr>
            </w:pPr>
            <w:r>
              <w:rPr>
                <w:rFonts w:ascii="Arial" w:cs="Arial" w:eastAsia="Arial" w:hAnsi="Arial"/>
                <w:sz w:val="18"/>
                <w:szCs w:val="18"/>
                <w:color w:val="auto"/>
              </w:rPr>
              <w:t>Other debt</w:t>
            </w:r>
          </w:p>
        </w:tc>
        <w:tc>
          <w:tcPr>
            <w:tcW w:w="38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6,000</w:t>
            </w:r>
          </w:p>
        </w:tc>
      </w:tr>
      <w:tr>
        <w:trPr>
          <w:trHeight w:val="27"/>
        </w:trPr>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2,888,890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2,872,188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4"/>
          </w:tcPr>
          <w:p>
            <w:pPr>
              <w:jc w:val="right"/>
              <w:ind w:right="1193"/>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20" w:type="dxa"/>
            <w:vAlign w:val="bottom"/>
          </w:tcPr>
          <w:p>
            <w:pPr>
              <w:spacing w:after="0"/>
              <w:rPr>
                <w:sz w:val="20"/>
                <w:szCs w:val="20"/>
                <w:color w:val="auto"/>
              </w:rPr>
            </w:pPr>
          </w:p>
        </w:tc>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20"/>
                <w:szCs w:val="20"/>
                <w:color w:val="auto"/>
              </w:rPr>
            </w:pPr>
          </w:p>
        </w:tc>
        <w:tc>
          <w:tcPr>
            <w:tcW w:w="154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49"/>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Debt instruments:</w:t>
            </w:r>
          </w:p>
        </w:tc>
        <w:tc>
          <w:tcPr>
            <w:tcW w:w="60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40" w:type="dxa"/>
            <w:vAlign w:val="bottom"/>
            <w:gridSpan w:val="3"/>
          </w:tcPr>
          <w:p>
            <w:pPr>
              <w:ind w:left="32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723,560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724,303</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788,247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803,000</w:t>
            </w:r>
          </w:p>
        </w:tc>
      </w:tr>
      <w:tr>
        <w:trPr>
          <w:trHeight w:val="243"/>
        </w:trPr>
        <w:tc>
          <w:tcPr>
            <w:tcW w:w="820" w:type="dxa"/>
            <w:vAlign w:val="bottom"/>
            <w:gridSpan w:val="2"/>
          </w:tcPr>
          <w:p>
            <w:pPr>
              <w:ind w:left="340"/>
              <w:spacing w:after="0"/>
              <w:rPr>
                <w:sz w:val="20"/>
                <w:szCs w:val="20"/>
                <w:color w:val="auto"/>
              </w:rPr>
            </w:pPr>
            <w:r>
              <w:rPr>
                <w:rFonts w:ascii="Arial" w:cs="Arial" w:eastAsia="Arial" w:hAnsi="Arial"/>
                <w:sz w:val="18"/>
                <w:szCs w:val="18"/>
                <w:color w:val="auto"/>
                <w:w w:val="90"/>
              </w:rPr>
              <w:t>5.00%</w:t>
            </w:r>
          </w:p>
        </w:tc>
        <w:tc>
          <w:tcPr>
            <w:tcW w:w="654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988,609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1,020,000</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595,813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605,250</w:t>
            </w: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3,096,229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3,152,553</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0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2020, the Company had interest rate swap contracts outstanding with notional amounts aggregating $100.0 million that are designated as hedging instruments.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4160" w:type="dxa"/>
            <w:vAlign w:val="bottom"/>
            <w:gridSpan w:val="2"/>
          </w:tcPr>
          <w:p>
            <w:pPr>
              <w:ind w:left="1660"/>
              <w:spacing w:after="0"/>
              <w:rPr>
                <w:sz w:val="20"/>
                <w:szCs w:val="20"/>
                <w:color w:val="auto"/>
              </w:rPr>
            </w:pPr>
            <w:r>
              <w:rPr>
                <w:rFonts w:ascii="Arial" w:cs="Arial" w:eastAsia="Arial" w:hAnsi="Arial"/>
                <w:sz w:val="16"/>
                <w:szCs w:val="16"/>
                <w:b w:val="1"/>
                <w:bCs w:val="1"/>
                <w:color w:val="auto"/>
              </w:rPr>
              <w:t>Balance Sheet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160" w:type="dxa"/>
            <w:vAlign w:val="bottom"/>
            <w:gridSpan w:val="2"/>
          </w:tcPr>
          <w:p>
            <w:pPr>
              <w:ind w:left="186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2019</w:t>
            </w:r>
          </w:p>
        </w:tc>
      </w:tr>
      <w:tr>
        <w:trPr>
          <w:trHeight w:val="250"/>
        </w:trPr>
        <w:tc>
          <w:tcPr>
            <w:tcW w:w="4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4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1,966</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891</w:t>
            </w:r>
          </w:p>
        </w:tc>
      </w:tr>
      <w:tr>
        <w:trPr>
          <w:trHeight w:val="27"/>
        </w:trPr>
        <w:tc>
          <w:tcPr>
            <w:tcW w:w="4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993</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687</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1,202</w:t>
            </w:r>
          </w:p>
        </w:tc>
      </w:tr>
      <w:tr>
        <w:trPr>
          <w:trHeight w:val="945"/>
        </w:trPr>
        <w:tc>
          <w:tcPr>
            <w:tcW w:w="4240" w:type="dxa"/>
            <w:vAlign w:val="bottom"/>
          </w:tcPr>
          <w:p>
            <w:pPr>
              <w:spacing w:after="0"/>
              <w:rPr>
                <w:sz w:val="24"/>
                <w:szCs w:val="24"/>
                <w:color w:val="auto"/>
              </w:rPr>
            </w:pPr>
          </w:p>
        </w:tc>
        <w:tc>
          <w:tcPr>
            <w:tcW w:w="4060" w:type="dxa"/>
            <w:vAlign w:val="bottom"/>
          </w:tcPr>
          <w:p>
            <w:pPr>
              <w:ind w:left="13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Gain or (Loss) on Derivatives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Location of Gain or</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Recognized in OCI</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(Loss) in 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5"/>
          </w:tcPr>
          <w:p>
            <w:pPr>
              <w:ind w:left="820"/>
              <w:spacing w:after="0"/>
              <w:rPr>
                <w:sz w:val="20"/>
                <w:szCs w:val="20"/>
                <w:color w:val="auto"/>
              </w:rPr>
            </w:pPr>
            <w:r>
              <w:rPr>
                <w:rFonts w:ascii="Arial" w:cs="Arial" w:eastAsia="Arial" w:hAnsi="Arial"/>
                <w:sz w:val="16"/>
                <w:szCs w:val="16"/>
                <w:b w:val="1"/>
                <w:bCs w:val="1"/>
                <w:color w:val="auto"/>
                <w:w w:val="95"/>
              </w:rPr>
              <w:t>into Earnings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7"/>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 June 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7"/>
          </w:tcPr>
          <w:p>
            <w:pPr>
              <w:jc w:val="center"/>
              <w:ind w:right="340"/>
              <w:spacing w:after="0"/>
              <w:rPr>
                <w:sz w:val="20"/>
                <w:szCs w:val="20"/>
                <w:color w:val="auto"/>
              </w:rPr>
            </w:pPr>
            <w:r>
              <w:rPr>
                <w:rFonts w:ascii="Arial" w:cs="Arial" w:eastAsia="Arial" w:hAnsi="Arial"/>
                <w:sz w:val="16"/>
                <w:szCs w:val="16"/>
                <w:b w:val="1"/>
                <w:bCs w:val="1"/>
                <w:color w:val="auto"/>
                <w:w w:val="92"/>
              </w:rPr>
              <w:t>Three Months Ended June 30,</w:t>
            </w:r>
          </w:p>
        </w:tc>
      </w:tr>
      <w:tr>
        <w:trPr>
          <w:trHeight w:val="33"/>
        </w:trPr>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1"/>
                <w:szCs w:val="21"/>
                <w:color w:val="auto"/>
              </w:rPr>
            </w:pPr>
          </w:p>
        </w:tc>
      </w:tr>
      <w:tr>
        <w:trPr>
          <w:trHeight w:val="224"/>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6"/>
              </w:rPr>
              <w:t>Derivatives in cash flow hedging</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1"/>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7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3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Interest expense</w:t>
            </w:r>
          </w:p>
        </w:tc>
        <w:tc>
          <w:tcPr>
            <w:tcW w:w="100" w:type="dxa"/>
            <w:vAlign w:val="bottom"/>
            <w:gridSpan w:val="2"/>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517</w:t>
            </w:r>
          </w:p>
        </w:tc>
        <w:tc>
          <w:tcPr>
            <w:tcW w:w="40" w:type="dxa"/>
            <w:vAlign w:val="bottom"/>
            <w:tcBorders>
              <w:bottom w:val="single" w:sz="8" w:color="auto"/>
            </w:tcBorders>
          </w:tcPr>
          <w:p>
            <w:pPr>
              <w:spacing w:after="0"/>
              <w:rPr>
                <w:sz w:val="23"/>
                <w:szCs w:val="23"/>
                <w:color w:val="auto"/>
              </w:rPr>
            </w:pPr>
          </w:p>
        </w:tc>
        <w:tc>
          <w:tcPr>
            <w:tcW w:w="100" w:type="dxa"/>
            <w:vAlign w:val="bottom"/>
            <w:gridSpan w:val="2"/>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tcPr>
          <w:p>
            <w:pPr>
              <w:spacing w:after="0"/>
              <w:rPr>
                <w:sz w:val="23"/>
                <w:szCs w:val="23"/>
                <w:color w:val="auto"/>
              </w:rPr>
            </w:pPr>
          </w:p>
        </w:tc>
      </w:tr>
      <w:tr>
        <w:trPr>
          <w:trHeight w:val="21"/>
        </w:trPr>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95"/>
        </w:trPr>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7"/>
          </w:tcPr>
          <w:p>
            <w:pPr>
              <w:ind w:left="280"/>
              <w:spacing w:after="0"/>
              <w:rPr>
                <w:sz w:val="20"/>
                <w:szCs w:val="20"/>
                <w:color w:val="auto"/>
              </w:rPr>
            </w:pPr>
            <w:r>
              <w:rPr>
                <w:rFonts w:ascii="Arial" w:cs="Arial" w:eastAsia="Arial" w:hAnsi="Arial"/>
                <w:sz w:val="16"/>
                <w:szCs w:val="16"/>
                <w:b w:val="1"/>
                <w:bCs w:val="1"/>
                <w:color w:val="auto"/>
              </w:rPr>
              <w:t>Gain or (Loss) Reclassified</w:t>
            </w:r>
          </w:p>
        </w:tc>
      </w:tr>
      <w:tr>
        <w:trPr>
          <w:trHeight w:val="203"/>
        </w:trPr>
        <w:tc>
          <w:tcPr>
            <w:tcW w:w="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Gain or (Loss) on Derivatives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Location of Gain or</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7"/>
          </w:tcPr>
          <w:p>
            <w:pPr>
              <w:ind w:left="400"/>
              <w:spacing w:after="0"/>
              <w:rPr>
                <w:sz w:val="20"/>
                <w:szCs w:val="20"/>
                <w:color w:val="auto"/>
              </w:rPr>
            </w:pPr>
            <w:r>
              <w:rPr>
                <w:rFonts w:ascii="Arial" w:cs="Arial" w:eastAsia="Arial" w:hAnsi="Arial"/>
                <w:sz w:val="16"/>
                <w:szCs w:val="16"/>
                <w:b w:val="1"/>
                <w:bCs w:val="1"/>
                <w:color w:val="auto"/>
              </w:rPr>
              <w:t>from Accumulated OCI</w:t>
            </w:r>
          </w:p>
        </w:tc>
      </w:tr>
      <w:tr>
        <w:trPr>
          <w:trHeight w:val="210"/>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Recognized in OCI</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(Loss) in 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5"/>
          </w:tcPr>
          <w:p>
            <w:pPr>
              <w:jc w:val="center"/>
              <w:ind w:left="598"/>
              <w:spacing w:after="0"/>
              <w:rPr>
                <w:sz w:val="20"/>
                <w:szCs w:val="20"/>
                <w:color w:val="auto"/>
              </w:rPr>
            </w:pPr>
            <w:r>
              <w:rPr>
                <w:rFonts w:ascii="Arial" w:cs="Arial" w:eastAsia="Arial" w:hAnsi="Arial"/>
                <w:sz w:val="16"/>
                <w:szCs w:val="16"/>
                <w:b w:val="1"/>
                <w:bCs w:val="1"/>
                <w:color w:val="auto"/>
                <w:w w:val="91"/>
              </w:rPr>
              <w:t>into Earnings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Six Months Ended June 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7"/>
          </w:tcPr>
          <w:p>
            <w:pPr>
              <w:ind w:left="28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1"/>
                <w:szCs w:val="21"/>
                <w:color w:val="auto"/>
              </w:rPr>
            </w:pPr>
          </w:p>
        </w:tc>
      </w:tr>
      <w:tr>
        <w:trPr>
          <w:trHeight w:val="224"/>
        </w:trPr>
        <w:tc>
          <w:tcPr>
            <w:tcW w:w="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Derivatives in cash flow hedging</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0" w:type="dxa"/>
            <w:vAlign w:val="bottom"/>
          </w:tcPr>
          <w:p>
            <w:pPr>
              <w:spacing w:after="0"/>
              <w:rPr>
                <w:sz w:val="20"/>
                <w:szCs w:val="20"/>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(1,925)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Interest expense</w:t>
            </w:r>
          </w:p>
        </w:tc>
        <w:tc>
          <w:tcPr>
            <w:tcW w:w="4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ind w:left="740"/>
              <w:spacing w:after="0"/>
              <w:rPr>
                <w:sz w:val="20"/>
                <w:szCs w:val="20"/>
                <w:color w:val="auto"/>
              </w:rPr>
            </w:pPr>
            <w:r>
              <w:rPr>
                <w:rFonts w:ascii="Arial" w:cs="Arial" w:eastAsia="Arial" w:hAnsi="Arial"/>
                <w:sz w:val="18"/>
                <w:szCs w:val="18"/>
                <w:color w:val="auto"/>
              </w:rPr>
              <w:t>754</w:t>
            </w:r>
          </w:p>
        </w:tc>
        <w:tc>
          <w:tcPr>
            <w:tcW w:w="40" w:type="dxa"/>
            <w:vAlign w:val="bottom"/>
          </w:tcPr>
          <w:p>
            <w:pPr>
              <w:spacing w:after="0"/>
              <w:rPr>
                <w:sz w:val="23"/>
                <w:szCs w:val="23"/>
                <w:color w:val="auto"/>
              </w:rPr>
            </w:pPr>
          </w:p>
        </w:tc>
        <w:tc>
          <w:tcPr>
            <w:tcW w:w="6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3"/>
                <w:szCs w:val="23"/>
                <w:color w:val="auto"/>
              </w:rPr>
            </w:pPr>
          </w:p>
        </w:tc>
      </w:tr>
      <w:tr>
        <w:trPr>
          <w:trHeight w:val="21"/>
        </w:trPr>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Location of Gain or (Loss)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Recognized in Earnings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6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on Derivatives</w:t>
            </w:r>
          </w:p>
        </w:tc>
        <w:tc>
          <w:tcPr>
            <w:tcW w:w="340" w:type="dxa"/>
            <w:vAlign w:val="bottom"/>
          </w:tcPr>
          <w:p>
            <w:pPr>
              <w:spacing w:after="0"/>
              <w:rPr>
                <w:sz w:val="18"/>
                <w:szCs w:val="18"/>
                <w:color w:val="auto"/>
              </w:rPr>
            </w:pPr>
          </w:p>
        </w:tc>
        <w:tc>
          <w:tcPr>
            <w:tcW w:w="5220" w:type="dxa"/>
            <w:vAlign w:val="bottom"/>
            <w:gridSpan w:val="9"/>
          </w:tcPr>
          <w:p>
            <w:pPr>
              <w:jc w:val="right"/>
              <w:spacing w:after="0"/>
              <w:rPr>
                <w:sz w:val="20"/>
                <w:szCs w:val="20"/>
                <w:color w:val="auto"/>
              </w:rPr>
            </w:pPr>
            <w:r>
              <w:rPr>
                <w:rFonts w:ascii="Arial" w:cs="Arial" w:eastAsia="Arial" w:hAnsi="Arial"/>
                <w:sz w:val="16"/>
                <w:szCs w:val="16"/>
                <w:b w:val="1"/>
                <w:bCs w:val="1"/>
                <w:color w:val="auto"/>
              </w:rPr>
              <w:t>Amount of Gain or (Loss) Recognized in Earnings on Derivatives</w:t>
            </w:r>
          </w:p>
        </w:tc>
        <w:tc>
          <w:tcPr>
            <w:tcW w:w="980" w:type="dxa"/>
            <w:vAlign w:val="bottom"/>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217"/>
        </w:trPr>
        <w:tc>
          <w:tcPr>
            <w:tcW w:w="2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right"/>
              <w:ind w:right="575"/>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95"/>
              </w:rPr>
              <w:t>2019</w:t>
            </w:r>
          </w:p>
        </w:tc>
      </w:tr>
      <w:tr>
        <w:trPr>
          <w:trHeight w:val="295"/>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2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(411)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46</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For the three and six months ended June 30, 2020, income tax expense was $9.7 million and $43.3 million, respectively, representing an effective tax rate of 36% and 32%, respectively, as compared to the federal statutory rate of 21%. For the three and six months ended June 30, 2020, the effective tax rate differs from the federal statutory rate due primarily to tax expense from foreign operations of $5.5 million and $9.4 million, state and local income tax expense of $2.6 million and $5.7 million and tax expense of $2.9 million and $5.6 million resulting from an increase in valuation allowances for foreign taxes and U.S. foreign tax credits, partially offset by a tax benefit of $5.2 million and $8.7 million relating to uncertain tax positions (including accrued interest) and tax benefit of $1.4 million and $2.9 million related to a foreign-derived intangible income deduction, respectively. The tax benefit relating to uncertain tax positions is primarily due to audit settlements and the filing of state income tax returns under voluntary disclosure agreements.</w:t>
      </w:r>
    </w:p>
    <w:p>
      <w:pPr>
        <w:spacing w:after="0" w:line="9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three and six months ended June 30, 2019, income tax benefit was $1.4 million and income tax expense was $45.1 million, respectively, representing a negative effective tax rate of 1% and an effective tax rate of 14%, respectively, as compared to the federal statutory rate of 21%. For the three and six months ended June 30, 2019, the effective tax rate differs from the federal statutory rate due primarily to a tax benefit of $25.0 million resulting from a decrease in valuation allowances for foreign tax assets, and a tax benefit of $7.2 million and $5.6 million relating to uncertain tax positions (including accrued interest), partially offset by state and local income tax expense of $4.1 million and $7.3 million, respectively. The decrease in the valuation allowance is primarily due to the expected utilization of foreign net operating loss carryforwards resulting from the planned implementation of certain tax planning strategies. The tax benefit relating to uncertain tax positions is primarily due to an audit settlement and the filing of state income tax returns under a voluntary disclosure agreement.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June 30, 2020, the Company had foreign tax credit carry forwards of approximately $32.2 million, expiring on various dates from 2022 through 2030. These carryforwards have been reduced by a valuation allowance of $30.6 million as it is more likely than not that these carry forwards will not be realized. For the six months ended June 30, 2020, $0.7 million relating to amortization of tax deductible second component goodwill was realized as a reduction in tax liability (as determined on a 'with-and-without' approach).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June 30, 2020, the Company's contractual obligations not reflected on the Company's condensed consolidated balance sheet decreased $104.0 million, as compared to December 31, 2019, to $829.9 million. The decrease primarily relates to payments for program rights and marketing commitments.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79"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participation 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 have agreed to consolidate this action for a joint trial with the action Plaintiffs filed in the New York Supreme Court on December 17, 2013. Following the conclusion of discovery, the Company filed a motion for summary judgment seeking the dismissal of the second action, which was denied on April 13, 2020. Due to the continued impact of the Coronavirus pandemic on the New York State courts, the joint trial, originally scheduled to begin on June 1, 2020, has been further delayed and is currently scheduled to begin on April 26, 2021.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7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On August 8, 2019, the judge in the California Action ordered a trial to resolve certain issues of contract interpretation only. The trial commenced on February 10, 2020 and concluded on March 10, 2020 after eight days of trial. On July 22, 2020, the judge in the California Action issued a Statement of Decision finding in the Company's favor on all seven matters of contract interpretation before the court in this first phase trial. At this time, no determination can be made as to the ultimate outcome of this litigation or the potential liability, if any, on the part of the Company.</w:t>
      </w:r>
    </w:p>
    <w:p>
      <w:pPr>
        <w:spacing w:after="0" w:line="7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Plans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June 2020, AMC Networks granted 54,535 restricted stock units ("RSUs") under the 2011 Stock Plan for Non-Employee Directors to non-employee directors that vested on the date of grant.</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AMC Networks granted 1,171,956 RSUs to certain executive officers and employees under the AMC Networks Inc. 2016 Employee Stock Plan. The RSUs vest ratably over a three-year period and the vesting criteria for 380,142 RSUs include the achievement of certain performance targets by the Company.</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the six months ended June 30, 2020, 477,764 RSUs and 325,836 PRSUs of AMC Networks Class A Common Stock previously issued to employees of the Company vested. On the vesting date, 199,377 RSUs and 142,882 PRSUs were surrendered to the Company to cover the required statutory tax withholding obligations and 278,387 RSU and 182,954 PRSU new shares of AMC Networks Class A Common Stock were issued. The units surrendered to satisfy the employees' statutory minimum tax withholding obligations for the applicable income and other employment tax had an aggregate value of $8.9 million, which has been reflected as a financing activity in the condensed consolidated statement of cash flows for the six months ended June 30, 2020.</w:t>
      </w:r>
    </w:p>
    <w:p>
      <w:pPr>
        <w:spacing w:after="0" w:line="84"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Share-based compensation expense included in selling, general and administrative expense was $15.2 million and $30.7 million for the three and six months ended June 30, 2020, respectively, and $16.7 million and $36.6 million the for three and six months ended June 30, 2019, respectively.</w:t>
      </w:r>
    </w:p>
    <w:p>
      <w:pPr>
        <w:spacing w:after="0" w:line="16"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As of June 30, 2020, there was $59.7 million of total unrecognized share-based compensation cost related to outstanding unvested share-based awards. The unrecognized compensation cost is expected to be recognized over a weighted-average remaining period of approximately 1.8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Redeemable Noncontrolling Interests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six months ended June 30,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2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r>
      <w:tr>
        <w:trPr>
          <w:trHeight w:val="23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2020</w:t>
            </w: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309,451</w:t>
            </w:r>
          </w:p>
        </w:tc>
      </w:tr>
      <w:tr>
        <w:trPr>
          <w:trHeight w:val="243"/>
        </w:trPr>
        <w:tc>
          <w:tcPr>
            <w:tcW w:w="9220" w:type="dxa"/>
            <w:vAlign w:val="bottom"/>
          </w:tcPr>
          <w:p>
            <w:pPr>
              <w:ind w:left="340"/>
              <w:spacing w:after="0"/>
              <w:rPr>
                <w:sz w:val="20"/>
                <w:szCs w:val="20"/>
                <w:color w:val="auto"/>
              </w:rPr>
            </w:pPr>
            <w:r>
              <w:rPr>
                <w:rFonts w:ascii="Arial" w:cs="Arial" w:eastAsia="Arial" w:hAnsi="Arial"/>
                <w:sz w:val="18"/>
                <w:szCs w:val="18"/>
                <w:color w:val="auto"/>
              </w:rPr>
              <w:t>Net earnings</w:t>
            </w:r>
          </w:p>
        </w:tc>
        <w:tc>
          <w:tcPr>
            <w:tcW w:w="48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8,217</w:t>
            </w:r>
          </w:p>
        </w:tc>
      </w:tr>
      <w:tr>
        <w:trPr>
          <w:trHeight w:val="27"/>
        </w:trPr>
        <w:tc>
          <w:tcPr>
            <w:tcW w:w="9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(10,159)</w:t>
            </w:r>
          </w:p>
        </w:tc>
      </w:tr>
      <w:tr>
        <w:trPr>
          <w:trHeight w:val="243"/>
        </w:trPr>
        <w:tc>
          <w:tcPr>
            <w:tcW w:w="9220" w:type="dxa"/>
            <w:vAlign w:val="bottom"/>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23</w:t>
            </w:r>
          </w:p>
        </w:tc>
      </w:tr>
      <w:tr>
        <w:trPr>
          <w:trHeight w:val="27"/>
        </w:trPr>
        <w:tc>
          <w:tcPr>
            <w:tcW w:w="9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307,532</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$1.2 million and $1.2 million for the three months ended June 30, 2020 and 2019, respectively, and $2.4 million and $2.4 million for the six months ended June 30, 2020 and 2019, respectively. Amounts charged to the Company, included in selling, general and administrative expenses, pursuant to transactions with its related parties amounted to $0.1 million and $0.3 million for the three months ended June 30, 2020 and 2019, respectively, and $0.1 million and $0.8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18"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37465</wp:posOffset>
            </wp:positionV>
            <wp:extent cx="21774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r>
      <w:tr>
        <w:trPr>
          <w:trHeight w:val="24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Treasury stock not yet settled</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832</w:t>
            </w:r>
          </w:p>
        </w:tc>
      </w:tr>
      <w:tr>
        <w:trPr>
          <w:trHeight w:val="27"/>
        </w:trPr>
        <w:tc>
          <w:tcPr>
            <w:tcW w:w="5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Finance lease additions</w:t>
            </w:r>
          </w:p>
        </w:tc>
        <w:tc>
          <w:tcPr>
            <w:tcW w:w="2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14,266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Capital expenditures incurred but not yet paid</w:t>
            </w:r>
          </w:p>
        </w:tc>
        <w:tc>
          <w:tcPr>
            <w:tcW w:w="24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1,731</w:t>
            </w:r>
          </w:p>
        </w:tc>
      </w:tr>
      <w:tr>
        <w:trPr>
          <w:trHeight w:val="27"/>
        </w:trPr>
        <w:tc>
          <w:tcPr>
            <w:tcW w:w="5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Data:</w:t>
            </w:r>
          </w:p>
        </w:tc>
        <w:tc>
          <w:tcPr>
            <w:tcW w:w="2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Cash interest paid</w:t>
            </w:r>
          </w:p>
        </w:tc>
        <w:tc>
          <w:tcPr>
            <w:tcW w:w="24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68,129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76,664</w:t>
            </w:r>
          </w:p>
        </w:tc>
      </w:tr>
      <w:tr>
        <w:trPr>
          <w:trHeight w:val="27"/>
        </w:trPr>
        <w:tc>
          <w:tcPr>
            <w:tcW w:w="5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 net</w:t>
            </w:r>
          </w:p>
        </w:tc>
        <w:tc>
          <w:tcPr>
            <w:tcW w:w="2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29,723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77,985</w:t>
            </w:r>
          </w:p>
        </w:tc>
      </w:tr>
      <w:tr>
        <w:trPr>
          <w:trHeight w:val="27"/>
        </w:trPr>
        <w:tc>
          <w:tcPr>
            <w:tcW w:w="57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7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cloud computing amortization, share-based compensation expense or benefit, impairment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 2020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187,434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14,810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202,244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308,416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146,170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444,047</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495,850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160,980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646,291</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187,532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48,802</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12,366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15,235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25,905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130,411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1,418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209,934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15,101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225,278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Three Months Ended June 30, 2019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r>
      <w:tr>
        <w:trPr>
          <w:trHeight w:val="249"/>
        </w:trPr>
        <w:tc>
          <w:tcPr>
            <w:tcW w:w="4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219,490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23,535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242,976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385,249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155,991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529,323</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604,739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179,526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772,299</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170,257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13,821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16,725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25,893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16,888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17,162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1,608</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236,472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11,830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(16,657)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231,645</w:t>
            </w:r>
          </w:p>
        </w:tc>
      </w:tr>
      <w:tr>
        <w:trPr>
          <w:trHeight w:val="21"/>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03"/>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Six Months Ended June 30, 2020</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400,660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34,174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434,833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662,129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297,299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945,833</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1,062,789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331,473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1,380,666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382,756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221,772</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24,832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30,747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52,635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130,411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9,473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2,694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427,522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22,770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447,732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683"/>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Six Months Ended June 30, 2019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458,579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44,741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503,269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762,279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305,874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1,053,251</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1,220,858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350,615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1,556,520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415,120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30,090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36,624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49,949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19,804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3,188</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513,159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21,772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524,685</w:t>
            </w:r>
          </w:p>
        </w:tc>
      </w:tr>
      <w:tr>
        <w:trPr>
          <w:trHeight w:val="21"/>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8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w w:val="92"/>
              </w:rPr>
              <w:t>Three Months Ended June 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7"/>
          </w:tcPr>
          <w:p>
            <w:pPr>
              <w:ind w:left="32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1"/>
                <w:szCs w:val="2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National Networks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(10,180)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(11,650)</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 and Other</w:t>
            </w: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2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18"/>
        </w:trPr>
        <w:tc>
          <w:tcPr>
            <w:tcW w:w="5240" w:type="dxa"/>
            <w:vAlign w:val="bottom"/>
            <w:gridSpan w:val="2"/>
          </w:tcPr>
          <w:p>
            <w:pPr>
              <w:ind w:left="420"/>
              <w:spacing w:after="0"/>
              <w:rPr>
                <w:sz w:val="20"/>
                <w:szCs w:val="20"/>
                <w:color w:val="auto"/>
              </w:rPr>
            </w:pPr>
            <w:r>
              <w:rPr>
                <w:rFonts w:ascii="Arial" w:cs="Arial" w:eastAsia="Arial" w:hAnsi="Arial"/>
                <w:sz w:val="18"/>
                <w:szCs w:val="18"/>
                <w:color w:val="auto"/>
                <w:w w:val="89"/>
              </w:rPr>
              <w:t>The table below summarizes revenues based on customer location:</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w w:val="92"/>
              </w:rPr>
              <w:t>Three Months Ended June 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7"/>
          </w:tcPr>
          <w:p>
            <w:pPr>
              <w:ind w:left="32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1"/>
                <w:szCs w:val="2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523,395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605,114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1,148,388</w:t>
            </w:r>
          </w:p>
        </w:tc>
        <w:tc>
          <w:tcPr>
            <w:tcW w:w="140" w:type="dxa"/>
            <w:vAlign w:val="bottom"/>
          </w:tcPr>
          <w:p>
            <w:pPr>
              <w:spacing w:after="0"/>
              <w:rPr>
                <w:sz w:val="21"/>
                <w:szCs w:val="21"/>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1,267,578</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191,417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31,060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67,963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97,525</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646,291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772,299</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1,380,666</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1,556,520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6360" w:type="dxa"/>
            <w:vAlign w:val="bottom"/>
            <w:gridSpan w:val="4"/>
          </w:tcPr>
          <w:p>
            <w:pPr>
              <w:ind w:left="420"/>
              <w:spacing w:after="0"/>
              <w:rPr>
                <w:sz w:val="20"/>
                <w:szCs w:val="20"/>
                <w:color w:val="auto"/>
              </w:rPr>
            </w:pPr>
            <w:r>
              <w:rPr>
                <w:rFonts w:ascii="Arial" w:cs="Arial" w:eastAsia="Arial" w:hAnsi="Arial"/>
                <w:sz w:val="18"/>
                <w:szCs w:val="18"/>
                <w:color w:val="auto"/>
                <w:w w:val="94"/>
              </w:rPr>
              <w:t>The table below summarizes property and equipment based on asset location:</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w w:val="92"/>
              </w:rPr>
              <w:t>June 30, 2020</w:t>
            </w:r>
          </w:p>
        </w:tc>
        <w:tc>
          <w:tcPr>
            <w:tcW w:w="140" w:type="dxa"/>
            <w:vAlign w:val="bottom"/>
          </w:tcPr>
          <w:p>
            <w:pPr>
              <w:spacing w:after="0"/>
              <w:rPr>
                <w:sz w:val="24"/>
                <w:szCs w:val="24"/>
                <w:color w:val="auto"/>
              </w:rPr>
            </w:pPr>
          </w:p>
        </w:tc>
        <w:tc>
          <w:tcPr>
            <w:tcW w:w="16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2019</w:t>
            </w:r>
          </w:p>
        </w:tc>
      </w:tr>
      <w:tr>
        <w:trPr>
          <w:trHeight w:val="249"/>
        </w:trPr>
        <w:tc>
          <w:tcPr>
            <w:tcW w:w="4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246,786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244,175</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25,925</w:t>
            </w:r>
          </w:p>
        </w:tc>
        <w:tc>
          <w:tcPr>
            <w:tcW w:w="20" w:type="dxa"/>
            <w:vAlign w:val="bottom"/>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13,652</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259,783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283,752</w:t>
            </w:r>
          </w:p>
        </w:tc>
        <w:tc>
          <w:tcPr>
            <w:tcW w:w="20" w:type="dxa"/>
            <w:vAlign w:val="bottom"/>
          </w:tcPr>
          <w:p>
            <w:pPr>
              <w:spacing w:after="0"/>
              <w:rPr>
                <w:sz w:val="24"/>
                <w:szCs w:val="24"/>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For the six months ended June 30, 2020, impairment charges were recorded related to certain property and equipment in Europe and Other. See Note 7 for additional details regarding the impairment test of long-lived assets.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right="30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8" w:lineRule="exact"/>
        <w:rPr>
          <w:rFonts w:ascii="Arial" w:cs="Arial" w:eastAsia="Arial" w:hAnsi="Arial"/>
          <w:sz w:val="18"/>
          <w:szCs w:val="18"/>
          <w:color w:val="auto"/>
        </w:rPr>
      </w:pPr>
    </w:p>
    <w:p>
      <w:pPr>
        <w:ind w:left="820" w:right="18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new and proposed federal, state and international laws and regulations relating to data protection, privacy and security, including the E.U. General Data Protection Regulation;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Brexit, particularly in the event of the U.K.'s departure from the E.U. without an agreement on terms;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left="820" w:right="2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8" w:lineRule="exact"/>
        <w:rPr>
          <w:rFonts w:ascii="Arial" w:cs="Arial" w:eastAsia="Arial" w:hAnsi="Arial"/>
          <w:sz w:val="18"/>
          <w:szCs w:val="18"/>
          <w:color w:val="auto"/>
        </w:rPr>
      </w:pPr>
    </w:p>
    <w:p>
      <w:pPr>
        <w:ind w:left="820" w:right="620" w:hanging="326"/>
        <w:spacing w:after="0" w:line="308"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factors described under Item 1A, "Risk Factors" in our 2019 Annual Report on Form 10-K (the "2019 Form 10-K"), as filed with the Securities and Exchange Commission ("SEC") and under 1A, "Risk Factors" in this Quarterly Report on Form 10-Q.</w:t>
      </w:r>
    </w:p>
    <w:p>
      <w:pPr>
        <w:spacing w:after="0" w:line="3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2019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June 30, 2019. Our discussion is presented on both a consolidated and operating segment basis. Our two operating segments are: (i) National Networks and (ii) International and Other.</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June 30, 2020, as well as an analysis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for the six months ended June 30, 2020 and 2019. The discussion of our financial condition and liquidity includes summaries of (i) our primary sources of liquidity and (ii) our contractual obligations that existed at June 30, 2020 as compared to December 31, 2019.</w:t>
      </w:r>
    </w:p>
    <w:p>
      <w:pPr>
        <w:spacing w:after="0" w:line="5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5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Our national programming networks are AMC, WE tv, BBC AMERICA, IFC, and SundanceTV and also include our AMC Premiere service. Our AMC Studios operation produces original programming for our programming networks and also licenses such programming worldwide. AMC Networks Broadcasting &amp; Technology is our technical services business, which primarily services most of the national programming networks.</w:t>
      </w:r>
    </w:p>
    <w:p>
      <w:pPr>
        <w:spacing w:after="0" w:line="79"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AMC Networks SVOD, consisting of our targeted subscription streaming services (Acorn TV, Shudder, Sundance Now, UMC) and other subscription video on demand ("SVOD") initiatives; Levity, our production services and comedy venues business; and IFC Films, our independent film distribution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94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446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44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 net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495,850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604,739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1,062,789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1,220,858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160,980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331,473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646,291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772,299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1,380,666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1,556,520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4"/>
            <w:vMerge w:val="restart"/>
          </w:tcPr>
          <w:p>
            <w:pPr>
              <w:spacing w:after="0" w:line="189" w:lineRule="exact"/>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446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187,532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382,756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465,702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(138,973)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(158,424)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48,802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170,257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221,772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415,120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4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AOI</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209,934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236,472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427,522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513,159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225,278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231,645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447,732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524,685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cloud computing amortization, share-based compensation expense or benefit, impairment charges (including gains or losses on sales or dispositions of businesses), restructuring and other related charges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94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r>
      <w:tr>
        <w:trPr>
          <w:trHeight w:val="24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48,802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415,120</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30,747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36,624</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25,905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52,635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49,949</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17,162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9,473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19,804</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130,411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3,188</w:t>
            </w:r>
          </w:p>
        </w:tc>
      </w:tr>
      <w:tr>
        <w:trPr>
          <w:trHeight w:val="27"/>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225,278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231,645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447,732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524,685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the World Health Organization characterized the novel coronavirus ("COVID-19") a pandemic, and the President of the United States declared the COVID-19 outbreak a national emergency. The rapid spread of the pandemic and the continuously evolving responses to combat it have had an increasingly negative impact on the global economy.</w:t>
      </w:r>
    </w:p>
    <w:p>
      <w:pPr>
        <w:spacing w:after="0" w:line="7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impact of COVID-19 and measures to prevent its spread are affecting our businesses in a number of ways. Beginning in mid-March, we have experienced adverse advertising sales impacts, suspended content production, which has led to delays in the creation and availability of substantially all of our programming, and the temporary closure of our comedy venues. Operationally, nearly all of our employees are working remotely, and we have restricted business travel. If significant portions of our workforce, including key personnel, are unable to work effectively because of illness, government actions or other restrictions in connection with the COVID-19 pandemic, the impact of the pandemic on our businesses could be exacerbated.</w:t>
      </w:r>
    </w:p>
    <w:p>
      <w:pPr>
        <w:spacing w:after="0" w:line="5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The Company has evaluated and continues to evaluate the potential impact of the COVID-19 pandemic on its consolidated financial statements, including the impairment of goodwill (see Note 7) and indefinite-lived intangible assets and the fair value and collectibility of receivables. The COVID-19 pandemic has had a material impact on the Company's operations since mid-March 2020.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a vaccine, and global economic conditions. The Company does not expect the COVID-19 pandemic and its related economic impact to affect its liquidity position or its ongoing ability to meet the covenants in its debt instruments.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11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our National Networks segment,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7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 August 5, 2020, the Company filed a program carriage complaint with the Federal Communications Commission (the "FCC") alleging that, in connection with the negotiation of a new affiliation agreement between AT&amp;T and the Company, AT&amp;T has been engaging in discriminatory conduct that violates Section 616 of the Communications Act of 1934, as amended, and the FCC’s program carriage rules.</w:t>
      </w:r>
    </w:p>
    <w:p>
      <w:pPr>
        <w:spacing w:after="0" w:line="7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from owned original programming in each period as these costs are amortized based on the individual-film-forecast-computation method.</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included in technical and operating expense, were $7.5 million and $13.4 million for the six months ended June 30, 2020 and June 30, 2019, respectively.</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AMC Networks SVOD, Levity, and IFC Films.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In our International and Other segment, we earn revenue principally from the international distribution of programming and, to a lesser extent, the sale of advertising from our AMCNI programming networks. We also earn revenue from; (i) production services from Levity, (ii) our subscription streaming services Acorn TV, Shudder, Sundance Now and UMC (Urban Movie Channel) from our AMC Networks SVOD business, (iii) the distribution of content of IFC Films and RLJE, and (iv) Levity's operation of comedy venues (all of which are temporarily closed as a result of the COVID-19 pandemic). For the six months ended June 30, 2020, distribution revenues represented 90% of the revenues of the International and Other segment. Distribution revenue primarily includes subscription fees paid by distributors or consumers to carry our programming networks or subscription-based streaming services and production services revenue generated from Levity. Our subscription revenues are generally based on either a per-subscriber fee or a fixed contractual annual fee, under multi-year affiliation agreements, which may provide for annual rate increases, and a monthly fee paid by consumers for our subscription-based streaming services.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 as well as from our owned subscription streaming services available in the United States, Canada, Latin America, parts of Europe, India, Australia and New Zealand.</w:t>
      </w:r>
    </w:p>
    <w:p>
      <w:pPr>
        <w:spacing w:after="0" w:line="7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Capital and credit market disruptions, as well as other events such as the COVID-19 pandemic,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4"/>
                <w:szCs w:val="14"/>
                <w:b w:val="1"/>
                <w:bCs w:val="1"/>
                <w:color w:val="auto"/>
                <w:w w:val="83"/>
              </w:rPr>
              <w:t>2019</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left="124"/>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w w:val="94"/>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646,291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772,299</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(126,008)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Technical and operating (excluding depreciation</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282,503</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385,623</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8"/>
              </w:rPr>
              <w:t>(103,120)</w:t>
            </w:r>
          </w:p>
        </w:tc>
        <w:tc>
          <w:tcPr>
            <w:tcW w:w="1140" w:type="dxa"/>
            <w:vAlign w:val="bottom"/>
            <w:gridSpan w:val="2"/>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155,163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173,364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(18,201)</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130,411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17,162</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(13,655)</w:t>
            </w:r>
          </w:p>
        </w:tc>
        <w:tc>
          <w:tcPr>
            <w:tcW w:w="11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0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597,489</w:t>
            </w:r>
          </w:p>
        </w:tc>
        <w:tc>
          <w:tcPr>
            <w:tcW w:w="12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602,042</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(4,553)</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170,257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(121,455)</w:t>
            </w:r>
          </w:p>
        </w:tc>
        <w:tc>
          <w:tcPr>
            <w:tcW w:w="11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4,397</w:t>
            </w:r>
          </w:p>
        </w:tc>
        <w:tc>
          <w:tcPr>
            <w:tcW w:w="11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Miscellaneous, net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11,410</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(423.1)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(37,668)</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15,807</w:t>
            </w:r>
          </w:p>
        </w:tc>
        <w:tc>
          <w:tcPr>
            <w:tcW w:w="11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w w:val="94"/>
              </w:rPr>
              <w:t>Net income from operations before income taxes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26,941</w:t>
            </w:r>
          </w:p>
        </w:tc>
        <w:tc>
          <w:tcPr>
            <w:tcW w:w="12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132,589</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(105,648)</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(11,103)</w:t>
            </w:r>
          </w:p>
        </w:tc>
        <w:tc>
          <w:tcPr>
            <w:tcW w:w="11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(795.3)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133,985</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(116,751)</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14,961</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128,743</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w w:val="98"/>
              </w:rPr>
              <w:t>(113,782)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3"/>
          </w:tcPr>
          <w:p>
            <w:pPr>
              <w:ind w:left="4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left="101"/>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495,850</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604,739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(108,889)</w:t>
            </w:r>
          </w:p>
        </w:tc>
        <w:tc>
          <w:tcPr>
            <w:tcW w:w="11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95"/>
              </w:rPr>
              <w:t>(18.0)%</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Technical and operating (excluding depreciation</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203,074</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269,147</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(66,073)</w:t>
            </w:r>
          </w:p>
        </w:tc>
        <w:tc>
          <w:tcPr>
            <w:tcW w:w="114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95,208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112,941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(17,733)</w:t>
            </w: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643</w:t>
            </w:r>
          </w:p>
        </w:tc>
        <w:tc>
          <w:tcPr>
            <w:tcW w:w="11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94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187,532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214,198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(26,666)</w:t>
            </w:r>
          </w:p>
        </w:tc>
        <w:tc>
          <w:tcPr>
            <w:tcW w:w="11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95"/>
              </w:rPr>
              <w:t>(12.4)%</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12,366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13,821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(1,455)</w:t>
            </w: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643</w:t>
            </w:r>
          </w:p>
        </w:tc>
        <w:tc>
          <w:tcPr>
            <w:tcW w:w="11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(26,538)</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(11.2)%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left="101"/>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0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160,980</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Technical and operating (excluding depreciation</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90,198</w:t>
            </w: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111,722</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(21,524)</w:t>
            </w:r>
          </w:p>
        </w:tc>
        <w:tc>
          <w:tcPr>
            <w:tcW w:w="114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59,968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60,486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1140" w:type="dxa"/>
            <w:vAlign w:val="bottom"/>
            <w:gridSpan w:val="2"/>
          </w:tcPr>
          <w:p>
            <w:pPr>
              <w:jc w:val="right"/>
              <w:ind w:right="95"/>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c>
          <w:tcPr>
            <w:tcW w:w="1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4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130,411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130,411</w:t>
            </w: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(14,595)</w:t>
            </w:r>
          </w:p>
        </w:tc>
        <w:tc>
          <w:tcPr>
            <w:tcW w:w="1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(138,973)</w:t>
            </w:r>
          </w:p>
        </w:tc>
        <w:tc>
          <w:tcPr>
            <w:tcW w:w="80" w:type="dxa"/>
            <w:vAlign w:val="bottom"/>
            <w:tcBorders>
              <w:top w:val="single" w:sz="8" w:color="auto"/>
            </w:tcBorders>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(27,284)</w:t>
            </w:r>
          </w:p>
        </w:tc>
        <w:tc>
          <w:tcPr>
            <w:tcW w:w="100" w:type="dxa"/>
            <w:vAlign w:val="bottom"/>
            <w:tcBorders>
              <w:top w:val="single" w:sz="8" w:color="auto"/>
            </w:tcBorders>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(111,689)</w:t>
            </w: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17,083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17,714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140" w:type="dxa"/>
            <w:vAlign w:val="bottom"/>
            <w:gridSpan w:val="2"/>
          </w:tcPr>
          <w:p>
            <w:pPr>
              <w:jc w:val="right"/>
              <w:ind w:right="95"/>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130,411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130,411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16,888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(14,595)</w:t>
            </w:r>
          </w:p>
        </w:tc>
        <w:tc>
          <w:tcPr>
            <w:tcW w:w="1140" w:type="dxa"/>
            <w:vAlign w:val="bottom"/>
            <w:gridSpan w:val="2"/>
          </w:tcPr>
          <w:p>
            <w:pPr>
              <w:jc w:val="right"/>
              <w:ind w:right="95"/>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14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4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15,101</w:t>
            </w:r>
          </w:p>
        </w:tc>
        <w:tc>
          <w:tcPr>
            <w:tcW w:w="80" w:type="dxa"/>
            <w:vAlign w:val="bottom"/>
            <w:tcBorders>
              <w:top w:val="single" w:sz="8" w:color="auto"/>
              <w:bottom w:val="single" w:sz="8" w:color="auto"/>
            </w:tcBorders>
          </w:tcPr>
          <w:p>
            <w:pPr>
              <w:spacing w:after="0"/>
              <w:rPr>
                <w:sz w:val="22"/>
                <w:szCs w:val="22"/>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11,830</w:t>
            </w:r>
          </w:p>
        </w:tc>
        <w:tc>
          <w:tcPr>
            <w:tcW w:w="100" w:type="dxa"/>
            <w:vAlign w:val="bottom"/>
            <w:tcBorders>
              <w:top w:val="single" w:sz="8" w:color="auto"/>
              <w:bottom w:val="single" w:sz="8" w:color="auto"/>
            </w:tcBorders>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3,271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3"/>
          </w:tcPr>
          <w:p>
            <w:pPr>
              <w:jc w:val="right"/>
              <w:ind w:right="408"/>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net decreased $126.0 million to $646.3 million for the three months ended June 30, 2020 as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total</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24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495,850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604,739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(108,889)</w:t>
            </w: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8"/>
              </w:rPr>
              <w:t>(18.0)%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160,980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179,526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(18,546)</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(10.3)</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(10,539)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(11,966)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1,427</w:t>
            </w:r>
          </w:p>
        </w:tc>
        <w:tc>
          <w:tcPr>
            <w:tcW w:w="13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(11.9)</w:t>
            </w:r>
          </w:p>
        </w:tc>
      </w:tr>
      <w:tr>
        <w:trPr>
          <w:trHeight w:val="263"/>
        </w:trPr>
        <w:tc>
          <w:tcPr>
            <w:tcW w:w="362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646,291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772,299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(126,008)</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w w:val="98"/>
              </w:rPr>
              <w:t>(16.3)%</w:t>
            </w:r>
          </w:p>
        </w:tc>
      </w:tr>
      <w:tr>
        <w:trPr>
          <w:trHeight w:val="21"/>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187,434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219,490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(32,056)</w:t>
            </w: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8"/>
              </w:rPr>
              <w:t>(14.6)%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308,416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385,249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(76,833)</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(19.9)</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495,850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604,739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(108,889)</w:t>
            </w: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8"/>
              </w:rPr>
              <w:t>(18.0)%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decrease of $32.1 million in advertising revenues was primarily attributable to the timing of our original programming and the impact of the COVID-19 pandemic, both of which resulted in lower pricing across all of our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5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revenues decreased $76.8 million due to a decrease of $28.3 million in subscription revenues as compared to the prior comparable period due to lower subscribers. Content licensing revenues decreased $48.5 million due to a decrease in the number of original programs we distributed.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4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14,810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23,535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(8,725)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146,170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155,991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(9,821)</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(6.3)</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9"/>
        </w:trPr>
        <w:tc>
          <w:tcPr>
            <w:tcW w:w="36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160,980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179,526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(18,546)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Advertising revenues decreased $7.7 million at AMCNI, excluding the impact of foreign currency fluctuations, primarily related to lower demand resulting from the impact of the COVID-19 pandemic. Foreign currency translation had an unfavorable impact to advertising revenues of $1.0 million. Distribution revenues decreased $25.6 million at Levity, due to the impact of the COVID-19 pandemic on its operations, which resulted in a temporary halt in production activities and closure of comedy venues. The decrease in distribution revenues was partially offset by an increase of $21.9 million related to an increase in subscription revenues at AMC Networks SVOD targeted streaming services. In addition, distribution revenues decreased $3.5 million at IFC Films and $2.1 million at AMCNI, excluding the impact of foreign currency fluctuations. Foreign currency translation had an unfavorable impact to distribution revenues of $2.7 million.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6"/>
          <w:szCs w:val="16"/>
          <w:color w:val="auto"/>
        </w:rPr>
        <w:t>Technical and operating expense (excluding depreciation and amortization) decreased $103.1 million to $282.5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as compared to the three months ended June 30, 2019.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203,074</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269,147</w:t>
            </w:r>
          </w:p>
        </w:tc>
        <w:tc>
          <w:tcPr>
            <w:tcW w:w="860" w:type="dxa"/>
            <w:vAlign w:val="bottom"/>
            <w:tcBorders>
              <w:bottom w:val="single" w:sz="8" w:color="CCEEFF"/>
            </w:tcBorders>
            <w:gridSpan w:val="3"/>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(66,073)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90,198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(21,524)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496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282,503</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385,623</w:t>
            </w:r>
          </w:p>
        </w:tc>
        <w:tc>
          <w:tcPr>
            <w:tcW w:w="2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(103,120)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decrease in technical and operating expense of $66.1 million was due to a decrease in program amortization of $64.8 million primarily attributable to the mix of original programming as compared to the prior comparable period, which was impacted by the production stoppages resulting from the COVID-19 pandemic. In addition, other direct programming costs decreased $1.3 million. Program rights amortization expense includes write-offs of $7.5 million and $10.1 million for the three months ended June 30, 2020 and June 30, 2019, respectively. Program write-offs are based on management's periodic assessment of programming usefulness.</w:t>
      </w:r>
    </w:p>
    <w:p>
      <w:pPr>
        <w:spacing w:after="0" w:line="8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Technical and operating expense decreased $17.0 million related to Levity, $6.1 million at AMCNI and $2.6 million at IFC Films. The decrease at Levity was due to the impact of the COVID-19 pandemic on its operations, which resulted in a temporary halt in production activities and closure of comedy venues. These decreases were partially offset by an increase of $4.4 million at AMC Networks SVOD targeted streaming services. Foreign currency translation had a favorable impact to the change in technical and operating expense of $2.3 million.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decreased $18.2 million to $155.2 million for the three months ended June 30, 2020, as compared to the three months ended June 30, 2019.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95,208</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112,941</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(17,733)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59,968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60,486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(518)</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(0.9)</w:t>
            </w: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w:t>
            </w:r>
          </w:p>
        </w:tc>
        <w:tc>
          <w:tcPr>
            <w:tcW w:w="16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(79.4)</w:t>
            </w:r>
          </w:p>
        </w:tc>
      </w:tr>
      <w:tr>
        <w:trPr>
          <w:trHeight w:val="263"/>
        </w:trPr>
        <w:tc>
          <w:tcPr>
            <w:tcW w:w="496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155,163</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173,364</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(18,201)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Selling, general and administrative expense decreased $17.7 million principally due to a decrease in advertising and marketing expenses of $15.8 million related to the mix of original programming, which was impacted by the COVID-19 pandemic.</w:t>
      </w:r>
    </w:p>
    <w:p>
      <w:pPr>
        <w:spacing w:after="0" w:line="6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Selling, general and administrative expense decreased $0.5 million. Decreases in selling, general and administrative expense included $5.5 million at AMCNI primarily related to advertising and marketing expenses, and $5.8 million at Levity primarily related to the impact of the COVID-19 pandemic. These decreases were partially offset by an increase of $13.0 million at AMC Networks SVOD targeted streaming services primarily related to advertising and marketing expenses. Foreign currency translation had a favorable impact to the change in selling, general and administrative expense of $1.3 million.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 was $25.9 million for both the three months ended June 30, 2020 and June 30, 2019.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643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17,083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17,714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(631)</w:t>
            </w:r>
          </w:p>
        </w:tc>
        <w:tc>
          <w:tcPr>
            <w:tcW w:w="1600" w:type="dxa"/>
            <w:vAlign w:val="bottom"/>
            <w:gridSpan w:val="2"/>
          </w:tcPr>
          <w:p>
            <w:pPr>
              <w:jc w:val="right"/>
              <w:ind w:right="99"/>
              <w:spacing w:after="0"/>
              <w:rPr>
                <w:sz w:val="20"/>
                <w:szCs w:val="20"/>
                <w:color w:val="auto"/>
              </w:rPr>
            </w:pPr>
            <w:r>
              <w:rPr>
                <w:rFonts w:ascii="Arial" w:cs="Arial" w:eastAsia="Arial" w:hAnsi="Arial"/>
                <w:sz w:val="18"/>
                <w:szCs w:val="18"/>
                <w:color w:val="auto"/>
              </w:rPr>
              <w:t>(3.6)</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50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25,905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25,893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As a result of the continuing impact of the COVID-19 pandemic, we qualitatively assessed whether it was more likely than not that goodwill and long-lived assets were impaired as of June 30, 2020. Based on our current projections and updated forecasts, we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$105.3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$3.5 million for the three months ended June 30, 2020 primarily consisted of charges at AMCNI of $2.3 million related to costs associated with termination of distribution in certain territories and charges of $1.2 million related to severance associated with previously announced restructuring activities.</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Restructuring expense of $17.2 million for the three months ended June 30, 2019 primarily related to the direct to consumer re-organization and consisted of severance and other personnel related costs of $1.3 million and programming write-offs of $13.0 million related to a change in programming strategy, as well as $2.9 million related to severance associated with previously announced restructuring activities.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187,532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214,198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(26,666)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(138,973)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(27,284)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(111,689)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16,900</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50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48,802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170,257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(121,455)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(71.3)%</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decrease in operating income at the National Networks segment was primarily attributable to a decrease in revenue of $108.9 million, partially offset by a decrease in technical and operating expense of $66.1 million and a decrease in selling, general and administrative expense of $17.7 million.</w:t>
      </w:r>
    </w:p>
    <w:p>
      <w:pPr>
        <w:spacing w:after="0" w:line="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operating losses at the International and Other segment was primarily attributable to the impairment charges of $130.4 million and a decrease in revenues of $18.5 million, partially offset by a decrease in technical and operating expense of $21.5 and a decrease in restructuring and other related charges of $14.6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48,802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(121,455)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15,235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(1,490)</w:t>
            </w:r>
          </w:p>
        </w:tc>
        <w:tc>
          <w:tcPr>
            <w:tcW w:w="1600" w:type="dxa"/>
            <w:vAlign w:val="bottom"/>
            <w:gridSpan w:val="2"/>
          </w:tcPr>
          <w:p>
            <w:pPr>
              <w:jc w:val="right"/>
              <w:ind w:right="96"/>
              <w:spacing w:after="0"/>
              <w:rPr>
                <w:sz w:val="20"/>
                <w:szCs w:val="20"/>
                <w:color w:val="auto"/>
              </w:rPr>
            </w:pPr>
            <w:r>
              <w:rPr>
                <w:rFonts w:ascii="Arial" w:cs="Arial" w:eastAsia="Arial" w:hAnsi="Arial"/>
                <w:sz w:val="18"/>
                <w:szCs w:val="18"/>
                <w:color w:val="auto"/>
              </w:rPr>
              <w:t>(8.9)</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25,905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130,411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(13,655)</w:t>
            </w:r>
          </w:p>
        </w:tc>
        <w:tc>
          <w:tcPr>
            <w:tcW w:w="16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(79.6)</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600" w:type="dxa"/>
            <w:vAlign w:val="bottom"/>
            <w:gridSpan w:val="2"/>
          </w:tcPr>
          <w:p>
            <w:pPr>
              <w:jc w:val="right"/>
              <w:ind w:right="96"/>
              <w:spacing w:after="0"/>
              <w:rPr>
                <w:sz w:val="20"/>
                <w:szCs w:val="20"/>
                <w:color w:val="auto"/>
              </w:rPr>
            </w:pPr>
            <w:r>
              <w:rPr>
                <w:rFonts w:ascii="Arial" w:cs="Arial" w:eastAsia="Arial" w:hAnsi="Arial"/>
                <w:sz w:val="18"/>
                <w:szCs w:val="18"/>
                <w:color w:val="auto"/>
              </w:rPr>
              <w:t>(11.8)</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225,278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231,645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(6,367)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AOI decreased $6.4 million for the three months ended June 30, 2020 as compared to the three months ended June 30, 2019.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209,934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236,472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(26,538)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15,101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3,271</w:t>
            </w:r>
          </w:p>
        </w:tc>
        <w:tc>
          <w:tcPr>
            <w:tcW w:w="1600" w:type="dxa"/>
            <w:vAlign w:val="bottom"/>
            <w:gridSpan w:val="2"/>
          </w:tcPr>
          <w:p>
            <w:pPr>
              <w:jc w:val="right"/>
              <w:ind w:right="159"/>
              <w:spacing w:after="0"/>
              <w:rPr>
                <w:sz w:val="20"/>
                <w:szCs w:val="20"/>
                <w:color w:val="auto"/>
              </w:rPr>
            </w:pPr>
            <w:r>
              <w:rPr>
                <w:rFonts w:ascii="Arial" w:cs="Arial" w:eastAsia="Arial" w:hAnsi="Arial"/>
                <w:sz w:val="18"/>
                <w:szCs w:val="18"/>
                <w:color w:val="auto"/>
              </w:rPr>
              <w:t>27.7</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16,900</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225,278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231,645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(6,367)</w:t>
            </w: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AOI decreased at the National Networks segment principally due to a decrease in operating income.</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interest expense, net of $4.4 million is primarily due to lower average outstanding balances.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Miscellaneous, net was income of $8.7 million for the three months ended June 30, 2020 as compared to expense of $2.7 million for the three months ended June 30, 2019. The increase in miscellaneous, net income of $11.4 million was primarily related to an unrealized gain of $14.9 million from certain marketable equity securities, partially offset by unfavorable variance of $2.8 million in the foreign currency remeasurement of monetary assets and liabilities (principally intercompany loans) that are denominated in currencies other than the underlying functional currency of the applicable entity.</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June 30, 2020, income tax expense was $9.7 million representing an effective tax rate of 36%. The effective tax rate differs from the federal statutory rate of 21% due primarily to tax expense from foreign operations of $5.5 million, state and local income tax expense of $2.6 million and tax expense of $2.9 million resulting from an increase in valuation allowances for foreign taxes and U.S. foreign tax credits, partially offset by a tax benefit of $5.2 million relating to uncertain tax positions (including accrued interest) and tax benefit of $1.4 million related to a foreign-derived intangible income deduction. The tax benefit relating to uncertain tax positions is primarily due to an audit settlement and the filing of state income tax returns under a voluntary disclosure agreement.</w:t>
      </w:r>
    </w:p>
    <w:p>
      <w:pPr>
        <w:spacing w:after="0" w:line="8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For the three months ended June 30, 2019, income tax benefit was $1.4 million representing a negative effective tax rate of 1%. The effective tax rate differs from the federal statutory rate of 21% due primarily to a tax benefit of $25.0 million resulting from a decrease in valuation allowances for foreign tax assets, and a tax benefit of $7.2 million relating to uncertain tax positions (including accrued interest), partially offset by state and local income tax expense of $4.1 million. The decrease in the valuation allowance is primarily due to the expected utilization of foreign net operating loss carryforwards resulting from the planned implementation of certain tax planning strategies. The tax benefit relating to uncertain tax positions is primarily due to an audit settlement and the filing of state income tax returns under a voluntary disclosure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1,380,666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1,556,520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(175,854)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Technical and operating (excluding depreciation</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626,563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725,771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(99,208)</w:t>
            </w:r>
          </w:p>
        </w:tc>
        <w:tc>
          <w:tcPr>
            <w:tcW w:w="1120" w:type="dxa"/>
            <w:vAlign w:val="bottom"/>
            <w:gridSpan w:val="2"/>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339,812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345,876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(6,064)</w:t>
            </w:r>
          </w:p>
        </w:tc>
        <w:tc>
          <w:tcPr>
            <w:tcW w:w="1120" w:type="dxa"/>
            <w:vAlign w:val="bottom"/>
            <w:gridSpan w:val="2"/>
          </w:tcPr>
          <w:p>
            <w:pPr>
              <w:jc w:val="right"/>
              <w:ind w:right="9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2,686</w:t>
            </w:r>
          </w:p>
        </w:tc>
        <w:tc>
          <w:tcPr>
            <w:tcW w:w="11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(10,331)</w:t>
            </w:r>
          </w:p>
        </w:tc>
        <w:tc>
          <w:tcPr>
            <w:tcW w:w="11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7"/>
        </w:trPr>
        <w:tc>
          <w:tcPr>
            <w:tcW w:w="400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7"/>
              </w:rPr>
              <w:t>1,158,894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7"/>
              </w:rPr>
              <w:t>1,141,400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17,494</w:t>
            </w:r>
          </w:p>
        </w:tc>
        <w:tc>
          <w:tcPr>
            <w:tcW w:w="1120" w:type="dxa"/>
            <w:vAlign w:val="bottom"/>
            <w:gridSpan w:val="2"/>
          </w:tcPr>
          <w:p>
            <w:pPr>
              <w:jc w:val="right"/>
              <w:ind w:right="15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221,772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415,120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(193,348)</w:t>
            </w:r>
          </w:p>
        </w:tc>
        <w:tc>
          <w:tcPr>
            <w:tcW w:w="11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6,833</w:t>
            </w:r>
          </w:p>
        </w:tc>
        <w:tc>
          <w:tcPr>
            <w:tcW w:w="11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(5,744)</w:t>
            </w:r>
          </w:p>
        </w:tc>
        <w:tc>
          <w:tcPr>
            <w:tcW w:w="11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7"/>
        </w:trPr>
        <w:tc>
          <w:tcPr>
            <w:tcW w:w="4000" w:type="dxa"/>
            <w:vAlign w:val="bottom"/>
          </w:tcPr>
          <w:p>
            <w:pPr>
              <w:ind w:left="66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(87,717)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(85,898)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(1,819)</w:t>
            </w:r>
          </w:p>
        </w:tc>
        <w:tc>
          <w:tcPr>
            <w:tcW w:w="1120" w:type="dxa"/>
            <w:vAlign w:val="bottom"/>
            <w:gridSpan w:val="2"/>
          </w:tcPr>
          <w:p>
            <w:pPr>
              <w:jc w:val="right"/>
              <w:ind w:right="15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Net income from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(195,167)</w:t>
            </w:r>
          </w:p>
        </w:tc>
        <w:tc>
          <w:tcPr>
            <w:tcW w:w="11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1,785</w:t>
            </w:r>
          </w:p>
        </w:tc>
        <w:tc>
          <w:tcPr>
            <w:tcW w:w="1120" w:type="dxa"/>
            <w:vAlign w:val="bottom"/>
            <w:gridSpan w:val="2"/>
          </w:tcPr>
          <w:p>
            <w:pPr>
              <w:jc w:val="right"/>
              <w:ind w:right="9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(193,382)</w:t>
            </w:r>
          </w:p>
        </w:tc>
        <w:tc>
          <w:tcPr>
            <w:tcW w:w="11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4,870</w:t>
            </w:r>
          </w:p>
        </w:tc>
        <w:tc>
          <w:tcPr>
            <w:tcW w:w="1120" w:type="dxa"/>
            <w:vAlign w:val="bottom"/>
            <w:gridSpan w:val="2"/>
          </w:tcPr>
          <w:p>
            <w:pPr>
              <w:jc w:val="right"/>
              <w:ind w:right="96"/>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AMC Networks'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83,628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272,140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(188,512)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121"/>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1,062,789</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1,220,858</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(158,069)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Technical and operating (excluding depreciation</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440,745</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510,407</w:t>
            </w: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(69,662)</w:t>
            </w:r>
          </w:p>
        </w:tc>
        <w:tc>
          <w:tcPr>
            <w:tcW w:w="1320" w:type="dxa"/>
            <w:vAlign w:val="bottom"/>
            <w:gridSpan w:val="2"/>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219,354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227,382</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(8,028)</w:t>
            </w:r>
          </w:p>
        </w:tc>
        <w:tc>
          <w:tcPr>
            <w:tcW w:w="1320" w:type="dxa"/>
            <w:vAlign w:val="bottom"/>
            <w:gridSpan w:val="2"/>
          </w:tcPr>
          <w:p>
            <w:pPr>
              <w:jc w:val="right"/>
              <w:ind w:right="1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420</w:t>
            </w:r>
          </w:p>
        </w:tc>
        <w:tc>
          <w:tcPr>
            <w:tcW w:w="13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88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382,756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465,702</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(82,946)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24,832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30,090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(5,258)</w:t>
            </w:r>
          </w:p>
        </w:tc>
        <w:tc>
          <w:tcPr>
            <w:tcW w:w="1320" w:type="dxa"/>
            <w:vAlign w:val="bottom"/>
            <w:gridSpan w:val="2"/>
          </w:tcPr>
          <w:p>
            <w:pPr>
              <w:jc w:val="right"/>
              <w:ind w:right="116"/>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420</w:t>
            </w:r>
          </w:p>
        </w:tc>
        <w:tc>
          <w:tcPr>
            <w:tcW w:w="13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427,522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513,159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(85,637)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4"/>
                <w:szCs w:val="14"/>
                <w:b w:val="1"/>
                <w:bCs w:val="1"/>
                <w:color w:val="auto"/>
                <w:w w:val="98"/>
              </w:rPr>
              <w:t>Six Months Ended June 30,</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331,473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350,615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196,826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219,994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(23,168)</w:t>
            </w:r>
          </w:p>
        </w:tc>
        <w:tc>
          <w:tcPr>
            <w:tcW w:w="132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120,486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118,571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1,915</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2,266</w:t>
            </w: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4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(13,173)</w:t>
            </w:r>
          </w:p>
        </w:tc>
        <w:tc>
          <w:tcPr>
            <w:tcW w:w="132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(158,424)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(117,393)</w:t>
            </w:r>
          </w:p>
        </w:tc>
        <w:tc>
          <w:tcPr>
            <w:tcW w:w="10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32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35,424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33,158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2,266</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130,411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n/m</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(13,173)</w:t>
            </w:r>
          </w:p>
        </w:tc>
        <w:tc>
          <w:tcPr>
            <w:tcW w:w="1320" w:type="dxa"/>
            <w:vAlign w:val="bottom"/>
            <w:gridSpan w:val="2"/>
          </w:tcPr>
          <w:p>
            <w:pPr>
              <w:jc w:val="right"/>
              <w:ind w:right="95"/>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32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0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22,770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21,772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998</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w w:val="95"/>
              </w:rPr>
              <w:t>4.6 %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net decreased $175.9 million to $1,380.7 million for the six months ended June 30, 2020 as compared to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1,062,789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1,220,858</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78.4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(158,069)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331,473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350,615</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(19,142)</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(5.5)</w:t>
            </w: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(13,596)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(14,953)</w:t>
            </w:r>
          </w:p>
        </w:tc>
        <w:tc>
          <w:tcPr>
            <w:tcW w:w="11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w w:val="91"/>
              </w:rPr>
              <w:t>(1.0)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1,357</w:t>
            </w:r>
          </w:p>
        </w:tc>
        <w:tc>
          <w:tcPr>
            <w:tcW w:w="13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(9.1)</w:t>
            </w:r>
          </w:p>
        </w:tc>
      </w:tr>
      <w:tr>
        <w:trPr>
          <w:trHeight w:val="263"/>
        </w:trPr>
        <w:tc>
          <w:tcPr>
            <w:tcW w:w="358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1,380,666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1,556,520</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99.9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(175,854)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249"/>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400,660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458,579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(57,919)</w:t>
            </w: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8"/>
              </w:rPr>
              <w:t>(12.6)%</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662,129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762,279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(100,150)</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(13.1)</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35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1,062,789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1,220,858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(158,069)</w:t>
            </w: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8"/>
              </w:rPr>
              <w:t>(12.9)%</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decrease of $57.9 million in advertising revenues was primarily attributable to the timing of our original programming and the impact of the COVID-19 pandemic, both of which resulted in lower pricing across all of our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5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revenues decreased $100.2 million due to a decrease of $49.9 million in subscription revenues as compared to the prior comparable period due to lower subscribers. Content licensing revenues decreased $50.3 million due to a decrease in the number of original programs we distributed. Subscription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34,174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44,741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(10,567)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297,299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305,874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(8,575)</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(2.8)</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331,473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350,615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(19,142)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Advertising revenues decreased $9.0 million at AMCNI, excluding the impact of foreign currency fluctuations, primarily related to lower demand resulting from the impact of the COVID-19 pandemic. Foreign currency translation had an unfavorable impact to advertising revenues of $1.6 million. Distribution revenues decreased $27.3 million at Levity, due to the impact of the COVID-19 pandemic on its operations, which resulted in a temporary halt in production activities and closure of comedy venues. The decrease in distribution revenues was offset by an increase of $31.4 million related to an increase in subscription revenues at AMC Networks SVOD targeted streaming services. In addition, distribution revenues decreased $6.1 million at IFC Films and $4.3 million at AMCNI, excluding the impact of foreign currency fluctuations. Foreign currency translation had an unfavorable impact to distribution revenues of $4.8 million.</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Technical and operating expense (excluding depreciation and amortization) decreased $99.2 million to $626.6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2020 as compared to the six months ended June 30, 2019. The net change by segment was as follows: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 change</w:t>
            </w:r>
          </w:p>
        </w:tc>
      </w:tr>
      <w:tr>
        <w:trPr>
          <w:trHeight w:val="24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440,745</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510,407</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(69,662)</w:t>
            </w: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5"/>
              </w:rPr>
              <w:t>(13.6)%</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196,826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219,994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(23,168)</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rPr>
              <w:t>(10.5)</w:t>
            </w: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(6,378)</w:t>
            </w:r>
          </w:p>
        </w:tc>
        <w:tc>
          <w:tcPr>
            <w:tcW w:w="16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137.8</w:t>
            </w:r>
          </w:p>
        </w:tc>
      </w:tr>
      <w:tr>
        <w:trPr>
          <w:trHeight w:val="263"/>
        </w:trPr>
        <w:tc>
          <w:tcPr>
            <w:tcW w:w="496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626,563</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725,771</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(99,208)</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w w:val="95"/>
              </w:rPr>
              <w:t>(13.7)%</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decrease in technical and operating expense of $69.7 million was due to a decrease in program amortization of $67.1 million primarily attributable to the mix of original programming as compared to the prior comparable period, which was impacted by the production stoppages resulting from the COVID-19 pandemic. In addition, other direct programming costs decreased $2.6 million. Program rights amortization expense includes write-offs of $7.5 million for the six months ended June 30, 2020 as compared to program rights write-offs of $13.4 million for the six months ended June 30, 2019. Programming write-offs are based on management's periodic assessment of programming usefulness.</w:t>
      </w:r>
    </w:p>
    <w:p>
      <w:pPr>
        <w:spacing w:after="0" w:line="6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Technical and operating expense decreased $15.9 million related to Levity, $6.6 million at AMCNI and $4.7 million at IFC Films. The decrease at Levity is due to the impact of the COVID-19 pandemic on its operations, which resulted in a temporary halt in production activities and closure of comedy venues. These decreases were partially offset by an increase of $6.4 million at AMC Networks SVOD targeted streaming services. Foreign currency translation had a favorable impact to the change in technical and operating expense of $4.1 million.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decreased $6.1 million to $339.8 million for the six months ended June 30, 2020, as compared to the six months ended June 30, 2019.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4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219,354</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227,382</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120,486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118,571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1,915</w:t>
            </w:r>
          </w:p>
        </w:tc>
        <w:tc>
          <w:tcPr>
            <w:tcW w:w="1600" w:type="dxa"/>
            <w:vAlign w:val="bottom"/>
            <w:gridSpan w:val="2"/>
          </w:tcPr>
          <w:p>
            <w:pPr>
              <w:jc w:val="right"/>
              <w:ind w:right="168"/>
              <w:spacing w:after="0"/>
              <w:rPr>
                <w:sz w:val="20"/>
                <w:szCs w:val="20"/>
                <w:color w:val="auto"/>
              </w:rPr>
            </w:pPr>
            <w:r>
              <w:rPr>
                <w:rFonts w:ascii="Arial" w:cs="Arial" w:eastAsia="Arial" w:hAnsi="Arial"/>
                <w:sz w:val="18"/>
                <w:szCs w:val="18"/>
                <w:color w:val="auto"/>
              </w:rPr>
              <w:t>1.6</w:t>
            </w: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w:t>
            </w:r>
          </w:p>
        </w:tc>
        <w:tc>
          <w:tcPr>
            <w:tcW w:w="16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(63.6)</w:t>
            </w:r>
          </w:p>
        </w:tc>
      </w:tr>
      <w:tr>
        <w:trPr>
          <w:trHeight w:val="264"/>
        </w:trPr>
        <w:tc>
          <w:tcPr>
            <w:tcW w:w="496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339,812</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345,876</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(6,064)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Selling, general and administrative expense decreased $8.0 million principally due to a decrease in advertising and marketing expenses of $12.8 million related to the mix of original programming, which was impacted by the COVID-19 pandemic, partially offset by an increase in legal fees.</w:t>
      </w:r>
    </w:p>
    <w:p>
      <w:pPr>
        <w:spacing w:after="0" w:line="3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Selling, general and administrative expense increased $1.9 million. The increase in selling, general and administrative expense related to $17.3 million at AMC Networks SVOD targeted streaming services primarily related to advertising and marketing expenses, which was partially offset by decreases of $6.6 million at AMCNI primarily related to advertising and</w:t>
      </w: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marketing expenses, and $6.3 million at Levity primarily related to the impact of the COVID-19 pandemic. Foreign currency translation had a favorable impact to the change in selling, general and administrative expense of $2.3 million.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Depreciation and amortization expense increased $2.7 million to $52.6 million for the six months ended June 30, 2020, as compared to the six months ended June 30, 2019.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35,424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33,158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2,266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50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52,635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49,949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2,686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increase in depreciation and amortization expense in the National Networks segment was primarily due to depreciation of equipment at our AMC Networks Broadcasting and Technology facilities. The increase in depreciation and amortization expense in the International and Other segment was primarily due to an increase in depreciation expense related to leasehold additions.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As a result of the continuing impact of the COVID-19 pandemic, we qualitatively assessed whether it was more likely than not that goodwill and long-lived assets were impaired as of June 30, 2020. Based on our current projections and updated forecasts, we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$105.1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$9.5 million for the six months ended June 30, 2020 primarily consisted of charges at AMCNI of $6.2 million related to costs associated with termination of distribution in certain territories and charges of $3.3 million related to severance associated with previously announced restructuring activities.</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Restructuring expense of $19.8 million for the six months ended June 30, 2019 primarily related to the direct to consumer re-organization and consisted of severance and other personnel related costs of $1.3 million and programming write-offs of $13.0 million related to a change in programming strategy, as well as $5.5 million related to severance associated with previously announced restructuring activities.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382,756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465,702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(82,946)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(158,424)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(41,031)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(117,393)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6,991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50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221,772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415,120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(193,348)</w:t>
            </w:r>
          </w:p>
        </w:tc>
        <w:tc>
          <w:tcPr>
            <w:tcW w:w="100" w:type="dxa"/>
            <w:vAlign w:val="bottom"/>
          </w:tcPr>
          <w:p>
            <w:pPr>
              <w:spacing w:after="0"/>
              <w:rPr>
                <w:sz w:val="22"/>
                <w:szCs w:val="22"/>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operating income at the National Networks segment was primarily attributable to a decrease in revenue of $158.1 million and an increase in restructuring and other related charges of $2.1 million, partially offset by a decrease in technical and operating expense of $69.7 million and a decrease in selling, general and administrative expense of $8.0 million.</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operating losses at the International and Other segment was primarily attributable to the impairment charges of $130.4 million and a decrease in revenues of $19.1 million, partially offset by a decrease in technical and operating expense of $23.2 million and a decrease in restructuring and other related charges of $13.2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221,772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(193,348)</w:t>
            </w: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5"/>
              </w:rPr>
              <w:t>(46.6)%</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30,747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36,624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(5,877)</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rPr>
              <w:t>(16.0)</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52,635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2,686</w:t>
            </w:r>
          </w:p>
        </w:tc>
        <w:tc>
          <w:tcPr>
            <w:tcW w:w="16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5.4</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130,411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130,411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(10,331)</w:t>
            </w: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(52.2)</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rPr>
              <w:t>(15.5)</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447,732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524,685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(76,953)</w:t>
            </w: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5"/>
              </w:rPr>
              <w:t>(14.7)%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AOI decreased $77.0 million for the six months ended June 30, 2020 as compared to the six months ended June 30, 2019.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4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427,522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513,159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(85,637)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22,770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21,772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998</w:t>
            </w:r>
          </w:p>
        </w:tc>
        <w:tc>
          <w:tcPr>
            <w:tcW w:w="1600" w:type="dxa"/>
            <w:vAlign w:val="bottom"/>
            <w:gridSpan w:val="2"/>
          </w:tcPr>
          <w:p>
            <w:pPr>
              <w:jc w:val="right"/>
              <w:ind w:right="156"/>
              <w:spacing w:after="0"/>
              <w:rPr>
                <w:sz w:val="20"/>
                <w:szCs w:val="20"/>
                <w:color w:val="auto"/>
              </w:rPr>
            </w:pPr>
            <w:r>
              <w:rPr>
                <w:rFonts w:ascii="Arial" w:cs="Arial" w:eastAsia="Arial" w:hAnsi="Arial"/>
                <w:sz w:val="18"/>
                <w:szCs w:val="18"/>
                <w:color w:val="auto"/>
              </w:rPr>
              <w:t>4.6</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7,686</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447,732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524,685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(76,953)</w:t>
            </w:r>
          </w:p>
        </w:tc>
        <w:tc>
          <w:tcPr>
            <w:tcW w:w="100" w:type="dxa"/>
            <w:vAlign w:val="bottom"/>
          </w:tcPr>
          <w:p>
            <w:pPr>
              <w:spacing w:after="0"/>
              <w:rPr>
                <w:sz w:val="22"/>
                <w:szCs w:val="22"/>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AOI decreased at the National Networks segment principally due to a decrease in operating income.</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interest expense, net of $6.8 million is primarily due to lower average outstanding balances.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we redeemed $200 million principal amount of the outstanding $600 million principal amount of our 4.75% Notes due 2022. The loss on extinguishment of debt for the six months ended June 30, 2020 of $2.9 million represents the redemption premium, the write-off of a portion of the unamortized discount and deferred financing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The increase in miscellaneous expense, net of $5.7 million for the six months ended June 30, 2020 as compared to the six months ended June 30, 2019 was primarily due to an unfavorable variance of $18.1 million in the foreign currency remeasurement of monetary assets and liabilities (principally intercompany loans) that are denominated in currencies other than the underlying functional currency of the applicable entity, partially offset by an unrealized gain of $13.6 million from certain marketable equity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For the six months ended June 30, 2020, income tax expense was $43.3 million representing an effective tax rate of 32%. The effective tax rate differs from the federal statutory rate of 21% due primarily to tax expense from foreign operations of $9.4 million, state and local income tax expense of $5.7 million and tax expense of $5.6 million resulting from an increase in valuation allowances for foreign taxes and U.S. foreign tax credits, partially offset by a tax benefit of $8.7 million relating to uncertain tax positions (including accrued interest) and tax benefit of $2.9 million related to a foreign-derived intangible income deduction. The tax benefit relating to uncertain tax positions is primarily due to audit settlements and the filing of state income tax returns under voluntary disclosure agreements.</w:t>
      </w:r>
    </w:p>
    <w:p>
      <w:pPr>
        <w:spacing w:after="0" w:line="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For the six months ended June 30, 2019, income tax expense was $45.1 million representing an effective tax rate of 14%. The effective tax rate differs from the federal statutory rate of 21% due primarily to a tax benefit of $25.0 million resulting from a decrease in valuation allowances for foreign tax assets, and a tax benefit of $5.6 million relating to uncertain tax positions (including accrued interest), partially offset by state and local income tax expense of $7.3 million. The decrease in the valuation allowance is primarily due to the expected utilization of foreign net operating loss carryforwards resulting from the planned</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implementation of certain tax planning strategies. The tax benefit relating to uncertain tax positions is primarily due to an audit settlement and the filing of state income tax returns under a voluntary disclosure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6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three months ended June 30, 2020, the Company repurchased 0.7 million shares of its Class A common stock at an average purchase price of approximately $24.68 per share. As of June 30, 2020, the Company has $385.9 million of authorization remaining for repurchase under the Stock Repurchase Program.</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Although impacted by the COVID-19 pandemic, we continue to increase our investment in original programming, the funding of which generally occurs six to nine months in advance of a program's airing. In March 2020, we redeemed $200 million principal amount of the outstanding $600 million principal amount of our 4.75% Notes due 2022.</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June 30, 2020, our consolidated cash and cash equivalents balance includes approximately $173.0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2019 Form 10-K.</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credit facility was not drawn upon at June 30, 2020.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June 30,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six months ended June 30:</w:t>
      </w:r>
    </w:p>
    <w:p>
      <w:pPr>
        <w:spacing w:after="0" w:line="87"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37465</wp:posOffset>
            </wp:positionV>
            <wp:extent cx="22885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2019</w:t>
            </w: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424,912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288,937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(9,998)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640"/>
              <w:spacing w:after="0"/>
              <w:rPr>
                <w:sz w:val="20"/>
                <w:szCs w:val="20"/>
                <w:color w:val="auto"/>
              </w:rPr>
            </w:pPr>
            <w:r>
              <w:rPr>
                <w:rFonts w:ascii="Arial" w:cs="Arial" w:eastAsia="Arial" w:hAnsi="Arial"/>
                <w:sz w:val="18"/>
                <w:szCs w:val="18"/>
                <w:color w:val="auto"/>
              </w:rPr>
              <w:t>(43,555)</w:t>
            </w:r>
          </w:p>
        </w:tc>
      </w:tr>
      <w:tr>
        <w:trPr>
          <w:trHeight w:val="27"/>
        </w:trPr>
        <w:tc>
          <w:tcPr>
            <w:tcW w:w="7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(336,816)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(92,265)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78,098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620"/>
              <w:spacing w:after="0"/>
              <w:rPr>
                <w:sz w:val="20"/>
                <w:szCs w:val="20"/>
                <w:color w:val="auto"/>
              </w:rPr>
            </w:pPr>
            <w:r>
              <w:rPr>
                <w:rFonts w:ascii="Arial" w:cs="Arial" w:eastAsia="Arial" w:hAnsi="Arial"/>
                <w:sz w:val="18"/>
                <w:szCs w:val="18"/>
                <w:color w:val="auto"/>
              </w:rPr>
              <w:t>153,117</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Net cash provided by operating activities amounted to $424.9 million for the six months ended June 30, 2020 as compared to $288.9 million for the six months ended June 30, 2019. Net cash provided by operating activities for the six months ended June 30, 2020 primarily resulted from $776.9 million of net income before amortization of program rights, depreciation and amortization, and other non-cash items, which was partially offset by payments for program rights of $387.0 million, a decrease in accounts payable, accrued expenses and other liabilities of $45.4 million primarily related to lower employee related liabilities and an increase in deferred carriage fees payable of $16.0 million. In addition, net cash provided by operating activities increased as a result of a decrease in accounts receivable of $55.4 million and a decrease in prepaid expense and other assets of $46.0 million primarily related to a decrease in long-term receivables. Changes in all other assets and liabilities resulted in a decrease of $4.8 million.</w:t>
      </w:r>
    </w:p>
    <w:p>
      <w:pPr>
        <w:spacing w:after="0" w:line="6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Net cash provided by operating activities amounted to $288.9 million for the six months ended June 30, 2019. Net cash provided by operating activities for the six months ended June 30, 2019 primarily resulted from $843.3 million of net income before amortization of program rights, depreciation and amortization, and other non-cash items, which was partially offset by payments for program rights of $443.5 million, an increase in prepaid expense and other assets of $40.0 million primarily related to an increase in long-term receivables and a decrease in accounts payable, accrued expenses and other liabilities of $58.3 million primarily related to lower employee related liabilities. Changes in all other assets and liabilities resulted in a decrease of $12.6 million.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used in investing activities for the six months ended June 30, 2020 and 2019 was $10.0 million and $43.6 million, respectively. For the six months ended June 30, 2020, cash used in investing activities included capital expenditures of $22.2 million, partially offset by partial proceeds received from the sale of an investment of $10.0 million and principal payments received from a loan to an investee of $2.5 million. For the six months ended June 30, 2019, cash used in investing activities included capital expenditures of $49.5 million, partially offset by a return of capital from investees of $5.9 million.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cash used in financing activities amounted to $336.8 million for the six months ended June 30, 2020 and primarily consisted of principal payments, net of proceeds, on long-term debt (including the redemption of $200 million of 4.75% Notes due 2022), of $212.8 million, purchases of our common stock of $102.9 million, taxes paid in lieu of shares issued for equity-based compensation of $8.9 million, distributions to noncontrolling interests of $10.6 million, and payments on finance leases of $1.6 million.</w:t>
      </w:r>
    </w:p>
    <w:p>
      <w:pPr>
        <w:spacing w:after="0" w:line="79"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Net cash used in financing activities amounted to $92.3 million for the six months ended June 30, 2019 and primarily consisted of purchases of our common stock of $58.4 million, taxes paid in lieu of shares issued for equity-based compensation of $23.0 million, distributions to noncontrolling interests of $10.1 million, and principal payments on debt and finance leases of $5.3 million, partially offset by proceeds from stock option exercises of $4.6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As of June 30, 2020, our contractual obligations not reflected on the condensed consolidated balance sheet decreased $104.0 million, as compared to December 31, 2019, to $829.9 million. The decrease primarily relates to payments for program rights and marketing commitments.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Debt of AMC Networks as of June 30, 2020 includes $400.0 million of 4.75% Notes due December 2022, $1.0 billion of 5.00% Notes due April 2024 and $800.0 million of 4.75% Notes due August 2025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5"/>
          </w:tcPr>
          <w:p>
            <w:pPr>
              <w:ind w:left="660"/>
              <w:spacing w:after="0"/>
              <w:rPr>
                <w:sz w:val="20"/>
                <w:szCs w:val="20"/>
                <w:color w:val="auto"/>
              </w:rPr>
            </w:pPr>
            <w:r>
              <w:rPr>
                <w:rFonts w:ascii="Arial" w:cs="Arial" w:eastAsia="Arial" w:hAnsi="Arial"/>
                <w:sz w:val="16"/>
                <w:szCs w:val="16"/>
                <w:b w:val="1"/>
                <w:bCs w:val="1"/>
                <w:color w:val="auto"/>
              </w:rPr>
              <w:t>Six Months Ended June 30, 2020</w:t>
            </w:r>
          </w:p>
        </w:tc>
      </w:tr>
      <w:tr>
        <w:trPr>
          <w:trHeight w:val="33"/>
        </w:trPr>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Parent Company</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Guarantor Subsidiaries</w:t>
            </w:r>
          </w:p>
        </w:tc>
        <w:tc>
          <w:tcPr>
            <w:tcW w:w="100" w:type="dxa"/>
            <w:vAlign w:val="bottom"/>
            <w:tcBorders>
              <w:bottom w:val="single" w:sz="8" w:color="CCEEFF"/>
            </w:tcBorders>
          </w:tcPr>
          <w:p>
            <w:pPr>
              <w:spacing w:after="0"/>
              <w:rPr>
                <w:sz w:val="21"/>
                <w:szCs w:val="2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974,389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658,100</w:t>
            </w:r>
          </w:p>
        </w:tc>
        <w:tc>
          <w:tcPr>
            <w:tcW w:w="100" w:type="dxa"/>
            <w:vAlign w:val="bottom"/>
          </w:tcPr>
          <w:p>
            <w:pPr>
              <w:spacing w:after="0"/>
              <w:rPr>
                <w:sz w:val="21"/>
                <w:szCs w:val="2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316,289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118,767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196,708</w:t>
            </w:r>
          </w:p>
        </w:tc>
        <w:tc>
          <w:tcPr>
            <w:tcW w:w="100" w:type="dxa"/>
            <w:vAlign w:val="bottom"/>
          </w:tcPr>
          <w:p>
            <w:pPr>
              <w:spacing w:after="0"/>
              <w:rPr>
                <w:sz w:val="21"/>
                <w:szCs w:val="2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79,454</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192,292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240" w:type="dxa"/>
            <w:vAlign w:val="bottom"/>
          </w:tcPr>
          <w:p>
            <w:pPr>
              <w:spacing w:after="0"/>
              <w:rPr>
                <w:sz w:val="20"/>
                <w:szCs w:val="20"/>
                <w:color w:val="auto"/>
              </w:rPr>
            </w:pPr>
          </w:p>
        </w:tc>
        <w:tc>
          <w:tcPr>
            <w:tcW w:w="3880" w:type="dxa"/>
            <w:vAlign w:val="bottom"/>
            <w:gridSpan w:val="5"/>
          </w:tcPr>
          <w:p>
            <w:pPr>
              <w:ind w:left="130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Pr>
          <w:p>
            <w:pPr>
              <w:spacing w:after="0"/>
              <w:rPr>
                <w:sz w:val="20"/>
                <w:szCs w:val="20"/>
                <w:color w:val="auto"/>
              </w:rPr>
            </w:pPr>
          </w:p>
        </w:tc>
        <w:tc>
          <w:tcPr>
            <w:tcW w:w="3720" w:type="dxa"/>
            <w:vAlign w:val="bottom"/>
            <w:gridSpan w:val="4"/>
          </w:tcPr>
          <w:p>
            <w:pPr>
              <w:jc w:val="right"/>
              <w:ind w:right="1211"/>
              <w:spacing w:after="0"/>
              <w:rPr>
                <w:sz w:val="20"/>
                <w:szCs w:val="20"/>
                <w:color w:val="auto"/>
              </w:rPr>
            </w:pPr>
            <w:r>
              <w:rPr>
                <w:rFonts w:ascii="Arial" w:cs="Arial" w:eastAsia="Arial" w:hAnsi="Arial"/>
                <w:sz w:val="16"/>
                <w:szCs w:val="16"/>
                <w:b w:val="1"/>
                <w:bCs w:val="1"/>
                <w:color w:val="auto"/>
              </w:rPr>
              <w:t>December 31, 2019</w:t>
            </w:r>
          </w:p>
        </w:tc>
      </w:tr>
      <w:tr>
        <w:trPr>
          <w:trHeight w:val="27"/>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240" w:type="dxa"/>
            <w:vAlign w:val="bottom"/>
          </w:tcPr>
          <w:p>
            <w:pPr>
              <w:spacing w:after="0"/>
              <w:rPr>
                <w:sz w:val="21"/>
                <w:szCs w:val="21"/>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r>
      <w:tr>
        <w:trPr>
          <w:trHeight w:val="236"/>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8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88,238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100,485</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18,920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1,387,925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28,768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1,590,932</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3,853,059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3,136,906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4,050,648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3,044,865</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24,167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141,596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461,157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100,081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470,027</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3,082,641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352,655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3,315,314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361,324</w:t>
            </w:r>
          </w:p>
        </w:tc>
      </w:tr>
      <w:tr>
        <w:trPr>
          <w:trHeight w:val="27"/>
        </w:trPr>
        <w:tc>
          <w:tcPr>
            <w:tcW w:w="3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describe our significant accounting policies in Note 2 to the Company's Consolidated Financial Statements included in our 2019 Form 10-K. Other than the adoption of ASU 2019-02 described in Note 5 to the accompanying condensed consolidated financial statements of the Company included herein, there have been no significant changes in our significant accounting policies since December 31, 2019.</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discuss our critical accounting estimates in Item 7, "Management's Discussion and Analysis of Financial Condition and Results of Operations," in the same 2019 Form 10-K. There have been no significant changes in our critical accounting estimates since December 31, 2019.</w:t>
      </w:r>
    </w:p>
    <w:p>
      <w:pPr>
        <w:spacing w:after="0" w:line="3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Company performs its annual goodwill impairment test as of December 1 each year. In addition to the annual impairment test, the Company is required to regularly assess whether a triggering event has occurred which would require an interim impairment test. The Company considered the current and expected future economic and market conditions surrounding the COVID-19 pandemic and its impact on each of its reporting units. Further, the Company assessed the current forecasts (including significant assumptions about revenue growth rates, long-term growth rates and enterprise specific discount rates) and the amount of excess fair value over carrying value for each of its reporting units in the 2019 impairment test. In connection with the preparation of the second quarter financial information, the Company determined that a triggering event had occurred with respect to its AMCNI reporting unit, which required an interim impairment test to be performed as of June 30, 2020. As such, the Company performed a quantitative assessment for its AMCNI reporting unit. The fair value was determined using a combination of an income approach, using a discounted cash flow (DCF) model, and a market comparables approach. The DCF model includes significant assumptions about revenue growth rates, long-term growth rates and enterprise specific discount rates. Additionally, the market comparables approach is determined using guideline company financial multiples. Given the uncertainty in determining assumptions underlying the DCF approach, actual results may differ from those used in the valuations.</w:t>
      </w:r>
    </w:p>
    <w:p>
      <w:pPr>
        <w:spacing w:after="0" w:line="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Based on the valuations performed, in response to current and expected trends across the International television broadcasting markets, the fair value of the Company's AMCNI reporting unit declined below its carrying amount. As a result, in June 2020, the Company recognized an impairment charge of $25.1 million related to the AMCNI reporting unit, included in impairment charges in the condensed consolidated income statement.</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impairment charge was required for any of the Company's other reporting units.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we are unable to predict how long the COVID-19 pandemic conditions will persist, what additional measures may be introduced by governments or private parties or what effect any such additional measures may have on our business. If these estimates or related assumptions change in the future, we may be required to record additional impairment charges related to goodwill.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June 30, 2020, the carrying value of our fixed rate debt of $2.18 billion was more than its fair value of $2.17 billion by approximately $5.3 million. The fair value of these financial instruments is estimated based on reference to quoted market prices for these or comparable securities. A hypothetical 100 basis point decrease in interest rates prevailing at June 30, 2020 would increase the estimated fair value of our fixed rate debt by approximately $71.8 million to approximately $2.24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2020, we had $2.9 billion of debt outstanding (excluding finance leases), of which $0.7 billion is outstanding under our loan facility and is subject to variable interest rates (before consideration of the interest rate swaps contracts described below).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jc w:val="both"/>
        <w:ind w:firstLine="445"/>
        <w:spacing w:after="0" w:line="259" w:lineRule="auto"/>
        <w:rPr>
          <w:sz w:val="20"/>
          <w:szCs w:val="20"/>
          <w:color w:val="auto"/>
        </w:rPr>
      </w:pPr>
      <w:r>
        <w:rPr>
          <w:rFonts w:ascii="Arial" w:cs="Arial" w:eastAsia="Arial" w:hAnsi="Arial"/>
          <w:sz w:val="18"/>
          <w:szCs w:val="18"/>
          <w:color w:val="auto"/>
        </w:rPr>
        <w:t>As of June 30, 2020, we had interest rate swap contracts outstanding with notional amounts aggregating $100 million. The aggregate fair value of interest rate swap contracts at June 30, 2020 was a net liability of $3.6 million. As a result of these transactions, the interest rate paid on approximately 79% of our debt (excluding finance leases) as of June 30, 2020 is effectively fixed (76% being fixed rate obligations and 3% effectively fixed through utilization of these interest rate swap contracts).</w:t>
      </w:r>
    </w:p>
    <w:p>
      <w:pPr>
        <w:spacing w:after="0" w:line="79" w:lineRule="exact"/>
        <w:rPr>
          <w:sz w:val="20"/>
          <w:szCs w:val="20"/>
          <w:color w:val="auto"/>
        </w:rPr>
      </w:pPr>
    </w:p>
    <w:p>
      <w:pPr>
        <w:ind w:right="80" w:firstLine="445"/>
        <w:spacing w:after="0" w:line="375" w:lineRule="auto"/>
        <w:rPr>
          <w:sz w:val="20"/>
          <w:szCs w:val="20"/>
          <w:color w:val="auto"/>
        </w:rPr>
      </w:pPr>
      <w:r>
        <w:rPr>
          <w:rFonts w:ascii="Arial" w:cs="Arial" w:eastAsia="Arial" w:hAnsi="Arial"/>
          <w:sz w:val="18"/>
          <w:szCs w:val="18"/>
          <w:color w:val="auto"/>
        </w:rPr>
        <w:t xml:space="preserve">A hypothetical 100 basis point increase in interest rates prevailing at June 30, 2020 would not have a material impact on our annual interest expense. </w:t>
      </w:r>
      <w:r>
        <w:rPr>
          <w:rFonts w:ascii="Arial" w:cs="Arial" w:eastAsia="Arial" w:hAnsi="Arial"/>
          <w:sz w:val="18"/>
          <w:szCs w:val="18"/>
          <w:b w:val="1"/>
          <w:bCs w:val="1"/>
          <w:color w:val="auto"/>
        </w:rPr>
        <w:t>Managing our Foreign Currency Exchange Rate Risk</w:t>
      </w:r>
    </w:p>
    <w:p>
      <w:pPr>
        <w:spacing w:after="0" w:line="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$6.8 million loss and $16.4 million loss net, for the three and six months ended June 30, 2020, respectively, related to foreign currency transactions. Such amounts are included in miscellaneous, net in the condensed consolidated statement of income.</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June 30, 2020,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three months ended June 30, 2020,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our 2019 Form 10-K, there have been no material developments in legal proceedings in which we are involved. See Note 14, Commitments and Contingencies to the condensed consolidated financial statements included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addition to the other information set forth in this Form 10-Q, you should carefully consider the risk factors disclosed under the caption “Risk Factors” in our 2019 Form 10-K, as well as the following additional risk factor.</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General Risks</w:t>
      </w:r>
    </w:p>
    <w:p>
      <w:pPr>
        <w:spacing w:after="0" w:line="108" w:lineRule="exact"/>
        <w:rPr>
          <w:sz w:val="20"/>
          <w:szCs w:val="20"/>
          <w:color w:val="auto"/>
        </w:rPr>
      </w:pPr>
    </w:p>
    <w:p>
      <w:pPr>
        <w:ind w:left="420" w:right="160"/>
        <w:spacing w:after="0" w:line="277" w:lineRule="auto"/>
        <w:rPr>
          <w:sz w:val="20"/>
          <w:szCs w:val="20"/>
          <w:color w:val="auto"/>
        </w:rPr>
      </w:pPr>
      <w:r>
        <w:rPr>
          <w:rFonts w:ascii="Arial" w:cs="Arial" w:eastAsia="Arial" w:hAnsi="Arial"/>
          <w:sz w:val="18"/>
          <w:szCs w:val="18"/>
          <w:b w:val="1"/>
          <w:bCs w:val="1"/>
          <w:i w:val="1"/>
          <w:iCs w:val="1"/>
          <w:color w:val="auto"/>
        </w:rPr>
        <w:t>The COVID-19 pandemic has significantly impacted worldwide economic conditions and could have a material adverse effect on our operations and business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the World Health Organization characterized the novel coronavirus ("COVID-19") a pandemic, and the President of the United States declared the COVID-19 outbreak a national emergency. The rapid spread of the pandemic and the continuously evolving responses to combat it have had an increasingly negative impact on the global economy.</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impact of COVID-19 and measures to prevent its spread are affecting our businesses in a number of ways. To date, we have experienced adverse advertising sales impacts, suspended content production, which has led to delays in the creation and availability of some of our television programming, and the temporary closure of our comedy venues.</w:t>
      </w:r>
    </w:p>
    <w:p>
      <w:pPr>
        <w:spacing w:after="0" w:line="7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Operationally, nearly all of our employees are working remotely, and we have restricted business travel. If significant portions of our workforce, including key personnel, are unable to work effectively because of illness, government actions or other restrictions in connection with the COVID-19 pandemic, the impact of the pandemic on our businesses could be exacerbated. In addition, the remote work environment has placed additional strain on our resources and the effects of the COVID-19 pandemic will heighten the other risks described in the section entitled “Risk Factors” in our 2019 Form 10-K, including evolving cybersecurity risks, which could result in the disclosure, theft or destruction of confidential information, disruption of our programming, damage to our brands and reputation, legal exposure and financial losses.</w:t>
      </w:r>
    </w:p>
    <w:p>
      <w:pPr>
        <w:spacing w:after="0" w:line="8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The Company has evaluated and continues to evaluate the potential impact of the COVID-19 pandemic on its consolidated financial statements, including the impairment of goodwill (see Note 7) and indefinite-lived intangible assets and the fair value and collectibility of receivables. The COVID-19 pandemic has had a material impact on the Company's operations since mid-March 2020.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a vaccine, and global economic conditions. The COVID-19 pandemic may also affect our business, operations or financial condition in a manner that is not presently known to us or that we currently do not consider to present significant risks. In addition, the COVID-19 pandemic may also exacerbate other risks described in Item 1A, "Risk Factors" in our 2019 Form 10-K.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June 30,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Paid per Share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39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(or Unit)</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2020 to April 30, 2020</w:t>
            </w:r>
          </w:p>
        </w:tc>
        <w:tc>
          <w:tcPr>
            <w:tcW w:w="15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688,100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688,100</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385,873,963</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May 1, 2020 to May 31, 2020</w:t>
            </w: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4"/>
              <w:spacing w:after="0"/>
              <w:rPr>
                <w:sz w:val="20"/>
                <w:szCs w:val="20"/>
                <w:color w:val="auto"/>
              </w:rPr>
            </w:pPr>
            <w:r>
              <w:rPr>
                <w:rFonts w:ascii="Arial" w:cs="Arial" w:eastAsia="Arial" w:hAnsi="Arial"/>
                <w:sz w:val="18"/>
                <w:szCs w:val="18"/>
                <w:color w:val="auto"/>
              </w:rPr>
              <w:t>385,873,963</w:t>
            </w: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2020 to June 30, 2020</w:t>
            </w:r>
          </w:p>
        </w:tc>
        <w:tc>
          <w:tcPr>
            <w:tcW w:w="15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385,873,963</w:t>
            </w:r>
          </w:p>
        </w:tc>
      </w:tr>
      <w:tr>
        <w:trPr>
          <w:trHeight w:val="26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688,100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688,100</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Index to Exhibits.</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AMC Networks Inc. Amended and Restated 2016 Employee Stock Plan</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AMC Networks Inc. Amended and Restated 2011 Stock Plan For Non-Employee Directors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Guarantor Subsidiaries of the Registrant</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77"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Certifications of Chief Executive Officer and Chief Financial Officer pursuant to Section 906 of the Sarbanes-Oxley Act of 2002, 18</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U.S.C. Section 1350.</w:t>
        </w:r>
      </w:hyperlink>
    </w:p>
    <w:p>
      <w:pPr>
        <w:spacing w:after="0" w:line="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Inline XBRL document.</w:t>
      </w:r>
    </w:p>
    <w:p>
      <w:pPr>
        <w:spacing w:after="0" w:line="62" w:lineRule="exact"/>
        <w:rPr>
          <w:sz w:val="20"/>
          <w:szCs w:val="20"/>
          <w:color w:val="auto"/>
        </w:rPr>
      </w:pPr>
    </w:p>
    <w:p>
      <w:pPr>
        <w:sectPr>
          <w:pgSz w:w="11900" w:h="16838" w:orient="portrait"/>
          <w:cols w:equalWidth="0" w:num="2">
            <w:col w:w="640" w:space="500"/>
            <w:col w:w="1010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7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76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7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7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76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94" w:lineRule="exact"/>
        <w:rPr>
          <w:sz w:val="20"/>
          <w:szCs w:val="20"/>
          <w:color w:val="auto"/>
        </w:rPr>
      </w:pPr>
    </w:p>
    <w:p>
      <w:pPr>
        <w:ind w:left="1140" w:hanging="1114"/>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AMC Networks Inc.</w:t>
      </w:r>
    </w:p>
    <w:p>
      <w:pPr>
        <w:spacing w:after="0" w:line="212"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31750</wp:posOffset>
            </wp:positionV>
            <wp:extent cx="3437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93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AMC Networks Inc. Amended and Restated 2016 Employee Stock Plan</w:t>
      </w:r>
    </w:p>
    <w:p>
      <w:pPr>
        <w:spacing w:after="0" w:line="200" w:lineRule="exact"/>
        <w:rPr>
          <w:sz w:val="20"/>
          <w:szCs w:val="20"/>
          <w:color w:val="auto"/>
        </w:rPr>
      </w:pPr>
    </w:p>
    <w:p>
      <w:pPr>
        <w:spacing w:after="0" w:line="204" w:lineRule="exact"/>
        <w:rPr>
          <w:sz w:val="20"/>
          <w:szCs w:val="20"/>
          <w:color w:val="auto"/>
        </w:rPr>
      </w:pPr>
    </w:p>
    <w:p>
      <w:pPr>
        <w:jc w:val="both"/>
        <w:ind w:firstLine="656"/>
        <w:spacing w:after="0" w:line="292" w:lineRule="auto"/>
        <w:tabs>
          <w:tab w:leader="none" w:pos="841"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the AMC Networks Inc. 2016 Employee Stock Plan is to compensate employees of the Company and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who are and have been largely responsible for the management and growth of the business of the Company and its Affiliates and to advance the interests of the Company by encouraging and enabling the acquisition of a personal proprietary interest in the Company by employees upon whose judgment and keen interest the Company and its Affiliates are largely dependent for the successful conduct of their operations. It is anticipated that such compensation and the acquisition of such proprietary interest in the Company will stimulate the efforts of such employees on behalf of the Company and its Affiliates, and strengthen their desire to remain with the Company and its Affiliates. It is also expected that such compensation and the opportunity to acquire such a proprietary interest will enable the Company and its Affiliates to attract and retain desirable personnel.</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Plan replaces the AMC Networks, Inc. Amended and Restated 2011 Employee Stock Plan (as amended to the Effective Date, the “Prior Plan”) for Awards granted on or after the effective date set forth in Section 23 (the “Effective Date”). Awards may not be granted under the Prior Plan beginning on the Effective Date, but this Plan will not affect the terms or conditions of any option, stock appreciation right, restricted share or restricted stock unit or other award made under the Prior Plan before the Effective Date except as provided in Section 5.</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amendments to this Plan will not affect the terms or conditions of any Award granted prior to the effective date of such amendments provided in Section 23.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 used in this Plan, unless the context otherwise requires:</w:t>
      </w:r>
    </w:p>
    <w:p>
      <w:pPr>
        <w:spacing w:after="0" w:line="229" w:lineRule="exact"/>
        <w:rPr>
          <w:sz w:val="20"/>
          <w:szCs w:val="20"/>
          <w:color w:val="auto"/>
        </w:rPr>
      </w:pPr>
    </w:p>
    <w:p>
      <w:pPr>
        <w:ind w:firstLine="656"/>
        <w:spacing w:after="0" w:line="277" w:lineRule="auto"/>
        <w:tabs>
          <w:tab w:leader="none" w:pos="8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“Affiliate” shall mean (i) any Entity controlling, controlled by, or under common control with the Company or any other Affiliate and (ii) any Entity in which the Company owns at least five percent of the outstanding equity interests of such Entity.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“Award” shall mean an Option, Right, Restricted Share or Restricted Stock Unit or other equity based award which is granted or made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10" w:lineRule="exact"/>
        <w:rPr>
          <w:rFonts w:ascii="Arial" w:cs="Arial" w:eastAsia="Arial" w:hAnsi="Arial"/>
          <w:sz w:val="16"/>
          <w:szCs w:val="16"/>
          <w:color w:val="auto"/>
        </w:rPr>
      </w:pPr>
    </w:p>
    <w:p>
      <w:pPr>
        <w:ind w:firstLine="656"/>
        <w:spacing w:after="0" w:line="277" w:lineRule="auto"/>
        <w:tabs>
          <w:tab w:leader="none" w:pos="9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“Award Agreement” shall mean an agreement which may be entered into by a Participant under the Plan and the Company, setting forth the terms and provisions applicable to Awards granted to such Participant.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“Board of Directors” shall mean the Board of Directors of the Company, as constituted at any time.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of Directors, as described in Section 3.</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“Company” shall mean AMC Networks Inc., a Delaware corporation.</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17"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requirement or to obtain an exemption therefrom, (iii) any and all other consents, clearances and approvals in respect of an action under the Plan by any governmental or other regulatory body or any stock exchange or self-regulatory agency, (iv) any and all consents by the 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“Entity” shall mean any business, corporation, partnership, limited liability company or other entity.</w:t>
      </w:r>
    </w:p>
    <w:p>
      <w:pPr>
        <w:spacing w:after="0" w:line="225" w:lineRule="exact"/>
        <w:rPr>
          <w:rFonts w:ascii="Arial" w:cs="Arial" w:eastAsia="Arial" w:hAnsi="Arial"/>
          <w:sz w:val="18"/>
          <w:szCs w:val="18"/>
          <w:color w:val="auto"/>
        </w:rPr>
      </w:pPr>
    </w:p>
    <w:p>
      <w:pPr>
        <w:jc w:val="both"/>
        <w:ind w:firstLine="656"/>
        <w:spacing w:after="0" w:line="296" w:lineRule="auto"/>
        <w:tabs>
          <w:tab w:leader="none" w:pos="8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over-the-counter market, as reported on the NASDAQ Stock Market or any other stock exchange on which the Shares may be traded, or, if none of the above is applicable, the value of a Share as established by the Committee for such date using any reasonable method of valuation. Notwithstanding the generality of the foregoing, if the Company has established an electronic exercise program with a broker for the exercise of Options or Rights and the Shares</w:t>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underlying the Options are publicly traded, the Fair Market Value of a Share for purposes of net cashless exercise and withholding taxes shall be the price of a Share on such stock exchange at the time of exercise.</w:t>
      </w:r>
    </w:p>
    <w:p>
      <w:pPr>
        <w:spacing w:after="0" w:line="170"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“GAAP” shall mean accounting principles generally accepted in the United States of America.</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Revenue Code” shall mean the Internal Revenue Code of 1986, as amended.</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shall mean the stock options granted pursuant to Section 6 hereof.</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“Participant” shall mean any employee or former employee of the Company or any Affiliate who holds an outstanding Award granted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jc w:val="both"/>
        <w:ind w:firstLine="656"/>
        <w:spacing w:after="0" w:line="283" w:lineRule="auto"/>
        <w:tabs>
          <w:tab w:leader="none" w:pos="932" w:val="left"/>
        </w:tabs>
        <w:numPr>
          <w:ilvl w:val="1"/>
          <w:numId w:val="17"/>
        </w:numPr>
        <w:rPr>
          <w:rFonts w:ascii="Arial" w:cs="Arial" w:eastAsia="Arial" w:hAnsi="Arial"/>
          <w:sz w:val="16"/>
          <w:szCs w:val="16"/>
          <w:color w:val="auto"/>
        </w:rPr>
      </w:pPr>
      <w:r>
        <w:rPr>
          <w:rFonts w:ascii="Arial" w:cs="Arial" w:eastAsia="Arial" w:hAnsi="Arial"/>
          <w:sz w:val="16"/>
          <w:szCs w:val="16"/>
          <w:color w:val="auto"/>
        </w:rPr>
        <w:t>“Performance Criteria” shall mean a goal or goals established by the Committee and measured over a period or periods selected by the Committee, such goal(s) to constitute a requirement that must be met in connection with the vesting, exercise and/or payment of an Award under the Plan as specified by the Committee. The performance criteria may, without limitation, be determined by reference to the performance of the Company, an Affiliate or a business unit, product, production, network or service thereof or any combination of the foregoing. Such criteria may also be measured on a per customer, subscriber, viewer (or available viewer), basic or diluted share basis or any combination of the foregoing and may reflect absolute performance, incremental performance or comparative performance to other companies (or their products or services) determined on a gross, net, GAAP or non-GAAP basis, with respect to one or more of the following in each case without limitation: (i) net or operating income or other measures of profit, including, without limitation adjusted operating income (AOI); (ii) measures of revenue; (iii) earnings before interest, taxes, depreciation and amortization (EBITDA); (iv) cash flow, free cash flow, adjusted operating cash flow (AOCF), unlevered free cash flow, cash flow from operations and similar measures;</w:t>
      </w:r>
    </w:p>
    <w:p>
      <w:pPr>
        <w:spacing w:after="0" w:line="5" w:lineRule="exact"/>
        <w:rPr>
          <w:rFonts w:ascii="Arial" w:cs="Arial" w:eastAsia="Arial" w:hAnsi="Arial"/>
          <w:sz w:val="16"/>
          <w:szCs w:val="16"/>
          <w:color w:val="auto"/>
        </w:rPr>
      </w:pPr>
    </w:p>
    <w:p>
      <w:pPr>
        <w:jc w:val="both"/>
        <w:ind w:firstLine="8"/>
        <w:spacing w:after="0" w:line="271" w:lineRule="auto"/>
        <w:tabs>
          <w:tab w:leader="none" w:pos="2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return on equity, investment, assets or capital; (vi) gross or operating margins or savings; (vii) performance relative to budget, forecast or market expectations; (viii) market share or penetration, subscriber or customer acquisition or retention, ratings or viewership; (ix) operating metrics relating to sales, subscriptions or customer service or satisfaction; (x) capital spending management or product or service deployments; (xi) achievement of strategic business objectives such as acquisitions, dispositions or investments; (xii) a specified increase in the fair market value of the Shares; (xiii) a specified increase in the private market value of the Company; (xiv) the Share price; (xv) earnings per share; and/or (xvi) total shareholder return.</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“Plan” shall mean this AMC Networks Inc. 2016 Employee Stock Plan, as amended from time to time.</w:t>
      </w:r>
    </w:p>
    <w:p>
      <w:pPr>
        <w:spacing w:after="0" w:line="225" w:lineRule="exact"/>
        <w:rPr>
          <w:rFonts w:ascii="Arial" w:cs="Arial" w:eastAsia="Arial" w:hAnsi="Arial"/>
          <w:sz w:val="18"/>
          <w:szCs w:val="18"/>
          <w:color w:val="auto"/>
        </w:rPr>
      </w:pPr>
    </w:p>
    <w:p>
      <w:pPr>
        <w:ind w:firstLine="656"/>
        <w:spacing w:after="0" w:line="277" w:lineRule="auto"/>
        <w:tabs>
          <w:tab w:leader="none" w:pos="9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“Restricted Period” shall mean the period of time during which Restrictions shall apply to a Restricted Share, as determined by the Committee pursuant to Section 9 hereof.</w:t>
      </w:r>
    </w:p>
    <w:p>
      <w:pPr>
        <w:spacing w:after="0" w:line="170" w:lineRule="exact"/>
        <w:rPr>
          <w:rFonts w:ascii="Arial" w:cs="Arial" w:eastAsia="Arial" w:hAnsi="Arial"/>
          <w:sz w:val="18"/>
          <w:szCs w:val="18"/>
          <w:color w:val="auto"/>
        </w:rPr>
      </w:pPr>
    </w:p>
    <w:p>
      <w:pPr>
        <w:ind w:firstLine="656"/>
        <w:spacing w:after="0" w:line="277"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“Restricted Shares” shall mean the Shares awarded pursuant to Section 9 hereof that are subject to restrictions upon their sale, assignment, transfer, pledge or other disposal or encumbrance as determined by the Committee.</w:t>
      </w:r>
    </w:p>
    <w:p>
      <w:pPr>
        <w:spacing w:after="0" w:line="170" w:lineRule="exact"/>
        <w:rPr>
          <w:rFonts w:ascii="Arial" w:cs="Arial" w:eastAsia="Arial" w:hAnsi="Arial"/>
          <w:sz w:val="18"/>
          <w:szCs w:val="18"/>
          <w:color w:val="auto"/>
        </w:rPr>
      </w:pPr>
    </w:p>
    <w:p>
      <w:pPr>
        <w:ind w:firstLine="656"/>
        <w:spacing w:after="0" w:line="277" w:lineRule="auto"/>
        <w:tabs>
          <w:tab w:leader="none" w:pos="8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“Restricted Stock Units” shall mean awards made pursuant to Section 10 hereof, each such unit representing an unfunded and unsecured promise to deliver a Share (or cash or other property equal in value to the Share).</w:t>
      </w:r>
    </w:p>
    <w:p>
      <w:pPr>
        <w:spacing w:after="0" w:line="170" w:lineRule="exact"/>
        <w:rPr>
          <w:rFonts w:ascii="Arial" w:cs="Arial" w:eastAsia="Arial" w:hAnsi="Arial"/>
          <w:sz w:val="18"/>
          <w:szCs w:val="18"/>
          <w:color w:val="auto"/>
        </w:rPr>
      </w:pPr>
    </w:p>
    <w:p>
      <w:pPr>
        <w:ind w:firstLine="65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“Restrictions” shall mean the restrictions upon sale, assignment, transfer, pledge or other disposal or encumbrance on a Restricted Share as determined by the Committee in respect of an Award of a Restricted Share pursuant to Section 9 hereof.</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“Rights” shall mean stock appreciation rights granted pursuant to Section 7 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 shall mean a share of AMC Networks Inc. Class A Common Stock, par value $0.01 per share.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“Subsidiary” shall mean any “subsidiary corporation,” as defined in Section 424(f) of the Internal Revenue Code.</w:t>
      </w:r>
    </w:p>
    <w:p>
      <w:pPr>
        <w:spacing w:after="0" w:line="221" w:lineRule="exact"/>
        <w:rPr>
          <w:sz w:val="20"/>
          <w:szCs w:val="20"/>
          <w:color w:val="auto"/>
        </w:rPr>
      </w:pPr>
    </w:p>
    <w:p>
      <w:pPr>
        <w:jc w:val="both"/>
        <w:ind w:firstLine="656"/>
        <w:spacing w:after="0" w:line="274" w:lineRule="auto"/>
        <w:tabs>
          <w:tab w:leader="none" w:pos="828"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(a) The Plan shall be administered by the Committee, which shall consist of at least the minimum number of members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required by Section 162(m) of the Internal Revenue Code. Such members shall be appointed by, and shall serve at the pleasure of, the Board of Directors. Except as otherwise determined by the Board of Directors, the members of the Committee shall be “non-employee directors” as defined in Rule 16b-3 of the Securities Exchange Act of 1934 (the “Exchange Act”); provided, however, that the failure of the Committee to be so comprised shall not cause any Award to be invalid. The Committee may delegate any of its powers under the Plan to a subcommittee of the Committee (which hereinafter shall also be referred to as the Committee). With respect to any actions taken in connection with</w:t>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Award that is intended to be grandfathered from the amendments to Section 162(m) of the Internal Revenue Code implemented by the Tax Cuts and Jobs Act of 2017 (if any), the members of the Committee (or subcommittee) shall be “outside directors” to the extent required by Section 162(m) of the Internal Revenue Code; provided, however, that the failure of the Committee (or subcommittee) to be so comprised shall not cause any Award to be invalid. The Committee may also delegate (i) to any person who is not a member of the Committee or (ii) to any administrative group within the Company, any of its powers, responsibilities or duties. In delegating its authority, the Committee shall consider the extent to which any delegation may cause Awards to fail to be deductible under Section 162(m) of the Internal Revenue Code or to fail to meet the requirements of Rule 16(b)-3(d)(1) or Rule 16b-3(e) under the Exchange Act.</w:t>
      </w:r>
    </w:p>
    <w:p>
      <w:pPr>
        <w:spacing w:after="0" w:line="195" w:lineRule="exact"/>
        <w:rPr>
          <w:sz w:val="20"/>
          <w:szCs w:val="20"/>
          <w:color w:val="auto"/>
        </w:rPr>
      </w:pPr>
    </w:p>
    <w:p>
      <w:pPr>
        <w:jc w:val="both"/>
        <w:ind w:firstLine="656"/>
        <w:spacing w:after="0" w:line="287" w:lineRule="auto"/>
        <w:tabs>
          <w:tab w:leader="none" w:pos="911"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Committee shall have full authority, subject to the terms of the Plan (including Section 19), to (a) exercise all of the powers granted to it under the Plan, (b) construe, interpret and implement the Plan and all Awards and Award Agreements, (c) prescribe, amend and rescind rules and regulations relating to the Plan, including rules governing its own operations, (d) make all determinations necessary or advisable in administering the Plan,</w:t>
      </w:r>
    </w:p>
    <w:p>
      <w:pPr>
        <w:spacing w:after="0" w:line="2" w:lineRule="exact"/>
        <w:rPr>
          <w:rFonts w:ascii="Arial" w:cs="Arial" w:eastAsia="Arial" w:hAnsi="Arial"/>
          <w:sz w:val="16"/>
          <w:szCs w:val="16"/>
          <w:color w:val="auto"/>
        </w:rPr>
      </w:pPr>
    </w:p>
    <w:p>
      <w:pPr>
        <w:jc w:val="both"/>
        <w:ind w:firstLine="8"/>
        <w:spacing w:after="0" w:line="266" w:lineRule="auto"/>
        <w:tabs>
          <w:tab w:leader="none" w:pos="263"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correct any defect, supply any omission and reconcile any inconsistency in the Plan, (f) amend the Plan, (g) grant Awards and determine who shall receive Awards and the terms and conditions of such Awards, including, but not limited to, conditioning the exercise, vesting, payout or other term or condition of an Award on the achievement of Performance Criteria, (h) amend any outstanding Award in any respect, including, without limitation, to (1) accelerate the time or times at which the Award becomes vested or unrestricted or may be exercised or at which Shares are delivered under the Award (and, without limitation on the Committee’s rights, in connection with such acceleration, the Committee may provide that any Shares delivered pursuant to such Award shall be Restricted Shares, which are subject to vesting, transfer, forfeiture or repayment provisions similar to those in the Participant’s underlying Award) or (2) waive or amend any goals, restrictions, conditions or Performance Criteria (subject to the requirements of Section 162(m) of the Internal Revenue Code, if applicable to the Award) applicable to such Award, or impose new goals or restrictions and (i) determine at any time whether, to what extent and under what circumstances and method or methods (1) Awards may be (A) settled in cash, Shares, other securities, other Awards or other property, (B) exercised or (C) canceled, forfeited or suspended or (2) Shares, other securities, cash, other Awards or other property and other amounts payable with respect to an Award may be deferred either automatically or at the election of the participant or of the Committee. Subject to the requirements of Section 162(m) of the Internal Revenue Code, if applicable to the Award,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 Any provisions set forth in the Plan regarding deductibility under Section 162(m) of the Internal Revenue Code shall apply solely to any Awards that are intended to be grandfathered from the amendments to Section 162(m) of the Internal Revenue Code implemented by the Tax Cuts and Jobs Act of 2017.</w:t>
      </w:r>
    </w:p>
    <w:p>
      <w:pPr>
        <w:spacing w:after="0" w:line="189" w:lineRule="exact"/>
        <w:rPr>
          <w:rFonts w:ascii="Arial" w:cs="Arial" w:eastAsia="Arial" w:hAnsi="Arial"/>
          <w:sz w:val="17"/>
          <w:szCs w:val="17"/>
          <w:color w:val="auto"/>
        </w:rPr>
      </w:pPr>
    </w:p>
    <w:p>
      <w:pPr>
        <w:jc w:val="both"/>
        <w:ind w:firstLine="656"/>
        <w:spacing w:after="0" w:line="268" w:lineRule="auto"/>
        <w:tabs>
          <w:tab w:leader="none" w:pos="8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by agreement or otherwise, or any other power that the Company may have to indemnify such persons or hold them harmless.</w:t>
      </w:r>
    </w:p>
    <w:p>
      <w:pPr>
        <w:spacing w:after="0" w:line="178" w:lineRule="exact"/>
        <w:rPr>
          <w:sz w:val="20"/>
          <w:szCs w:val="20"/>
          <w:color w:val="auto"/>
        </w:rPr>
      </w:pPr>
    </w:p>
    <w:p>
      <w:pPr>
        <w:jc w:val="both"/>
        <w:ind w:firstLine="656"/>
        <w:spacing w:after="0" w:line="261" w:lineRule="auto"/>
        <w:tabs>
          <w:tab w:leader="none" w:pos="841"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Participants. </w:t>
      </w:r>
      <w:r>
        <w:rPr>
          <w:rFonts w:ascii="Arial" w:cs="Arial" w:eastAsia="Arial" w:hAnsi="Arial"/>
          <w:sz w:val="18"/>
          <w:szCs w:val="18"/>
          <w:color w:val="auto"/>
        </w:rPr>
        <w:t>Except as hereinafter provided, all employees of the Company and its Affiliates shall be eligible to receive Awards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except that Options that are intended to qualify as incentive stock options within the meaning of Section 422 of the Internal Revenue Code shall be granted only to employees of the Company or a Subsidiary. Nothing herein contained shall be construed to prevent the making of one or more Awards at the same or different times to the same employee.</w:t>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59" w:lineRule="exact"/>
        <w:rPr>
          <w:sz w:val="20"/>
          <w:szCs w:val="20"/>
          <w:color w:val="auto"/>
        </w:rPr>
      </w:pPr>
    </w:p>
    <w:p>
      <w:pPr>
        <w:jc w:val="both"/>
        <w:ind w:firstLine="656"/>
        <w:spacing w:after="0" w:line="286" w:lineRule="auto"/>
        <w:tabs>
          <w:tab w:leader="none" w:pos="828"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Share Limitations. </w:t>
      </w:r>
      <w:r>
        <w:rPr>
          <w:rFonts w:ascii="Arial" w:cs="Arial" w:eastAsia="Arial" w:hAnsi="Arial"/>
          <w:sz w:val="16"/>
          <w:szCs w:val="16"/>
          <w:color w:val="auto"/>
        </w:rPr>
        <w:t>(a) The Committee may make Awards under this Plan for up to an aggregate number of 12,000,000 Shares, which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either treasury Shares or authorized but unissued Shares. To the extent that (i) an Award shall be paid, settled or exchanged or shall expire, lapse, terminate or be cancelled for any reason, in whole or in part, without the issuance of Shares, (ii) any Shares under an Award are not issued because of payment or withholding obligations or (iii) Restricted Shares shall revert back to the Company prior to the lapse of the Restrictions or be applied by the Company for purposes of tax withholding obligations, then the Committee may also grant Awards with respect to such Shares or Restricted Shares. To the extent that the number of performance-vested restricted stock units that vest under awards that the Company granted under the Prior Plan in 2016 result in the delivery by the Company of Shares exceeding the number of Shares that may be issued under the Prior Plan (the “Prior Plan Limit”), then the number of Shares that exceed the Prior Plan Limit shall be counted against the Share limit under this Plan.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 appropriate to account for the events provided for in Section 12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w:t>
      </w:r>
    </w:p>
    <w:p>
      <w:pPr>
        <w:spacing w:after="0" w:line="175" w:lineRule="exact"/>
        <w:rPr>
          <w:sz w:val="20"/>
          <w:szCs w:val="20"/>
          <w:color w:val="auto"/>
        </w:rPr>
      </w:pPr>
    </w:p>
    <w:p>
      <w:pPr>
        <w:jc w:val="both"/>
        <w:ind w:firstLine="656"/>
        <w:spacing w:after="0" w:line="263" w:lineRule="auto"/>
        <w:tabs>
          <w:tab w:leader="none" w:pos="9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no event shall any Participant be granted Awards during any one (1) calendar year for, or that relate to, an aggregate number of Shares exceeding 2,000,000. The maximum number of Shares underlying Awards that may be granted to an individual in any one (1) calendar year under the Plan shall be adjusted by the Committee as appropriate to account for the events provided for in Section 12 hereof.</w:t>
      </w:r>
    </w:p>
    <w:p>
      <w:pPr>
        <w:spacing w:after="0" w:line="183" w:lineRule="exact"/>
        <w:rPr>
          <w:rFonts w:ascii="Arial" w:cs="Arial" w:eastAsia="Arial" w:hAnsi="Arial"/>
          <w:sz w:val="18"/>
          <w:szCs w:val="18"/>
          <w:color w:val="auto"/>
        </w:rPr>
      </w:pPr>
    </w:p>
    <w:p>
      <w:pPr>
        <w:jc w:val="both"/>
        <w:ind w:firstLine="656"/>
        <w:spacing w:after="0" w:line="257" w:lineRule="auto"/>
        <w:tabs>
          <w:tab w:leader="none" w:pos="8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after the Effective Date, the Company creates a new class of capital stock (a “new class”), then the Committee may grant Awards for shares of the new class. Each share of the new class granted pursuant to an Award shall count against the Share limitation in Section 5(a) as one Share (or such other number as equitably determined by the Committee). Effective as of the date on which any new class is created by an amendment to the Company’s Amended and Restated Certificate of Incorporation, “Share” shall mean a share of AMC Networks Inc. Class A Common Stock, par value $0.01 per share, or a share of such new class, as applicable.</w:t>
      </w:r>
    </w:p>
    <w:p>
      <w:pPr>
        <w:spacing w:after="0" w:line="184" w:lineRule="exact"/>
        <w:rPr>
          <w:sz w:val="20"/>
          <w:szCs w:val="20"/>
          <w:color w:val="auto"/>
        </w:rPr>
      </w:pPr>
    </w:p>
    <w:p>
      <w:pPr>
        <w:ind w:firstLine="656"/>
        <w:spacing w:after="0" w:line="282" w:lineRule="auto"/>
        <w:tabs>
          <w:tab w:leader="none" w:pos="84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Options granted under the Plan shall be either incentive stock options, within the meaning of Section 422 of the Internal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Code, or non-qualified options, as determined by the Committee in its sole discretion.</w:t>
      </w:r>
    </w:p>
    <w:p>
      <w:pPr>
        <w:spacing w:after="0" w:line="162" w:lineRule="exact"/>
        <w:rPr>
          <w:sz w:val="20"/>
          <w:szCs w:val="20"/>
          <w:color w:val="auto"/>
        </w:rPr>
      </w:pPr>
    </w:p>
    <w:p>
      <w:pPr>
        <w:jc w:val="both"/>
        <w:ind w:firstLine="656"/>
        <w:spacing w:after="0" w:line="272" w:lineRule="auto"/>
        <w:tabs>
          <w:tab w:leader="none" w:pos="906"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Terms and Conditions</w:t>
      </w:r>
      <w:r>
        <w:rPr>
          <w:rFonts w:ascii="Arial" w:cs="Arial" w:eastAsia="Arial" w:hAnsi="Arial"/>
          <w:sz w:val="17"/>
          <w:szCs w:val="17"/>
          <w:color w:val="auto"/>
        </w:rPr>
        <w:t>. The form, terms and conditions of each Option shall be determined by the Committee and shall be set forth in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Such terms and conditions may include, without limitation, provisions relating to the vesting and exercisability of such Options as well as the conditions or circumstances upon which such Options may be accelerated, extended, forfeited or otherwise modified. The Committee may, in its sole discretion, establish one or more conditions to the vesting or exercise of an Option including, without limitation, conditions the satisfaction of which are measured by Performance Criteria; provided that, if such Option is designated as an incentive stock option, then such condition or conditions shall not be inconsistent with Section 422 of the Internal Revenue Code. Unless the Award Agreement specifies that the Option is an incentive stock option, it shall be a non-qualified stock option. All or any part of any Options granted to any Participant may be made exercisable upon the occurrence of such special circumstances or events as determined in the sole discretion of the Committee.</w:t>
      </w:r>
    </w:p>
    <w:p>
      <w:pPr>
        <w:spacing w:after="0" w:line="171" w:lineRule="exact"/>
        <w:rPr>
          <w:rFonts w:ascii="Arial" w:cs="Arial" w:eastAsia="Arial" w:hAnsi="Arial"/>
          <w:sz w:val="17"/>
          <w:szCs w:val="17"/>
          <w:color w:val="auto"/>
        </w:rPr>
      </w:pPr>
    </w:p>
    <w:p>
      <w:pPr>
        <w:jc w:val="both"/>
        <w:ind w:right="20" w:firstLine="656"/>
        <w:spacing w:after="0" w:line="314" w:lineRule="auto"/>
        <w:tabs>
          <w:tab w:leader="none" w:pos="93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Exercise Price for Options</w:t>
      </w:r>
      <w:r>
        <w:rPr>
          <w:rFonts w:ascii="Arial" w:cs="Arial" w:eastAsia="Arial" w:hAnsi="Arial"/>
          <w:sz w:val="16"/>
          <w:szCs w:val="16"/>
          <w:color w:val="auto"/>
        </w:rPr>
        <w:t>. The exercise price per Share of the Shares to be purchased pursuant to any Option shall be fixed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at the time an Option is granted, but in no event shall it be less than the Fair Market Value of a Share on the day on which the Option is granted. Such exercise price shall thereafter be subject to adjustment as required by the Award Agreement relating to each Option or Section 12 hereof.</w:t>
      </w:r>
    </w:p>
    <w:p>
      <w:pPr>
        <w:spacing w:after="0" w:line="141" w:lineRule="exact"/>
        <w:rPr>
          <w:rFonts w:ascii="Arial" w:cs="Arial" w:eastAsia="Arial" w:hAnsi="Arial"/>
          <w:sz w:val="16"/>
          <w:szCs w:val="16"/>
          <w:color w:val="auto"/>
        </w:rPr>
      </w:pPr>
    </w:p>
    <w:p>
      <w:pPr>
        <w:jc w:val="both"/>
        <w:ind w:firstLine="656"/>
        <w:spacing w:after="0" w:line="281" w:lineRule="auto"/>
        <w:tabs>
          <w:tab w:leader="none" w:pos="906"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Duration of Options</w:t>
      </w:r>
      <w:r>
        <w:rPr>
          <w:rFonts w:ascii="Arial" w:cs="Arial" w:eastAsia="Arial" w:hAnsi="Arial"/>
          <w:sz w:val="17"/>
          <w:szCs w:val="17"/>
          <w:color w:val="auto"/>
        </w:rPr>
        <w:t>. The duration of any Option granted under this Plan shall be for a period fixed by the Committee but shall,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the 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w:t>
      </w:r>
    </w:p>
    <w:p>
      <w:pPr>
        <w:spacing w:after="0" w:line="164" w:lineRule="exact"/>
        <w:rPr>
          <w:rFonts w:ascii="Arial" w:cs="Arial" w:eastAsia="Arial" w:hAnsi="Arial"/>
          <w:sz w:val="17"/>
          <w:szCs w:val="17"/>
          <w:color w:val="auto"/>
        </w:rPr>
      </w:pPr>
    </w:p>
    <w:p>
      <w:pPr>
        <w:jc w:val="both"/>
        <w:ind w:firstLine="656"/>
        <w:spacing w:after="0" w:line="261" w:lineRule="auto"/>
        <w:tabs>
          <w:tab w:leader="none" w:pos="916"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Incentive Stock Options Granted to Ten Percent Stockholders</w:t>
      </w:r>
      <w:r>
        <w:rPr>
          <w:rFonts w:ascii="Arial" w:cs="Arial" w:eastAsia="Arial" w:hAnsi="Arial"/>
          <w:sz w:val="18"/>
          <w:szCs w:val="18"/>
          <w:color w:val="auto"/>
        </w:rPr>
        <w:t>. To the extent required by Section 422 of the Internal Revenue Code, no</w:t>
      </w:r>
      <w:r>
        <w:rPr>
          <w:rFonts w:ascii="Arial" w:cs="Arial" w:eastAsia="Arial" w:hAnsi="Arial"/>
          <w:sz w:val="18"/>
          <w:szCs w:val="18"/>
          <w:b w:val="1"/>
          <w:bCs w:val="1"/>
          <w:color w:val="auto"/>
        </w:rPr>
        <w:t xml:space="preserve"> </w:t>
      </w:r>
      <w:r>
        <w:rPr>
          <w:rFonts w:ascii="Arial" w:cs="Arial" w:eastAsia="Arial" w:hAnsi="Arial"/>
          <w:sz w:val="18"/>
          <w:szCs w:val="18"/>
          <w:color w:val="auto"/>
        </w:rPr>
        <w:t>Option which is intended to qualify as an incentive stock option shall be granted under this Plan to any employee who, at the time the Option is granted, owns, or is considered owning, within the meaning of Section 422 of the Internal Revenue Code, shares possessing more than ten percent (10%) of the total combined voting power or value of all</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classes of stock of the Company or any Subsidiary, unless the exercise price under such Option is at least one hundred and ten percent (110%) of the Fair Market Value of a Share on the date such Option is granted and the duration of such option is no more than five (5) years.</w:t>
      </w:r>
    </w:p>
    <w:p>
      <w:pPr>
        <w:spacing w:after="0" w:line="166" w:lineRule="exact"/>
        <w:rPr>
          <w:sz w:val="20"/>
          <w:szCs w:val="20"/>
          <w:color w:val="auto"/>
        </w:rPr>
      </w:pPr>
    </w:p>
    <w:p>
      <w:pPr>
        <w:jc w:val="both"/>
        <w:ind w:firstLine="656"/>
        <w:spacing w:after="0" w:line="258" w:lineRule="auto"/>
        <w:tabs>
          <w:tab w:leader="none" w:pos="90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Initial Exercisability Limitation</w:t>
      </w:r>
      <w:r>
        <w:rPr>
          <w:rFonts w:ascii="Arial" w:cs="Arial" w:eastAsia="Arial" w:hAnsi="Arial"/>
          <w:sz w:val="18"/>
          <w:szCs w:val="18"/>
          <w:color w:val="auto"/>
        </w:rPr>
        <w:t>. The aggregate Fair Market Value (determined at the time that an Option is granted) of the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incentive stock options granted in any calendar year under all stock option plans of the Company or any corporation which (at the time of the granting of such incentive stock option) was a parent or Subsidiary of the Company, or of any predecessor corporation of any such corporation, which are exercisable for the first time by a Participant during any calendar year shall not exceed $100,000, or, if different, the maximum allowed under Section 422 of the Internal Revenue Code.</w:t>
      </w:r>
    </w:p>
    <w:p>
      <w:pPr>
        <w:spacing w:after="0" w:line="183" w:lineRule="exact"/>
        <w:rPr>
          <w:rFonts w:ascii="Arial" w:cs="Arial" w:eastAsia="Arial" w:hAnsi="Arial"/>
          <w:sz w:val="18"/>
          <w:szCs w:val="18"/>
          <w:color w:val="auto"/>
        </w:rPr>
      </w:pPr>
    </w:p>
    <w:p>
      <w:pPr>
        <w:jc w:val="both"/>
        <w:ind w:firstLine="656"/>
        <w:spacing w:after="0" w:line="274" w:lineRule="auto"/>
        <w:tabs>
          <w:tab w:leader="none" w:pos="873"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Settlement of an Option</w:t>
      </w:r>
      <w:r>
        <w:rPr>
          <w:rFonts w:ascii="Arial" w:cs="Arial" w:eastAsia="Arial" w:hAnsi="Arial"/>
          <w:sz w:val="17"/>
          <w:szCs w:val="17"/>
          <w:color w:val="auto"/>
        </w:rPr>
        <w:t>. When an Option is exercised pursuant to Section 8 hereof, the Committee, in its sole discretion, may elect, in lieu of</w:t>
      </w:r>
      <w:r>
        <w:rPr>
          <w:rFonts w:ascii="Arial" w:cs="Arial" w:eastAsia="Arial" w:hAnsi="Arial"/>
          <w:sz w:val="17"/>
          <w:szCs w:val="17"/>
          <w:b w:val="1"/>
          <w:bCs w:val="1"/>
          <w:color w:val="auto"/>
        </w:rPr>
        <w:t xml:space="preserve"> </w:t>
      </w:r>
      <w:r>
        <w:rPr>
          <w:rFonts w:ascii="Arial" w:cs="Arial" w:eastAsia="Arial" w:hAnsi="Arial"/>
          <w:sz w:val="17"/>
          <w:szCs w:val="17"/>
          <w:color w:val="auto"/>
        </w:rPr>
        <w:t>issuing Shares pursuant to the terms of the Option, to settle the Option by paying the Participant an amount equal to the product obtained by multiplying (i) the excess of the Fair Market Value of one Share on the date the Option is 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w:t>
      </w:r>
    </w:p>
    <w:p>
      <w:pPr>
        <w:spacing w:after="0" w:line="173" w:lineRule="exact"/>
        <w:rPr>
          <w:sz w:val="20"/>
          <w:szCs w:val="20"/>
          <w:color w:val="auto"/>
        </w:rPr>
      </w:pPr>
    </w:p>
    <w:p>
      <w:pPr>
        <w:ind w:left="860" w:hanging="204"/>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Rights</w:t>
      </w:r>
      <w:r>
        <w:rPr>
          <w:rFonts w:ascii="Arial" w:cs="Arial" w:eastAsia="Arial" w:hAnsi="Arial"/>
          <w:sz w:val="17"/>
          <w:szCs w:val="17"/>
          <w:color w:val="auto"/>
        </w:rPr>
        <w:t>. The Committee may grant to employees the right to receive such number of Rights, as determined by the Committee in its sole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discretion.</w:t>
      </w:r>
    </w:p>
    <w:p>
      <w:pPr>
        <w:spacing w:after="0" w:line="207" w:lineRule="exact"/>
        <w:rPr>
          <w:sz w:val="20"/>
          <w:szCs w:val="20"/>
          <w:color w:val="auto"/>
        </w:rPr>
      </w:pPr>
    </w:p>
    <w:p>
      <w:pPr>
        <w:jc w:val="both"/>
        <w:ind w:firstLine="656"/>
        <w:spacing w:after="0" w:line="274" w:lineRule="auto"/>
        <w:tabs>
          <w:tab w:leader="none" w:pos="892"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Terms and Conditions</w:t>
      </w:r>
      <w:r>
        <w:rPr>
          <w:rFonts w:ascii="Arial" w:cs="Arial" w:eastAsia="Arial" w:hAnsi="Arial"/>
          <w:sz w:val="17"/>
          <w:szCs w:val="17"/>
          <w:color w:val="auto"/>
        </w:rPr>
        <w:t>. The form, terms and conditions of each Right shall be determined by the Committee and shall be set forth in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Such terms and conditions may include, without limitation, provisions relating to the vesting and exercisability of such Rights as well as the conditions or circumstances upon which such Rights may be accelerated, extended, forfeited or otherwise modified. The Committee may, in its sole discretion, establish one or more conditions to the vesting or exercise of a Right including, without limitation, conditions the satisfaction of which are measured by Performance Criteria. All or any part of any outstanding Rights granted to any Participant may be made exercisable upon the occurrence of such special circumstances or events as determined in the sole discretion of the Committee.</w:t>
      </w:r>
    </w:p>
    <w:p>
      <w:pPr>
        <w:spacing w:after="0" w:line="173" w:lineRule="exact"/>
        <w:rPr>
          <w:rFonts w:ascii="Arial" w:cs="Arial" w:eastAsia="Arial" w:hAnsi="Arial"/>
          <w:sz w:val="17"/>
          <w:szCs w:val="17"/>
          <w:color w:val="auto"/>
        </w:rPr>
      </w:pPr>
    </w:p>
    <w:p>
      <w:pPr>
        <w:jc w:val="both"/>
        <w:ind w:firstLine="656"/>
        <w:spacing w:after="0" w:line="266" w:lineRule="auto"/>
        <w:tabs>
          <w:tab w:leader="none" w:pos="903"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Exercise Price for Rights</w:t>
      </w:r>
      <w:r>
        <w:rPr>
          <w:rFonts w:ascii="Arial" w:cs="Arial" w:eastAsia="Arial" w:hAnsi="Arial"/>
          <w:sz w:val="18"/>
          <w:szCs w:val="18"/>
          <w:color w:val="auto"/>
        </w:rPr>
        <w:t>. The exercise price of each Right shall be fixed by the Committee at the time a Right is granted, but in no event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it be less than the Fair Market Value of a Share on the day on which the Right is granted. Such exercise price shall thereafter be subject to adjustment as required by the Award Agreement relating to each Right or Section 12 hereof.</w:t>
      </w:r>
    </w:p>
    <w:p>
      <w:pPr>
        <w:spacing w:after="0" w:line="175" w:lineRule="exact"/>
        <w:rPr>
          <w:rFonts w:ascii="Arial" w:cs="Arial" w:eastAsia="Arial" w:hAnsi="Arial"/>
          <w:sz w:val="18"/>
          <w:szCs w:val="18"/>
          <w:color w:val="auto"/>
        </w:rPr>
      </w:pPr>
    </w:p>
    <w:p>
      <w:pPr>
        <w:jc w:val="both"/>
        <w:ind w:firstLine="656"/>
        <w:spacing w:after="0" w:line="281" w:lineRule="auto"/>
        <w:tabs>
          <w:tab w:leader="none" w:pos="915"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Duration of Rights</w:t>
      </w:r>
      <w:r>
        <w:rPr>
          <w:rFonts w:ascii="Arial" w:cs="Arial" w:eastAsia="Arial" w:hAnsi="Arial"/>
          <w:sz w:val="17"/>
          <w:szCs w:val="17"/>
          <w:color w:val="auto"/>
        </w:rPr>
        <w:t>. The duration of any Right granted under this Plan shall be for a period fixed by the Committee but shall,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the next sentence, in no event be more than ten (10) years. Notwithstanding the foregoing, an Award Agreement may provide that, in the event the Participant dies while the Right is outstanding, the Right will remain outstanding until the first anniversary of the Participant’s date of death, and whether or not such first anniversary occurs prior to or following the expiration of ten (10) years from the date the Right was granted.</w:t>
      </w:r>
    </w:p>
    <w:p>
      <w:pPr>
        <w:spacing w:after="0" w:line="164" w:lineRule="exact"/>
        <w:rPr>
          <w:rFonts w:ascii="Arial" w:cs="Arial" w:eastAsia="Arial" w:hAnsi="Arial"/>
          <w:sz w:val="17"/>
          <w:szCs w:val="17"/>
          <w:color w:val="auto"/>
        </w:rPr>
      </w:pPr>
    </w:p>
    <w:p>
      <w:pPr>
        <w:jc w:val="both"/>
        <w:ind w:firstLine="656"/>
        <w:spacing w:after="0" w:line="303" w:lineRule="auto"/>
        <w:tabs>
          <w:tab w:leader="none" w:pos="903"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Settlement of Rights</w:t>
      </w:r>
      <w:r>
        <w:rPr>
          <w:rFonts w:ascii="Arial" w:cs="Arial" w:eastAsia="Arial" w:hAnsi="Arial"/>
          <w:sz w:val="16"/>
          <w:szCs w:val="16"/>
          <w:color w:val="auto"/>
        </w:rPr>
        <w:t>. Upon the exercise of any Rights, the Participant shall be entitled to receive from the Company an amount equal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obtained by multiplying (i) the excess of the Fair Market Value of one Share on the date the Rights are exercised over the exercise price of the related Right by (ii) the number of Shares to which such Rights are related. Such amount shall be paid in cash, in Shares having a Fair Market Value equal to such amount, or a combination of cash and Shares, as the Committee shall determine at the time the Right is exercised or at the time the Right is granted.</w:t>
      </w:r>
    </w:p>
    <w:p>
      <w:pPr>
        <w:spacing w:after="0" w:line="151" w:lineRule="exact"/>
        <w:rPr>
          <w:sz w:val="20"/>
          <w:szCs w:val="20"/>
          <w:color w:val="auto"/>
        </w:rPr>
      </w:pPr>
    </w:p>
    <w:p>
      <w:pPr>
        <w:jc w:val="both"/>
        <w:ind w:firstLine="656"/>
        <w:spacing w:after="0" w:line="287" w:lineRule="auto"/>
        <w:tabs>
          <w:tab w:leader="none" w:pos="841"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Exercise of Options and Rights</w:t>
      </w:r>
      <w:r>
        <w:rPr>
          <w:rFonts w:ascii="Arial" w:cs="Arial" w:eastAsia="Arial" w:hAnsi="Arial"/>
          <w:sz w:val="16"/>
          <w:szCs w:val="16"/>
          <w:color w:val="auto"/>
        </w:rPr>
        <w:t>. (a) An Option or Right shall be exercised by the delivery to any person who has been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the purpose of receiving the same, of a written notice duly signed by the Participant (or the representative of the estate or the heirs of a deceased Participant) to such effect (or electronic notice in a manner, if any, previously approved by the Company). Unless the Company chooses to settle an Option in cash, Shares or a combination thereof pursuant to Section 6(f) hereof, the Participant shall be required to deliver to the Company, within five</w:t>
      </w:r>
    </w:p>
    <w:p>
      <w:pPr>
        <w:spacing w:after="0" w:line="2" w:lineRule="exact"/>
        <w:rPr>
          <w:rFonts w:ascii="Arial" w:cs="Arial" w:eastAsia="Arial" w:hAnsi="Arial"/>
          <w:sz w:val="16"/>
          <w:szCs w:val="16"/>
          <w:color w:val="auto"/>
        </w:rPr>
      </w:pPr>
    </w:p>
    <w:p>
      <w:pPr>
        <w:jc w:val="both"/>
        <w:ind w:firstLine="8"/>
        <w:spacing w:after="0" w:line="253" w:lineRule="auto"/>
        <w:tabs>
          <w:tab w:leader="none" w:pos="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days of the delivery of the notice described above, either cash, a check payable to the order of the Company, Shares duly endorsed over to the Company (which Shares shall be valued at their Fair Market Value as of the date preceding the day of such exercise) or any combination of such methods of payment,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 the Option.</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ind w:firstLine="656"/>
        <w:spacing w:after="0" w:line="275" w:lineRule="auto"/>
        <w:tabs>
          <w:tab w:leader="none" w:pos="9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to the extent the Committee chooses to settle any Option or Right in cash pursuant to Section 6(f) or 7(d) hereof, within a reasonable time after exercise of an Option or Right the Company shall either issue to the Participant a certificate representing the Shares purchased pursuant to the exercise of the Option or Right or credit the number of such Shares to a book-entry account. To the extent the Committee chooses to settle any Option or Right in cash pursuant to Section 6(f) or 7(d), within a reasonable time after exercise of an Option or Right the Company shall cause to be delivered to the person entitled thereto a payment for the amount payable pursuant to the exercise of the Option or Right.</w:t>
      </w:r>
    </w:p>
    <w:p>
      <w:pPr>
        <w:spacing w:after="0" w:line="172" w:lineRule="exact"/>
        <w:rPr>
          <w:sz w:val="20"/>
          <w:szCs w:val="20"/>
          <w:color w:val="auto"/>
        </w:rPr>
      </w:pPr>
    </w:p>
    <w:p>
      <w:pPr>
        <w:ind w:firstLine="656"/>
        <w:spacing w:after="0" w:line="282" w:lineRule="auto"/>
        <w:tabs>
          <w:tab w:leader="none" w:pos="85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Restricted Shares</w:t>
      </w:r>
      <w:r>
        <w:rPr>
          <w:rFonts w:ascii="Arial" w:cs="Arial" w:eastAsia="Arial" w:hAnsi="Arial"/>
          <w:sz w:val="18"/>
          <w:szCs w:val="18"/>
          <w:color w:val="auto"/>
        </w:rPr>
        <w:t>. The Committee may grant to employees the right to receive such number of Restricted Shares,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w:t>
      </w:r>
    </w:p>
    <w:p>
      <w:pPr>
        <w:spacing w:after="0" w:line="162" w:lineRule="exact"/>
        <w:rPr>
          <w:sz w:val="20"/>
          <w:szCs w:val="20"/>
          <w:color w:val="auto"/>
        </w:rPr>
      </w:pPr>
    </w:p>
    <w:p>
      <w:pPr>
        <w:jc w:val="both"/>
        <w:ind w:firstLine="656"/>
        <w:spacing w:after="0" w:line="258" w:lineRule="auto"/>
        <w:tabs>
          <w:tab w:leader="none" w:pos="89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Issuance; Terms and Conditions</w:t>
      </w:r>
      <w:r>
        <w:rPr>
          <w:rFonts w:ascii="Arial" w:cs="Arial" w:eastAsia="Arial" w:hAnsi="Arial"/>
          <w:sz w:val="18"/>
          <w:szCs w:val="18"/>
          <w:color w:val="auto"/>
        </w:rPr>
        <w:t>. The form, terms and conditions of each Restricted Share shall be determined by the Committee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an Award Agreement. Such terms and conditions may include, without limitation, the Restrictions upon such Restricted Shares, the dates as of which Restrictions upon such Restricted Shares will cease, and the conditions or circumstances upon which such Restricted Shares will be forfeited or otherwise modified. The Committee may, in its sole discretion, establish one or more Restrictions to the vesting of a Restricted Share that relate to the satisfaction of Performance Criteria.</w:t>
      </w:r>
    </w:p>
    <w:p>
      <w:pPr>
        <w:spacing w:after="0" w:line="183" w:lineRule="exact"/>
        <w:rPr>
          <w:rFonts w:ascii="Arial" w:cs="Arial" w:eastAsia="Arial" w:hAnsi="Arial"/>
          <w:sz w:val="18"/>
          <w:szCs w:val="18"/>
          <w:color w:val="auto"/>
        </w:rPr>
      </w:pPr>
    </w:p>
    <w:p>
      <w:pPr>
        <w:jc w:val="both"/>
        <w:ind w:firstLine="656"/>
        <w:spacing w:after="0" w:line="253" w:lineRule="auto"/>
        <w:tabs>
          <w:tab w:leader="none" w:pos="93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Payment of Par Value</w:t>
      </w:r>
      <w:r>
        <w:rPr>
          <w:rFonts w:ascii="Arial" w:cs="Arial" w:eastAsia="Arial" w:hAnsi="Arial"/>
          <w:sz w:val="18"/>
          <w:szCs w:val="18"/>
          <w:color w:val="auto"/>
        </w:rPr>
        <w:t>. To the extent a Participant is required by law to pay to the Company the par value of a Restricted Share,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have forty-five (45) business days from the date of such grant to pay to the Company, in cash or by check, an amount equal to the par value of a Share multiplied by the number of Shares or Restricted Shares which have been granted to the employee by the Committee. In such instances, if the Participant fails to make payment to the Company for such Shares or Restricted Shares within forty-five (45) business days of the grant thereof, the Company shall withhold, or shall cause to be withheld, the amount of such payment from compensation otherwise due the employee from the Company or any Affiliate. Unless the Committee determines otherwise, a Participant’s prior service with the Company or any of its Affiliates shall be deemed sufficient consideration for such Restricted Shares and no payment therefore (including, without limitation, for the par value of the Restricted Shares) shall be due from the Participant. Subject to the provisions of Section 15 hereof, the Committee, in its sole discretion, shall either issue to the employee a certificate representing such Restricted Shares or credit the number of such Restricted Shares to a book-entry account upon the payment due, if any, pursuant to this paragraph.</w:t>
      </w:r>
    </w:p>
    <w:p>
      <w:pPr>
        <w:spacing w:after="0" w:line="194" w:lineRule="exact"/>
        <w:rPr>
          <w:rFonts w:ascii="Arial" w:cs="Arial" w:eastAsia="Arial" w:hAnsi="Arial"/>
          <w:sz w:val="18"/>
          <w:szCs w:val="18"/>
          <w:color w:val="auto"/>
        </w:rPr>
      </w:pPr>
    </w:p>
    <w:p>
      <w:pPr>
        <w:jc w:val="both"/>
        <w:ind w:firstLine="656"/>
        <w:spacing w:after="0" w:line="261" w:lineRule="auto"/>
        <w:tabs>
          <w:tab w:leader="none" w:pos="90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Restriction on Shares</w:t>
      </w:r>
      <w:r>
        <w:rPr>
          <w:rFonts w:ascii="Arial" w:cs="Arial" w:eastAsia="Arial" w:hAnsi="Arial"/>
          <w:sz w:val="18"/>
          <w:szCs w:val="18"/>
          <w:color w:val="auto"/>
        </w:rPr>
        <w:t>. In no event shall a Restricted Share be sold, assigned, transferred, pledged or otherwise disposed of or encumbered</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expiration of the Restricted Period which relates to such Restricted Share. All or any part of any outstanding Restricted Shares granted to any Participant may be vested in full and the Restrictions thereon shall lapse upon the occurrence of such special circumstances or events as determined in the sole discretion of the Committee.</w:t>
      </w:r>
    </w:p>
    <w:p>
      <w:pPr>
        <w:spacing w:after="0" w:line="179" w:lineRule="exact"/>
        <w:rPr>
          <w:rFonts w:ascii="Arial" w:cs="Arial" w:eastAsia="Arial" w:hAnsi="Arial"/>
          <w:sz w:val="18"/>
          <w:szCs w:val="18"/>
          <w:color w:val="auto"/>
        </w:rPr>
      </w:pPr>
    </w:p>
    <w:p>
      <w:pPr>
        <w:jc w:val="both"/>
        <w:ind w:firstLine="656"/>
        <w:spacing w:after="0" w:line="256" w:lineRule="auto"/>
        <w:tabs>
          <w:tab w:leader="none" w:pos="90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Forfeiture of Restricted Shares</w:t>
      </w:r>
      <w:r>
        <w:rPr>
          <w:rFonts w:ascii="Arial" w:cs="Arial" w:eastAsia="Arial" w:hAnsi="Arial"/>
          <w:sz w:val="18"/>
          <w:szCs w:val="18"/>
          <w:color w:val="auto"/>
        </w:rPr>
        <w:t>. If Restricted Shares are forfeited pursuant to the terms of the Plan or an Award Agreement, such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shall revert back and belong to the Company. In the event that any Restricted Shares should be forfeited by the Participant, revert back and belong to the Company, any stock certificate or certificates representing such Restricted Shares shall be cancelled and the Restricted Shares shall be returned to the treasury of the Company. Upon the reversion of such Restricted Shares, the Company shall repay to the employee or (in the case of death) to the representative of the employee’s estate, the full cash amount paid, if any, to the Company by the employee for such Restricted Shares pursuant to Section 9(b) hereof.</w:t>
      </w:r>
    </w:p>
    <w:p>
      <w:pPr>
        <w:spacing w:after="0" w:line="187" w:lineRule="exact"/>
        <w:rPr>
          <w:rFonts w:ascii="Arial" w:cs="Arial" w:eastAsia="Arial" w:hAnsi="Arial"/>
          <w:sz w:val="18"/>
          <w:szCs w:val="18"/>
          <w:color w:val="auto"/>
        </w:rPr>
      </w:pPr>
    </w:p>
    <w:p>
      <w:pPr>
        <w:jc w:val="both"/>
        <w:ind w:firstLine="656"/>
        <w:spacing w:after="0" w:line="274" w:lineRule="auto"/>
        <w:tabs>
          <w:tab w:leader="none" w:pos="892"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Right to Vote and Receive Dividends on Restricted Shares</w:t>
      </w:r>
      <w:r>
        <w:rPr>
          <w:rFonts w:ascii="Arial" w:cs="Arial" w:eastAsia="Arial" w:hAnsi="Arial"/>
          <w:sz w:val="17"/>
          <w:szCs w:val="17"/>
          <w:color w:val="auto"/>
        </w:rPr>
        <w:t>. Each Participant shall, during the Restricted Period, be the beneficial and record</w:t>
      </w:r>
      <w:r>
        <w:rPr>
          <w:rFonts w:ascii="Arial" w:cs="Arial" w:eastAsia="Arial" w:hAnsi="Arial"/>
          <w:sz w:val="17"/>
          <w:szCs w:val="17"/>
          <w:b w:val="1"/>
          <w:bCs w:val="1"/>
          <w:color w:val="auto"/>
        </w:rPr>
        <w:t xml:space="preserve"> </w:t>
      </w:r>
      <w:r>
        <w:rPr>
          <w:rFonts w:ascii="Arial" w:cs="Arial" w:eastAsia="Arial" w:hAnsi="Arial"/>
          <w:sz w:val="17"/>
          <w:szCs w:val="17"/>
          <w:color w:val="auto"/>
        </w:rPr>
        <w:t>owner of such Restricted Shares and shall have full voting rights with respect thereto. Unless the Committee determines otherwise, during the Restricted Period, all ordinary cash dividends (as determined by the Committee in its sole discretion) paid upon any Restricted Share shall be retained by the Company for the account of the relevant Participant. Such dividends shall revert back to the Company if for any reason the Restricted Share upon which such dividends were paid reverts back to the Company. Upon the expiration of the Restricted Period, all such dividends made on such Restricted Share and retained by the Company will be paid to the relevant Participant.</w:t>
      </w:r>
    </w:p>
    <w:p>
      <w:pPr>
        <w:spacing w:after="0" w:line="173" w:lineRule="exact"/>
        <w:rPr>
          <w:sz w:val="20"/>
          <w:szCs w:val="20"/>
          <w:color w:val="auto"/>
        </w:rPr>
      </w:pPr>
    </w:p>
    <w:p>
      <w:pPr>
        <w:ind w:left="960" w:hanging="304"/>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Restricted Stock Units</w:t>
      </w:r>
      <w:r>
        <w:rPr>
          <w:rFonts w:ascii="Arial" w:cs="Arial" w:eastAsia="Arial" w:hAnsi="Arial"/>
          <w:sz w:val="17"/>
          <w:szCs w:val="17"/>
          <w:color w:val="auto"/>
        </w:rPr>
        <w:t>. The Committee may grant employees such number of Restricted Stock Units as it may determine in its sole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discretion.</w:t>
      </w:r>
    </w:p>
    <w:p>
      <w:pPr>
        <w:spacing w:after="0" w:line="207" w:lineRule="exact"/>
        <w:rPr>
          <w:sz w:val="20"/>
          <w:szCs w:val="20"/>
          <w:color w:val="auto"/>
        </w:rPr>
      </w:pPr>
    </w:p>
    <w:p>
      <w:pPr>
        <w:jc w:val="both"/>
        <w:ind w:firstLine="656"/>
        <w:spacing w:after="0" w:line="258" w:lineRule="auto"/>
        <w:tabs>
          <w:tab w:leader="none" w:pos="89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Terms and Conditions</w:t>
      </w:r>
      <w:r>
        <w:rPr>
          <w:rFonts w:ascii="Arial" w:cs="Arial" w:eastAsia="Arial" w:hAnsi="Arial"/>
          <w:sz w:val="18"/>
          <w:szCs w:val="18"/>
          <w:color w:val="auto"/>
        </w:rPr>
        <w:t>. The form, terms and conditions of each Restricted Stock Unit shall be determined by the Committee and shall be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an 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The Committee may, in its sole discretion, establish one or more conditions to the vesting of a Restricted Stock Unit</w:t>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without limitation, conditions the satisfaction of which are measured by Performance Criteria. All or any part of any outstanding Restricted Stock Unit granted to any Participant may be vested in full or paid upon the occurrence of such special circumstances or events as determined in the sole discretion of the Committee.</w:t>
      </w:r>
    </w:p>
    <w:p>
      <w:pPr>
        <w:spacing w:after="0" w:line="180" w:lineRule="exact"/>
        <w:rPr>
          <w:sz w:val="20"/>
          <w:szCs w:val="20"/>
          <w:color w:val="auto"/>
        </w:rPr>
      </w:pPr>
    </w:p>
    <w:p>
      <w:pPr>
        <w:jc w:val="both"/>
        <w:ind w:firstLine="656"/>
        <w:spacing w:after="0" w:line="255" w:lineRule="auto"/>
        <w:tabs>
          <w:tab w:leader="none" w:pos="90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Settlement of Restricted Stock Units</w:t>
      </w:r>
      <w:r>
        <w:rPr>
          <w:rFonts w:ascii="Arial" w:cs="Arial" w:eastAsia="Arial" w:hAnsi="Arial"/>
          <w:sz w:val="18"/>
          <w:szCs w:val="18"/>
          <w:color w:val="auto"/>
        </w:rPr>
        <w:t>. The Committee, in its sole discretion, may instruct the Company to pay on the date when Shares would</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an adjustment, pursuant to Section 12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w:t>
      </w:r>
    </w:p>
    <w:p>
      <w:pPr>
        <w:spacing w:after="0" w:line="188" w:lineRule="exact"/>
        <w:rPr>
          <w:rFonts w:ascii="Arial" w:cs="Arial" w:eastAsia="Arial" w:hAnsi="Arial"/>
          <w:sz w:val="18"/>
          <w:szCs w:val="18"/>
          <w:color w:val="auto"/>
        </w:rPr>
      </w:pPr>
    </w:p>
    <w:p>
      <w:pPr>
        <w:jc w:val="both"/>
        <w:ind w:firstLine="656"/>
        <w:spacing w:after="0" w:line="314" w:lineRule="auto"/>
        <w:tabs>
          <w:tab w:leader="none" w:pos="892"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Right to Receive Dividends on Restricted Stock Units</w:t>
      </w:r>
      <w:r>
        <w:rPr>
          <w:rFonts w:ascii="Arial" w:cs="Arial" w:eastAsia="Arial" w:hAnsi="Arial"/>
          <w:sz w:val="16"/>
          <w:szCs w:val="16"/>
          <w:color w:val="auto"/>
        </w:rPr>
        <w:t>. Unless the Committee determines otherwise, during the period prior to payment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w:t>
      </w:r>
    </w:p>
    <w:p>
      <w:pPr>
        <w:spacing w:after="0" w:line="142" w:lineRule="exact"/>
        <w:rPr>
          <w:sz w:val="20"/>
          <w:szCs w:val="20"/>
          <w:color w:val="auto"/>
        </w:rPr>
      </w:pPr>
    </w:p>
    <w:p>
      <w:pPr>
        <w:jc w:val="both"/>
        <w:ind w:firstLine="656"/>
        <w:spacing w:after="0" w:line="266" w:lineRule="auto"/>
        <w:tabs>
          <w:tab w:leader="none" w:pos="911"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Grant of Other Stock-Based Awards</w:t>
      </w:r>
      <w:r>
        <w:rPr>
          <w:rFonts w:ascii="Arial" w:cs="Arial" w:eastAsia="Arial" w:hAnsi="Arial"/>
          <w:sz w:val="18"/>
          <w:szCs w:val="18"/>
          <w:color w:val="auto"/>
        </w:rPr>
        <w:t>. The Committee may grant other types of equity-based or equity-related Awards (including unrestricted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such amounts and subject to such terms and conditions as the Committee shall determine. Such Awards may entail the transfer of actual Shares, or payment in cash or otherwise of amounts based on the value of Shares.</w:t>
      </w:r>
    </w:p>
    <w:p>
      <w:pPr>
        <w:spacing w:after="0" w:line="175" w:lineRule="exact"/>
        <w:rPr>
          <w:rFonts w:ascii="Arial" w:cs="Arial" w:eastAsia="Arial" w:hAnsi="Arial"/>
          <w:sz w:val="18"/>
          <w:szCs w:val="18"/>
          <w:color w:val="auto"/>
        </w:rPr>
      </w:pPr>
    </w:p>
    <w:p>
      <w:pPr>
        <w:jc w:val="both"/>
        <w:ind w:firstLine="656"/>
        <w:spacing w:after="0" w:line="253" w:lineRule="auto"/>
        <w:tabs>
          <w:tab w:leader="none" w:pos="918"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Certain Adjustments</w:t>
      </w:r>
      <w:r>
        <w:rPr>
          <w:rFonts w:ascii="Arial" w:cs="Arial" w:eastAsia="Arial" w:hAnsi="Arial"/>
          <w:sz w:val="18"/>
          <w:szCs w:val="18"/>
          <w:color w:val="auto"/>
        </w:rPr>
        <w:t>. (a) In the event that any dividend or other distribution (whether in the form of cash, Shares, other securities,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12(a),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w:t>
      </w:r>
    </w:p>
    <w:p>
      <w:pPr>
        <w:spacing w:after="0" w:line="194" w:lineRule="exact"/>
        <w:rPr>
          <w:sz w:val="20"/>
          <w:szCs w:val="20"/>
          <w:color w:val="auto"/>
        </w:rPr>
      </w:pPr>
    </w:p>
    <w:p>
      <w:pPr>
        <w:jc w:val="both"/>
        <w:ind w:right="20" w:firstLine="656"/>
        <w:spacing w:after="0" w:line="266" w:lineRule="auto"/>
        <w:tabs>
          <w:tab w:leader="none" w:pos="916"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Fractional Shares or Securities</w:t>
      </w:r>
      <w:r>
        <w:rPr>
          <w:rFonts w:ascii="Arial" w:cs="Arial" w:eastAsia="Arial" w:hAnsi="Arial"/>
          <w:sz w:val="18"/>
          <w:szCs w:val="18"/>
          <w:color w:val="auto"/>
        </w:rPr>
        <w:t>. Any fractional shares or securities payable upon the exercise of an Award as a result of an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Section 12 shall, at the election of the Committee, be payable in cash, Shares, or a combination thereof, on such bases as the Committee may determine in its sole discretion.</w:t>
      </w:r>
    </w:p>
    <w:p>
      <w:pPr>
        <w:spacing w:after="0" w:line="176" w:lineRule="exact"/>
        <w:rPr>
          <w:sz w:val="20"/>
          <w:szCs w:val="20"/>
          <w:color w:val="auto"/>
        </w:rPr>
      </w:pPr>
    </w:p>
    <w:p>
      <w:pPr>
        <w:jc w:val="both"/>
        <w:ind w:firstLine="656"/>
        <w:spacing w:after="0" w:line="255" w:lineRule="auto"/>
        <w:tabs>
          <w:tab w:leader="none" w:pos="91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No Rights of a Stockholder</w:t>
      </w:r>
      <w:r>
        <w:rPr>
          <w:rFonts w:ascii="Arial" w:cs="Arial" w:eastAsia="Arial" w:hAnsi="Arial"/>
          <w:sz w:val="18"/>
          <w:szCs w:val="18"/>
          <w:color w:val="auto"/>
        </w:rPr>
        <w:t>. A Participant shall not be deemed to be the holder of, or have any of the rights of a stockholder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subject to Options, Rights or Restricted Stock Units unless and until the Company shall have issued and delivered Shares to the Participant and said Participant’s name shall have been entered as a stockholder of record on the books of the Company.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w:t>
      </w:r>
    </w:p>
    <w:p>
      <w:pPr>
        <w:spacing w:after="0" w:line="188" w:lineRule="exact"/>
        <w:rPr>
          <w:rFonts w:ascii="Arial" w:cs="Arial" w:eastAsia="Arial" w:hAnsi="Arial"/>
          <w:sz w:val="18"/>
          <w:szCs w:val="18"/>
          <w:color w:val="auto"/>
        </w:rPr>
      </w:pPr>
    </w:p>
    <w:p>
      <w:pPr>
        <w:ind w:firstLine="656"/>
        <w:spacing w:after="0" w:line="347" w:lineRule="auto"/>
        <w:tabs>
          <w:tab w:leader="none" w:pos="945"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No Right to Continued Employment</w:t>
      </w:r>
      <w:r>
        <w:rPr>
          <w:rFonts w:ascii="Arial" w:cs="Arial" w:eastAsia="Arial" w:hAnsi="Arial"/>
          <w:sz w:val="16"/>
          <w:szCs w:val="16"/>
          <w:color w:val="auto"/>
        </w:rPr>
        <w:t>. Nothing in the Plan or in any Award Agreement shall confer upon any Participant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continued employment by the Company or any Affiliate or affect any right which the Company or any Affiliate may have to terminate such employment.</w:t>
      </w:r>
    </w:p>
    <w:p>
      <w:pPr>
        <w:spacing w:after="0" w:line="115" w:lineRule="exact"/>
        <w:rPr>
          <w:rFonts w:ascii="Arial" w:cs="Arial" w:eastAsia="Arial" w:hAnsi="Arial"/>
          <w:sz w:val="16"/>
          <w:szCs w:val="16"/>
          <w:color w:val="auto"/>
        </w:rPr>
      </w:pPr>
    </w:p>
    <w:p>
      <w:pPr>
        <w:jc w:val="both"/>
        <w:ind w:firstLine="656"/>
        <w:spacing w:after="0" w:line="274" w:lineRule="auto"/>
        <w:tabs>
          <w:tab w:leader="none" w:pos="918"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Issuance of Shares and Consents</w:t>
      </w:r>
      <w:r>
        <w:rPr>
          <w:rFonts w:ascii="Arial" w:cs="Arial" w:eastAsia="Arial" w:hAnsi="Arial"/>
          <w:sz w:val="17"/>
          <w:szCs w:val="17"/>
          <w:color w:val="auto"/>
        </w:rPr>
        <w:t>. If the Committee shall at any time determine that any Consent is necessary or desirable as a condition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or in connection with, the granting of any Award, the delivery of Shares or the delivery of any cash, securities or other property under the Plan, or the taking of any other action, then such action shall not be taken, in whole or in part, unless and until such Consent shall have been effected or obtained to the full satisfaction of the Committee. Any stock certificate representing Restricted Shares shall contain an appropriate legend referring to the Plan and the Restrictions upon such Restricted Shares. Simultaneously with delivery of any stock certificate for Restricted Shares, the Company may cause a stop transfer order with respect to such certificate to be placed with the transfer agent of the Shares.</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59" w:lineRule="exact"/>
        <w:rPr>
          <w:sz w:val="20"/>
          <w:szCs w:val="20"/>
          <w:color w:val="auto"/>
        </w:rPr>
      </w:pPr>
    </w:p>
    <w:p>
      <w:pPr>
        <w:jc w:val="both"/>
        <w:ind w:firstLine="656"/>
        <w:spacing w:after="0" w:line="273" w:lineRule="auto"/>
        <w:tabs>
          <w:tab w:leader="none" w:pos="918"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Withholding</w:t>
      </w:r>
      <w:r>
        <w:rPr>
          <w:rFonts w:ascii="Arial" w:cs="Arial" w:eastAsia="Arial" w:hAnsi="Arial"/>
          <w:sz w:val="17"/>
          <w:szCs w:val="17"/>
          <w:color w:val="auto"/>
        </w:rPr>
        <w:t>. If the Company or an Affiliate shall be required to withhold any amounts by reason of a federal, state or local tax laws, rules or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in respect of any Award, the Company or an Affiliate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minimum amount required to be withheld) to be made to the Participant. In any event, the Participant shall make available to the Company or Affiliate, promptly when requested by the Company or such Affiliate, sufficient funds or Shares to meet the requirements of such withholding and the Company or Affiliate shall be entitled to take and authorize such steps as it may deem advisable in order to have such funds made available to the Company or Affiliate out of any funds or property due to the Participant.</w:t>
      </w:r>
    </w:p>
    <w:p>
      <w:pPr>
        <w:spacing w:after="0" w:line="171" w:lineRule="exact"/>
        <w:rPr>
          <w:rFonts w:ascii="Arial" w:cs="Arial" w:eastAsia="Arial" w:hAnsi="Arial"/>
          <w:sz w:val="17"/>
          <w:szCs w:val="17"/>
          <w:color w:val="auto"/>
        </w:rPr>
      </w:pPr>
    </w:p>
    <w:p>
      <w:pPr>
        <w:jc w:val="both"/>
        <w:ind w:firstLine="656"/>
        <w:spacing w:after="0" w:line="266"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Right of Offset. </w:t>
      </w:r>
      <w:r>
        <w:rPr>
          <w:rFonts w:ascii="Arial" w:cs="Arial" w:eastAsia="Arial" w:hAnsi="Arial"/>
          <w:sz w:val="18"/>
          <w:szCs w:val="18"/>
          <w:color w:val="auto"/>
        </w:rPr>
        <w:t>The Company shall have the right to offset against its obligation to deliver Shares, cash or other property under any Award</w:t>
      </w:r>
      <w:r>
        <w:rPr>
          <w:rFonts w:ascii="Arial" w:cs="Arial" w:eastAsia="Arial" w:hAnsi="Arial"/>
          <w:sz w:val="18"/>
          <w:szCs w:val="18"/>
          <w:b w:val="1"/>
          <w:bCs w:val="1"/>
          <w:color w:val="auto"/>
        </w:rPr>
        <w:t xml:space="preserve"> </w:t>
      </w:r>
      <w:r>
        <w:rPr>
          <w:rFonts w:ascii="Arial" w:cs="Arial" w:eastAsia="Arial" w:hAnsi="Arial"/>
          <w:sz w:val="18"/>
          <w:szCs w:val="18"/>
          <w:color w:val="auto"/>
        </w:rPr>
        <w:t>that does not constitute “non-qualified deferred compensation” pursuant to Section 409A of the Internal Revenue Code any outstanding amounts of whatever nature that the Participant then owes to the Company or any of its Affiliates.</w:t>
      </w:r>
    </w:p>
    <w:p>
      <w:pPr>
        <w:spacing w:after="0" w:line="175" w:lineRule="exact"/>
        <w:rPr>
          <w:rFonts w:ascii="Arial" w:cs="Arial" w:eastAsia="Arial" w:hAnsi="Arial"/>
          <w:sz w:val="18"/>
          <w:szCs w:val="18"/>
          <w:color w:val="auto"/>
        </w:rPr>
      </w:pPr>
    </w:p>
    <w:p>
      <w:pPr>
        <w:jc w:val="both"/>
        <w:ind w:firstLine="656"/>
        <w:spacing w:after="0" w:line="256" w:lineRule="auto"/>
        <w:tabs>
          <w:tab w:leader="none" w:pos="94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Non-Transferability of Awards</w:t>
      </w:r>
      <w:r>
        <w:rPr>
          <w:rFonts w:ascii="Arial" w:cs="Arial" w:eastAsia="Arial" w:hAnsi="Arial"/>
          <w:sz w:val="18"/>
          <w:szCs w:val="18"/>
          <w:color w:val="auto"/>
        </w:rPr>
        <w:t>. Unless the Committee shall permit (on such terms and conditions as it shall establish) an Award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a 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w:t>
      </w:r>
    </w:p>
    <w:p>
      <w:pPr>
        <w:spacing w:after="0" w:line="187" w:lineRule="exact"/>
        <w:rPr>
          <w:rFonts w:ascii="Arial" w:cs="Arial" w:eastAsia="Arial" w:hAnsi="Arial"/>
          <w:sz w:val="18"/>
          <w:szCs w:val="18"/>
          <w:color w:val="auto"/>
        </w:rPr>
      </w:pPr>
    </w:p>
    <w:p>
      <w:pPr>
        <w:jc w:val="both"/>
        <w:ind w:firstLine="656"/>
        <w:spacing w:after="0" w:line="273" w:lineRule="auto"/>
        <w:tabs>
          <w:tab w:leader="none" w:pos="918"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Administration and Amendment of the Plan</w:t>
      </w:r>
      <w:r>
        <w:rPr>
          <w:rFonts w:ascii="Arial" w:cs="Arial" w:eastAsia="Arial" w:hAnsi="Arial"/>
          <w:sz w:val="17"/>
          <w:szCs w:val="17"/>
          <w:color w:val="auto"/>
        </w:rPr>
        <w:t>. The Board of Directors or the Committee may discontinue the Plan at any time and from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time may 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12(a) except to the extent the terms of an Award Agreement expressly refer to an Adjustment Event, in which case such terms shall not be amended in a manner unfavorable to a Participant (other than if immaterial) without such Participant’s consent.</w:t>
      </w:r>
    </w:p>
    <w:p>
      <w:pPr>
        <w:spacing w:after="0" w:line="171" w:lineRule="exact"/>
        <w:rPr>
          <w:rFonts w:ascii="Arial" w:cs="Arial" w:eastAsia="Arial" w:hAnsi="Arial"/>
          <w:sz w:val="17"/>
          <w:szCs w:val="17"/>
          <w:color w:val="auto"/>
        </w:rPr>
      </w:pPr>
    </w:p>
    <w:p>
      <w:pPr>
        <w:jc w:val="both"/>
        <w:ind w:firstLine="656"/>
        <w:spacing w:after="0" w:line="266"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Clawback</w:t>
      </w:r>
      <w:r>
        <w:rPr>
          <w:rFonts w:ascii="Arial" w:cs="Arial" w:eastAsia="Arial" w:hAnsi="Arial"/>
          <w:sz w:val="18"/>
          <w:szCs w:val="18"/>
          <w:color w:val="auto"/>
        </w:rPr>
        <w:t>. Notwithstanding any other provisions in this Plan, any Award which is subject to recovery under any law, government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stock exchange listing requirement, will be subject to such deductions and clawback as may be required to be made pursuant to such law, government regulation or stock exchange listing requirement, or any clawback policy adopted by the Company.</w:t>
      </w:r>
    </w:p>
    <w:p>
      <w:pPr>
        <w:spacing w:after="0" w:line="175" w:lineRule="exact"/>
        <w:rPr>
          <w:rFonts w:ascii="Arial" w:cs="Arial" w:eastAsia="Arial" w:hAnsi="Arial"/>
          <w:sz w:val="18"/>
          <w:szCs w:val="18"/>
          <w:color w:val="auto"/>
        </w:rPr>
      </w:pPr>
    </w:p>
    <w:p>
      <w:pPr>
        <w:jc w:val="both"/>
        <w:ind w:firstLine="656"/>
        <w:spacing w:after="0" w:line="266"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No Repricing &amp; Reloads</w:t>
      </w:r>
      <w:r>
        <w:rPr>
          <w:rFonts w:ascii="Arial" w:cs="Arial" w:eastAsia="Arial" w:hAnsi="Arial"/>
          <w:sz w:val="18"/>
          <w:szCs w:val="18"/>
          <w:color w:val="auto"/>
        </w:rPr>
        <w:t>. Unless otherwise approved by the stockholders of the Company, Options and Rights will not be repriced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adjustment provisions of Section 12), be repurchased for cash on a date when the exercise price of such Option or Right is equal to or exceeds the Fair Market Value of a Share or be subject to automatic reload provisions.</w:t>
      </w:r>
    </w:p>
    <w:p>
      <w:pPr>
        <w:spacing w:after="0" w:line="175" w:lineRule="exact"/>
        <w:rPr>
          <w:rFonts w:ascii="Arial" w:cs="Arial" w:eastAsia="Arial" w:hAnsi="Arial"/>
          <w:sz w:val="18"/>
          <w:szCs w:val="18"/>
          <w:color w:val="auto"/>
        </w:rPr>
      </w:pPr>
    </w:p>
    <w:p>
      <w:pPr>
        <w:jc w:val="both"/>
        <w:ind w:firstLine="656"/>
        <w:spacing w:after="0" w:line="254"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It is the Company’s intent that Awards under this Plan be exempt from, or comply with, the requirements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spacing w:after="0" w:line="191" w:lineRule="exact"/>
        <w:rPr>
          <w:rFonts w:ascii="Arial" w:cs="Arial" w:eastAsia="Arial" w:hAnsi="Arial"/>
          <w:sz w:val="18"/>
          <w:szCs w:val="18"/>
          <w:color w:val="auto"/>
        </w:rPr>
      </w:pPr>
    </w:p>
    <w:p>
      <w:pPr>
        <w:ind w:firstLine="656"/>
        <w:spacing w:after="0" w:line="282"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Plan became effective upon approval by the stockholders of the Company on June 8, 2016. The amendments to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become effective upon approval by the stockholders of the Company on June 11, 2020.</w:t>
      </w:r>
    </w:p>
    <w:p>
      <w:pPr>
        <w:spacing w:after="0" w:line="161" w:lineRule="exact"/>
        <w:rPr>
          <w:rFonts w:ascii="Arial" w:cs="Arial" w:eastAsia="Arial" w:hAnsi="Arial"/>
          <w:sz w:val="18"/>
          <w:szCs w:val="18"/>
          <w:color w:val="auto"/>
        </w:rPr>
      </w:pPr>
    </w:p>
    <w:p>
      <w:pPr>
        <w:jc w:val="both"/>
        <w:ind w:firstLine="656"/>
        <w:spacing w:after="0" w:line="266"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of the provisions of this Plan or any Award Agreement is finally held to be invalid, illegal or unenforceable (whether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such provision shall be deemed modified to the extent, but only to the extent, of such invalidity, illegality or unenforceability and the remaining provisions shall not be affected thereby; provided that, if any of</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spacing w:after="0" w:line="180" w:lineRule="exact"/>
        <w:rPr>
          <w:sz w:val="20"/>
          <w:szCs w:val="20"/>
          <w:color w:val="auto"/>
        </w:rPr>
      </w:pPr>
    </w:p>
    <w:p>
      <w:pPr>
        <w:ind w:firstLine="656"/>
        <w:spacing w:after="0" w:line="282" w:lineRule="auto"/>
        <w:tabs>
          <w:tab w:leader="none" w:pos="918"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Plan Headings</w:t>
      </w:r>
      <w:r>
        <w:rPr>
          <w:rFonts w:ascii="Arial" w:cs="Arial" w:eastAsia="Arial" w:hAnsi="Arial"/>
          <w:sz w:val="18"/>
          <w:szCs w:val="18"/>
          <w:color w:val="auto"/>
        </w:rPr>
        <w:t>. The headings in this Plan are for the purpose of convenience only and are not intended to define or limit the construction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hereof.</w:t>
      </w:r>
    </w:p>
    <w:p>
      <w:pPr>
        <w:spacing w:after="0" w:line="161" w:lineRule="exact"/>
        <w:rPr>
          <w:rFonts w:ascii="Arial" w:cs="Arial" w:eastAsia="Arial" w:hAnsi="Arial"/>
          <w:sz w:val="18"/>
          <w:szCs w:val="18"/>
          <w:color w:val="auto"/>
        </w:rPr>
      </w:pPr>
    </w:p>
    <w:p>
      <w:pPr>
        <w:jc w:val="both"/>
        <w:ind w:firstLine="656"/>
        <w:spacing w:after="0" w:line="258" w:lineRule="auto"/>
        <w:tabs>
          <w:tab w:leader="none" w:pos="931"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Non-Uniform Treatment</w:t>
      </w:r>
      <w:r>
        <w:rPr>
          <w:rFonts w:ascii="Arial" w:cs="Arial" w:eastAsia="Arial" w:hAnsi="Arial"/>
          <w:sz w:val="18"/>
          <w:szCs w:val="18"/>
          <w:color w:val="auto"/>
        </w:rPr>
        <w:t>. The Committee’s determinations under the Plan need not be uniform and may be made by it selectively among</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who receive, or are eligible to receive, Awards (whether or not such persons are similarly situated). Without limiting the generality of the foregoing, the Committee shall be entitled, among other things, to make non-uniform and selective determinations, amendments and adjustments, and to enter into non-uniform and selective Award Agreements, as to the persons to receive Awards under the Plan, and the terms and provisions of Awards under the Plan.</w:t>
      </w:r>
    </w:p>
    <w:p>
      <w:pPr>
        <w:spacing w:after="0" w:line="183" w:lineRule="exact"/>
        <w:rPr>
          <w:rFonts w:ascii="Arial" w:cs="Arial" w:eastAsia="Arial" w:hAnsi="Arial"/>
          <w:sz w:val="18"/>
          <w:szCs w:val="18"/>
          <w:color w:val="auto"/>
        </w:rPr>
      </w:pPr>
    </w:p>
    <w:p>
      <w:pPr>
        <w:ind w:firstLine="656"/>
        <w:spacing w:after="0" w:line="282" w:lineRule="auto"/>
        <w:tabs>
          <w:tab w:leader="none" w:pos="945"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and any Award Agreements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reference to principles of conflict of laws.</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The terms of this Plan shall be binding upon and inure to the benefit of the Company and its successors and assigns.</w:t>
      </w:r>
    </w:p>
    <w:p>
      <w:pPr>
        <w:spacing w:after="0" w:line="248" w:lineRule="exact"/>
        <w:rPr>
          <w:rFonts w:ascii="Arial" w:cs="Arial" w:eastAsia="Arial" w:hAnsi="Arial"/>
          <w:sz w:val="16"/>
          <w:szCs w:val="16"/>
          <w:color w:val="auto"/>
        </w:rPr>
      </w:pPr>
    </w:p>
    <w:p>
      <w:pPr>
        <w:ind w:right="20" w:firstLine="656"/>
        <w:spacing w:after="0" w:line="282" w:lineRule="auto"/>
        <w:tabs>
          <w:tab w:leader="none" w:pos="918"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Duration</w:t>
      </w:r>
      <w:r>
        <w:rPr>
          <w:rFonts w:ascii="Arial" w:cs="Arial" w:eastAsia="Arial" w:hAnsi="Arial"/>
          <w:sz w:val="18"/>
          <w:szCs w:val="18"/>
          <w:color w:val="auto"/>
        </w:rPr>
        <w:t>. This Plan shall remain in effect until June 11, 2030 unless sooner terminated by the Committee or the Board of Directors.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theretofore granted may extend beyond that date in accordance with the provisions of the Plan.</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AMC Networks Inc. Amended and Restated 2011 Stock Plan For Non-Employee Directors</w:t>
      </w:r>
    </w:p>
    <w:p>
      <w:pPr>
        <w:spacing w:after="0" w:line="200" w:lineRule="exact"/>
        <w:rPr>
          <w:sz w:val="20"/>
          <w:szCs w:val="20"/>
          <w:color w:val="auto"/>
        </w:rPr>
      </w:pPr>
    </w:p>
    <w:p>
      <w:pPr>
        <w:spacing w:after="0" w:line="204" w:lineRule="exact"/>
        <w:rPr>
          <w:sz w:val="20"/>
          <w:szCs w:val="20"/>
          <w:color w:val="auto"/>
        </w:rPr>
      </w:pPr>
    </w:p>
    <w:p>
      <w:pPr>
        <w:jc w:val="both"/>
        <w:ind w:firstLine="656"/>
        <w:spacing w:after="0" w:line="266" w:lineRule="auto"/>
        <w:tabs>
          <w:tab w:leader="none" w:pos="828"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purposes of the AMC Networks Inc. 2011 Stock Plan for Non–Employee Directors are to attract and retain individuals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employees of the Company as members of the Board of Directors, by encouraging them to acquire a proprietary interest in the Company which is parallel to that of the stockholders of the Company.</w:t>
      </w:r>
    </w:p>
    <w:p>
      <w:pPr>
        <w:spacing w:after="0" w:line="1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amendments to this Plan will not affect the terms or conditions of any Award granted prior to the effective date of such amendments provided in Section 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The following terms shall have the respective meanings assigned to them as used herein:</w:t>
      </w:r>
    </w:p>
    <w:p>
      <w:pPr>
        <w:spacing w:after="0" w:line="229"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“Award” shall mean an Option, Restricted Stock Unit or other stock–based award granted under the Plan.</w:t>
      </w:r>
    </w:p>
    <w:p>
      <w:pPr>
        <w:spacing w:after="0" w:line="225" w:lineRule="exact"/>
        <w:rPr>
          <w:rFonts w:ascii="Arial" w:cs="Arial" w:eastAsia="Arial" w:hAnsi="Arial"/>
          <w:sz w:val="18"/>
          <w:szCs w:val="18"/>
          <w:color w:val="auto"/>
        </w:rPr>
      </w:pPr>
    </w:p>
    <w:p>
      <w:pPr>
        <w:ind w:firstLine="656"/>
        <w:spacing w:after="0" w:line="277" w:lineRule="auto"/>
        <w:tabs>
          <w:tab w:leader="none" w:pos="9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“Award Agreement” shall mean an agreement which may be entered into by a Participant and the Company, setting forth the terms and provisions applicable to Awards granted to such Participant.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“Board of Directors” shall mean the Board of Directors of the Company, as constituted at any time.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of Directors, as described in Section 3.</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“Company” shall mean AMC Networks Inc., a Delaware corporation.</w:t>
      </w:r>
    </w:p>
    <w:p>
      <w:pPr>
        <w:spacing w:after="0" w:line="225" w:lineRule="exact"/>
        <w:rPr>
          <w:rFonts w:ascii="Arial" w:cs="Arial" w:eastAsia="Arial" w:hAnsi="Arial"/>
          <w:sz w:val="18"/>
          <w:szCs w:val="18"/>
          <w:color w:val="auto"/>
        </w:rPr>
      </w:pPr>
    </w:p>
    <w:p>
      <w:pPr>
        <w:jc w:val="both"/>
        <w:ind w:firstLine="656"/>
        <w:spacing w:after="0" w:line="271" w:lineRule="auto"/>
        <w:tabs>
          <w:tab w:leader="none" w:pos="889"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requirement or to obtain an exemption therefrom, (iii) any and all other consents, clearances and approvals in respect of an action under the Plan by any governmental or other regulatory body or any stock exchange or self–regulatory agency, (iv) any and all consents by the 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w:t>
      </w:r>
    </w:p>
    <w:p>
      <w:pPr>
        <w:spacing w:after="0" w:line="178" w:lineRule="exact"/>
        <w:rPr>
          <w:rFonts w:ascii="Arial" w:cs="Arial" w:eastAsia="Arial" w:hAnsi="Arial"/>
          <w:sz w:val="17"/>
          <w:szCs w:val="17"/>
          <w:color w:val="auto"/>
        </w:rPr>
      </w:pPr>
    </w:p>
    <w:p>
      <w:pPr>
        <w:jc w:val="both"/>
        <w:ind w:firstLine="656"/>
        <w:spacing w:after="0" w:line="254" w:lineRule="auto"/>
        <w:tabs>
          <w:tab w:leader="none" w:pos="9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 counter market, as reported on the National Association of Securities Dealers Automated Quotation System, or, if none of the above is applicable, the value of a Share as established by the Committee for such date using any reasonable method of valuation. Notwithstanding the generality of the foregoing, if the Company has established an electronic exercise program with a broker for the exercise of Options and the Shares underlying the Options are publicly traded, the Fair Market Value of a Share for purposes of net cashless exercise and withholding taxes shall be the price of a Share on such stock exchange at the time of exercise.</w:t>
      </w:r>
    </w:p>
    <w:p>
      <w:pPr>
        <w:spacing w:after="0" w:line="194" w:lineRule="exact"/>
        <w:rPr>
          <w:rFonts w:ascii="Arial" w:cs="Arial" w:eastAsia="Arial" w:hAnsi="Arial"/>
          <w:sz w:val="18"/>
          <w:szCs w:val="18"/>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“GAAP” shall mean accounting principles generally accepted in the United States of America.</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“Internal Revenue Code” shall mean the Internal Revenue Code of 1986, as amended.</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“Non–Employee Director” shall mean a member of the Board of Directors who is not a current employee of the Company or its subsidiaries.</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 shall mean an option granted pursuant to Section 6.1 of the Plan.</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“Participant” shall mean a Non–Employee Director who has been granted an Award under the Plan.</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“Plan” shall mean the AMC Networks Inc. 2011 Stock Plan for Non–Employee Directors, as amended from time to time.</w:t>
      </w:r>
    </w:p>
    <w:p>
      <w:pPr>
        <w:spacing w:after="0" w:line="225" w:lineRule="exact"/>
        <w:rPr>
          <w:rFonts w:ascii="Arial" w:cs="Arial" w:eastAsia="Arial" w:hAnsi="Arial"/>
          <w:sz w:val="18"/>
          <w:szCs w:val="18"/>
          <w:color w:val="auto"/>
        </w:rPr>
      </w:pPr>
    </w:p>
    <w:p>
      <w:pPr>
        <w:ind w:right="20" w:firstLine="656"/>
        <w:spacing w:after="0" w:line="277" w:lineRule="auto"/>
        <w:tabs>
          <w:tab w:leader="none" w:pos="9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Unit” shall mean a restricted stock unit granted pursuant to Section 6.2 of the Plan, each such unit representing an unfunded and unsecured promise to deliver a Share (or cash or other property equal in value to the Share).</w:t>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363" w:lineRule="exact"/>
        <w:rPr>
          <w:sz w:val="20"/>
          <w:szCs w:val="20"/>
          <w:color w:val="auto"/>
        </w:rPr>
      </w:pPr>
    </w:p>
    <w:p>
      <w:pPr>
        <w:ind w:left="660" w:right="2940" w:hanging="4"/>
        <w:spacing w:after="0" w:line="498" w:lineRule="auto"/>
        <w:tabs>
          <w:tab w:leader="none" w:pos="9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shall mean a share of AMC Networks Inc. Class A Common Stock, par value $0.01 per share. 3. Plan Administration.</w:t>
      </w:r>
    </w:p>
    <w:p>
      <w:pPr>
        <w:spacing w:after="0" w:line="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The Plan shall be administered by the Committee, which shall consist of at least two members of the Board of Directors who shall be appointed by, and shall serve at the pleasure of, the Board of Directors. Except as otherwise determined by the Board of Directors, the members of the Committee shall be “non–employee directors” under Rule 16b–3 of the Securities Exchange Act of 1934 (the “Exchange Act”); provided, however, that the failure of the Committee to be so comprised shall not cause any Award to be invalid. The Committee may delegate any of its powers under the Plan to a subcommittee of the Committee (which hereinafter shall also be referred to as the Committee). It is expected and permitted that members of the Committee shall be Participants.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Authority.</w:t>
      </w:r>
      <w:r>
        <w:rPr>
          <w:rFonts w:ascii="Arial" w:cs="Arial" w:eastAsia="Arial" w:hAnsi="Arial"/>
          <w:sz w:val="16"/>
          <w:szCs w:val="16"/>
          <w:color w:val="auto"/>
        </w:rPr>
        <w:t xml:space="preserve"> The Committee shall have full authority, subject to the terms of the Plan (including Section 12), to (a) exercise all of the powers granted to it under the Plan, (b) construe, interpret and implement the Plan and all Awards and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(g) grant Awards and determine who shall receive Awards and the terms and conditions of such Awards, (h) amend any outstanding Award in any respect, including, without limitation, to (1) accelerate the time or times at which the Award becomes vested or unrestricted or may be exercised or at which Shares are delivered under the Award (and, without limitation on the Committee’s rights, in connection with such acceleration, the Committee may provide that any Shares delivered pursuant to such Award shall be subject to vesting, transfer, forfeiture or repayment provisions similar to those in the Participant’s underlying Award) or (2) waive or amend any restrictions or conditions applicable to such Award, or impose new restrictions or conditions and (i) determine at any time whether, to what extent and under what circumstances and method or methods (1) Awards may be (A) settled in cash, Shares, other securities, other Awards or other property, (B) exercised or (C) canceled, forfeited or suspended or (2) Shares, other securities, cash, other Awards or other property and other amounts payable with respect to an Award may be deferred either automatically or at the election of the Participant or of the Committee.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w:t>
      </w:r>
    </w:p>
    <w:p>
      <w:pPr>
        <w:spacing w:after="0" w:line="3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Liability.</w:t>
      </w:r>
      <w:r>
        <w:rPr>
          <w:rFonts w:ascii="Arial" w:cs="Arial" w:eastAsia="Arial" w:hAnsi="Arial"/>
          <w:sz w:val="17"/>
          <w:szCs w:val="17"/>
          <w:color w:val="auto"/>
        </w:rPr>
        <w:t xml:space="preserve"> 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or otherwise, or any other power that the Company may have to indemnify such persons or hold them harmless.</w:t>
      </w:r>
    </w:p>
    <w:p>
      <w:pPr>
        <w:spacing w:after="0" w:line="182" w:lineRule="exact"/>
        <w:rPr>
          <w:sz w:val="20"/>
          <w:szCs w:val="20"/>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All Non–Employee Directors are eligible for the grant of Awards.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Shares Subject to the Plan.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Number.</w:t>
      </w:r>
      <w:r>
        <w:rPr>
          <w:rFonts w:ascii="Arial" w:cs="Arial" w:eastAsia="Arial" w:hAnsi="Arial"/>
          <w:sz w:val="18"/>
          <w:szCs w:val="18"/>
          <w:color w:val="auto"/>
        </w:rPr>
        <w:t xml:space="preserve"> The aggregate number of Shares that may be subject to Awards granted under this Plan shall not exceed 665,000, which may be either treasury Shares or authorized but unissued Shares. To the extent that (i) an Award shall be paid, settled or exchanged or shall expire, lapse, terminate or be cancelled for any reason without the issuance of Shares or (ii) any Shares under an Award are not issued because of payment or withholding obligations, then the Committee may also grant</w:t>
      </w:r>
    </w:p>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Awards with respect to such Shares.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 appropriate to account for the adjustments provided for in Section 5.2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Adjustment in Capitalization.</w:t>
      </w:r>
      <w:r>
        <w:rPr>
          <w:rFonts w:ascii="Arial" w:cs="Arial" w:eastAsia="Arial" w:hAnsi="Arial"/>
          <w:sz w:val="17"/>
          <w:szCs w:val="17"/>
          <w:color w:val="auto"/>
        </w:rPr>
        <w:t xml:space="preserve"> In the event that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5.2,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 Any fractional shares or securities payable upon the exercise of an Award as a result of an adjustment pursuant to this Section 5.2 shall, at the election of the Committee, be payable in cash, Shares, or a combination thereof, on such bases as the Committee may determine in its sole discretion.</w:t>
      </w:r>
    </w:p>
    <w:p>
      <w:pPr>
        <w:spacing w:after="0" w:line="179" w:lineRule="exact"/>
        <w:rPr>
          <w:sz w:val="20"/>
          <w:szCs w:val="20"/>
          <w:color w:val="auto"/>
        </w:rPr>
      </w:pPr>
    </w:p>
    <w:p>
      <w:pPr>
        <w:ind w:left="840" w:hanging="184"/>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Terms and Conditions of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Options.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b w:val="1"/>
          <w:bCs w:val="1"/>
          <w:color w:val="auto"/>
        </w:rPr>
        <w:t>Terms and Conditions.</w:t>
      </w:r>
      <w:r>
        <w:rPr>
          <w:rFonts w:ascii="Arial" w:cs="Arial" w:eastAsia="Arial" w:hAnsi="Arial"/>
          <w:sz w:val="17"/>
          <w:szCs w:val="17"/>
          <w:color w:val="auto"/>
        </w:rPr>
        <w:t xml:space="preserve"> The form, terms and conditions of each Option shall be determined by the Committee and shall be set forth in an Award Agreement. Such terms and conditions may include, without limitation, provisions relating to the vesting and exercisability of such Options as well as the conditions or circumstances upon which such Options may be accelerated, extended, forfeited or otherwise modified; provided, however, that unless the Award Agreement states otherwise, all Options granted under the Plan shall be fully vested and exercisable on the date of grant. All or any part of any unexercised Options granted to any Participant, to the extent not otherwise exercisable, may be made exercisable upon the occurrence of such special circumstances or events as determined in the sole discretion of the Committee.</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b w:val="1"/>
          <w:bCs w:val="1"/>
          <w:color w:val="auto"/>
        </w:rPr>
        <w:t>Exercise Price.</w:t>
      </w:r>
      <w:r>
        <w:rPr>
          <w:rFonts w:ascii="Arial" w:cs="Arial" w:eastAsia="Arial" w:hAnsi="Arial"/>
          <w:sz w:val="17"/>
          <w:szCs w:val="17"/>
          <w:color w:val="auto"/>
        </w:rPr>
        <w:t xml:space="preserve"> The exercise price per Share of the Shares to be purchased pursuant to each Option shall be fixed by the Committee at the time an Option is granted, but in no event shall it be less than the Fair Market Value of a Share on the date on which the Option is granted. Such exercise price shall thereafter be subject to adjustment as required by the Award Agreement relating to each Option or Section 5.2 hereof.</w:t>
      </w:r>
    </w:p>
    <w:p>
      <w:pPr>
        <w:spacing w:after="0" w:line="15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b w:val="1"/>
          <w:bCs w:val="1"/>
          <w:color w:val="auto"/>
        </w:rPr>
        <w:t>Duration of Options.</w:t>
      </w:r>
      <w:r>
        <w:rPr>
          <w:rFonts w:ascii="Arial" w:cs="Arial" w:eastAsia="Arial" w:hAnsi="Arial"/>
          <w:sz w:val="17"/>
          <w:szCs w:val="17"/>
          <w:color w:val="auto"/>
        </w:rPr>
        <w:t xml:space="preserve"> The duration of any Option granted under this Plan shall be for a period fixed by the Committee but shall, except as described in the 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color w:val="auto"/>
        </w:rPr>
        <w:t>Written Notice for Exercise.</w:t>
      </w:r>
      <w:r>
        <w:rPr>
          <w:rFonts w:ascii="Arial" w:cs="Arial" w:eastAsia="Arial" w:hAnsi="Arial"/>
          <w:sz w:val="18"/>
          <w:szCs w:val="18"/>
          <w:color w:val="auto"/>
        </w:rPr>
        <w:t xml:space="preserve"> An Option shall be exercised by the delivery to any person who has been designated by the Company for the purpose of receiving the same, of a written notice duly signed by the Participant (or the representative of the estate or the heirs of a deceased Participant) to such effect (or electronic notice in a manner, if any, previously approved by the Company).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Unless the Company chooses to settle an Option in cash, Shares or a combination thereof pursuant to Section 6.1.6 hereof, the Participant shall be required to deliver to the Company, within five (5) days of the delivery of the notice described above, either cash, a check payable to the order of the Company, Shares duly endorsed over to the Company (which Shares shall be valued at their Fair Market Value as of the date preceding the day of such exercise) or any combination of such methods,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w:t>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 Except to the extent the Committee chooses to settle any Option in cash pursuant to Section 6.1.6 hereof, within a reasonable time after exercise of an Option the Company shall either issue to the Participant a certificate representing the Shares purchased pursuant to the exercise of the Option or credit the number of such Shares to a book–entry account. To the extent the Committee chooses to settle any Option in cash pursuant to Section 6.1.6, within a reasonable time after exercise of an Option, the Company shall cause to be delivered to the person entitled thereto a payment for the amount payable pursuant to the exercise of the Option.</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b w:val="1"/>
          <w:bCs w:val="1"/>
          <w:color w:val="auto"/>
        </w:rPr>
        <w:t>Settlement of an Option.</w:t>
      </w:r>
      <w:r>
        <w:rPr>
          <w:rFonts w:ascii="Arial" w:cs="Arial" w:eastAsia="Arial" w:hAnsi="Arial"/>
          <w:sz w:val="17"/>
          <w:szCs w:val="17"/>
          <w:color w:val="auto"/>
        </w:rPr>
        <w:t xml:space="preserve"> When an Option is exercised pursuant to Section 6.1.4 hereof, the Committee, in its sole discretion, may elect, in lieu of issuing Shares pursuant to the terms of the Option, to settle the Option by paying the Participant an amount equal to the product obtained by multiplying (i) the excess of the Fair Market Value of one Share on the date the Option is 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Restricted Stock Units.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b w:val="1"/>
          <w:bCs w:val="1"/>
          <w:color w:val="auto"/>
        </w:rPr>
        <w:t>Terms and Conditions.</w:t>
      </w:r>
      <w:r>
        <w:rPr>
          <w:rFonts w:ascii="Arial" w:cs="Arial" w:eastAsia="Arial" w:hAnsi="Arial"/>
          <w:sz w:val="17"/>
          <w:szCs w:val="17"/>
          <w:color w:val="auto"/>
        </w:rPr>
        <w:t xml:space="preserve"> The form, terms and conditions of each Restricted Stock Unit shall be determined by the Committee and shall be set forth in an 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provided, however, that unless the Award Agreement states otherwise, all Restricted Stock Units granted under the Plan shall be fully vested on the date of grant and shall be payable on such date as determined by the Committee. All or any part of any Restricted Stock Units granted to any Participant, to the extent not otherwise paid, may be paid to the Participant upon the occurrence of such special circumstances or events as determined in the sole discretion of the Committee.</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b w:val="1"/>
          <w:bCs w:val="1"/>
          <w:color w:val="auto"/>
        </w:rPr>
        <w:t>Settlement of Restricted Stock Units.</w:t>
      </w:r>
      <w:r>
        <w:rPr>
          <w:rFonts w:ascii="Arial" w:cs="Arial" w:eastAsia="Arial" w:hAnsi="Arial"/>
          <w:sz w:val="18"/>
          <w:szCs w:val="18"/>
          <w:color w:val="auto"/>
        </w:rPr>
        <w:t xml:space="preserve"> The Committee, in its sole discretion, may instruct the Company to pay on the date when Shares would otherwise be 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adjustment, pursuant to Section 5.2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w:t>
      </w:r>
    </w:p>
    <w:p>
      <w:pPr>
        <w:spacing w:after="0" w:line="18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b w:val="1"/>
          <w:bCs w:val="1"/>
          <w:color w:val="auto"/>
        </w:rPr>
        <w:t>Right to Receive Dividends on Restricted Stock Units.</w:t>
      </w:r>
      <w:r>
        <w:rPr>
          <w:rFonts w:ascii="Arial" w:cs="Arial" w:eastAsia="Arial" w:hAnsi="Arial"/>
          <w:sz w:val="16"/>
          <w:szCs w:val="16"/>
          <w:color w:val="auto"/>
        </w:rPr>
        <w:t xml:space="preserve"> Unless the Committee determines otherwise, during the period prior to payment of the Restricted 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Grant of Other Stock–Based Awards.</w:t>
      </w:r>
      <w:r>
        <w:rPr>
          <w:rFonts w:ascii="Arial" w:cs="Arial" w:eastAsia="Arial" w:hAnsi="Arial"/>
          <w:sz w:val="16"/>
          <w:szCs w:val="16"/>
          <w:color w:val="auto"/>
        </w:rPr>
        <w:t xml:space="preserve"> The Committee may grant other types of equity–based or equity–related Awards (including, without limitation, restricted Shares, unrestricted Shares and stock appreciation rights) in such amounts and subject to such terms and conditions as the Committee shall determine. Such Awards may entail the transfer of actual Shares, or payment in cash or otherwise of amounts based on the value of Shares.</w:t>
      </w:r>
    </w:p>
    <w:p>
      <w:pPr>
        <w:spacing w:after="0" w:line="142" w:lineRule="exact"/>
        <w:rPr>
          <w:sz w:val="20"/>
          <w:szCs w:val="20"/>
          <w:color w:val="auto"/>
        </w:rPr>
      </w:pPr>
    </w:p>
    <w:p>
      <w:pPr>
        <w:jc w:val="both"/>
        <w:ind w:firstLine="656"/>
        <w:spacing w:after="0" w:line="256"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No Rights of a Stockholder. </w:t>
      </w:r>
      <w:r>
        <w:rPr>
          <w:rFonts w:ascii="Arial" w:cs="Arial" w:eastAsia="Arial" w:hAnsi="Arial"/>
          <w:sz w:val="18"/>
          <w:szCs w:val="18"/>
          <w:color w:val="auto"/>
        </w:rPr>
        <w:t>A Participant shall not have any of the rights or privileges of a stockholder of the Company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an Award unless and until such Shares have been issued and have been duly registered in the Participant’s name.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w:t>
      </w:r>
    </w:p>
    <w:p>
      <w:pPr>
        <w:spacing w:after="0" w:line="187" w:lineRule="exact"/>
        <w:rPr>
          <w:rFonts w:ascii="Arial" w:cs="Arial" w:eastAsia="Arial" w:hAnsi="Arial"/>
          <w:sz w:val="18"/>
          <w:szCs w:val="18"/>
          <w:color w:val="auto"/>
        </w:rPr>
      </w:pPr>
    </w:p>
    <w:p>
      <w:pPr>
        <w:jc w:val="both"/>
        <w:ind w:firstLine="656"/>
        <w:spacing w:after="0" w:line="303" w:lineRule="auto"/>
        <w:tabs>
          <w:tab w:leader="none" w:pos="828"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Rule 16b–3. </w:t>
      </w:r>
      <w:r>
        <w:rPr>
          <w:rFonts w:ascii="Arial" w:cs="Arial" w:eastAsia="Arial" w:hAnsi="Arial"/>
          <w:sz w:val="16"/>
          <w:szCs w:val="16"/>
          <w:color w:val="auto"/>
        </w:rPr>
        <w:t>It is the Company’s intent that the Plan comply in all respects with Rule 16b–3 under the Securities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1934, as amended (the “Act”). If any provision of the Plan is later found not to be in compliance with such Rule, the provision shall be deemed null and void. All actions with respect to Awards under the Plan shall be executed in accordance with the requirements of Section 16 of the Act, as amended, and any regulations promulgated thereunder. To the extent that any of the provisions contained herein do not conform with Rule 16b–3 of the Act or any</w:t>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thereto or any successor regulation, then the Committee may make such modifications so as to conform the Plan and any Awards granted thereunder to the Rule’s requirements.</w:t>
      </w:r>
    </w:p>
    <w:p>
      <w:pPr>
        <w:spacing w:after="0" w:line="166" w:lineRule="exact"/>
        <w:rPr>
          <w:sz w:val="20"/>
          <w:szCs w:val="20"/>
          <w:color w:val="auto"/>
        </w:rPr>
      </w:pPr>
    </w:p>
    <w:p>
      <w:pPr>
        <w:jc w:val="both"/>
        <w:ind w:firstLine="656"/>
        <w:spacing w:after="0" w:line="261" w:lineRule="auto"/>
        <w:tabs>
          <w:tab w:leader="none" w:pos="828"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Consents. </w:t>
      </w:r>
      <w:r>
        <w:rPr>
          <w:rFonts w:ascii="Arial" w:cs="Arial" w:eastAsia="Arial" w:hAnsi="Arial"/>
          <w:sz w:val="18"/>
          <w:szCs w:val="18"/>
          <w:color w:val="auto"/>
        </w:rPr>
        <w:t>If the Committee shall at any time determine that any Consent is necessary or desirable as a condition of, 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of any Award, the delivery of Shares or the delivery of any cash, securities or other property under the Plan, or the taking of any other action, then such action shall not be taken, in whole or in part, unless and until such Consent shall have been effected or obtained to the full satisfaction of the Committee.</w:t>
      </w:r>
    </w:p>
    <w:p>
      <w:pPr>
        <w:spacing w:after="0" w:line="179" w:lineRule="exact"/>
        <w:rPr>
          <w:rFonts w:ascii="Arial" w:cs="Arial" w:eastAsia="Arial" w:hAnsi="Arial"/>
          <w:sz w:val="18"/>
          <w:szCs w:val="18"/>
          <w:color w:val="auto"/>
        </w:rPr>
      </w:pPr>
    </w:p>
    <w:p>
      <w:pPr>
        <w:jc w:val="both"/>
        <w:ind w:firstLine="656"/>
        <w:spacing w:after="0" w:line="255" w:lineRule="auto"/>
        <w:tabs>
          <w:tab w:leader="none" w:pos="918"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If the Company shall be required to withhold any amounts by reason of a federal, state or local tax laws, rules or regulations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any Award, the Company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minimum amount required to be withheld) to be made to the Participant. In any event, the Participant shall make available to the Company, promptly when requested by the Company, sufficient funds or Shares to meet the requirements of such withholding and the Company shall be entitled to take and authorize such steps as it may deem advisable in order to have such funds made available to the Company out of any funds or property due to the Participant.</w:t>
      </w:r>
    </w:p>
    <w:p>
      <w:pPr>
        <w:spacing w:after="0" w:line="188" w:lineRule="exact"/>
        <w:rPr>
          <w:rFonts w:ascii="Arial" w:cs="Arial" w:eastAsia="Arial" w:hAnsi="Arial"/>
          <w:sz w:val="18"/>
          <w:szCs w:val="18"/>
          <w:color w:val="auto"/>
        </w:rPr>
      </w:pPr>
    </w:p>
    <w:p>
      <w:pPr>
        <w:jc w:val="both"/>
        <w:ind w:firstLine="656"/>
        <w:spacing w:after="0" w:line="256" w:lineRule="auto"/>
        <w:tabs>
          <w:tab w:leader="none" w:pos="925"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Unless the Committee shall permit (on such terms and conditions as it shall establish) an Award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a 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w:t>
      </w:r>
    </w:p>
    <w:p>
      <w:pPr>
        <w:spacing w:after="0" w:line="187" w:lineRule="exact"/>
        <w:rPr>
          <w:rFonts w:ascii="Arial" w:cs="Arial" w:eastAsia="Arial" w:hAnsi="Arial"/>
          <w:sz w:val="18"/>
          <w:szCs w:val="18"/>
          <w:color w:val="auto"/>
        </w:rPr>
      </w:pPr>
    </w:p>
    <w:p>
      <w:pPr>
        <w:jc w:val="both"/>
        <w:ind w:firstLine="656"/>
        <w:spacing w:after="0" w:line="273" w:lineRule="auto"/>
        <w:tabs>
          <w:tab w:leader="none" w:pos="918"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and Amendment of Plan. </w:t>
      </w:r>
      <w:r>
        <w:rPr>
          <w:rFonts w:ascii="Arial" w:cs="Arial" w:eastAsia="Arial" w:hAnsi="Arial"/>
          <w:sz w:val="17"/>
          <w:szCs w:val="17"/>
          <w:color w:val="auto"/>
        </w:rPr>
        <w:t>The Board of Directors or the Committee may discontinue the Plan at any time and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may 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5.2 except to the extent the terms of an Award Agreement expressly refer to an Adjustment Event, in which case such terms shall not be amended in a manner unfavorable to a Participant (other than if immaterial) without such Participant’s consent.</w:t>
      </w:r>
    </w:p>
    <w:p>
      <w:pPr>
        <w:spacing w:after="0" w:line="171" w:lineRule="exact"/>
        <w:rPr>
          <w:rFonts w:ascii="Arial" w:cs="Arial" w:eastAsia="Arial" w:hAnsi="Arial"/>
          <w:sz w:val="17"/>
          <w:szCs w:val="17"/>
          <w:color w:val="auto"/>
        </w:rPr>
      </w:pPr>
    </w:p>
    <w:p>
      <w:pPr>
        <w:jc w:val="both"/>
        <w:ind w:firstLine="656"/>
        <w:spacing w:after="0" w:line="254" w:lineRule="auto"/>
        <w:tabs>
          <w:tab w:leader="none" w:pos="918"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It is the Company’s intent that Awards under this Plan be exempt from, or comply with, the requirements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spacing w:after="0" w:line="191" w:lineRule="exact"/>
        <w:rPr>
          <w:rFonts w:ascii="Arial" w:cs="Arial" w:eastAsia="Arial" w:hAnsi="Arial"/>
          <w:sz w:val="18"/>
          <w:szCs w:val="18"/>
          <w:color w:val="auto"/>
        </w:rPr>
      </w:pPr>
    </w:p>
    <w:p>
      <w:pPr>
        <w:ind w:firstLine="656"/>
        <w:spacing w:after="0" w:line="282" w:lineRule="auto"/>
        <w:tabs>
          <w:tab w:leader="none" w:pos="931"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Plan became effective upon approval by the stockholders of the Company. The amendments to the Plan shall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upon approval by the stockholders of the Company on June 11, 2020.</w:t>
      </w:r>
    </w:p>
    <w:p>
      <w:pPr>
        <w:spacing w:after="0" w:line="161" w:lineRule="exact"/>
        <w:rPr>
          <w:rFonts w:ascii="Arial" w:cs="Arial" w:eastAsia="Arial" w:hAnsi="Arial"/>
          <w:sz w:val="18"/>
          <w:szCs w:val="18"/>
          <w:color w:val="auto"/>
        </w:rPr>
      </w:pPr>
    </w:p>
    <w:p>
      <w:pPr>
        <w:jc w:val="both"/>
        <w:ind w:firstLine="656"/>
        <w:spacing w:after="0" w:line="277" w:lineRule="auto"/>
        <w:tabs>
          <w:tab w:leader="none" w:pos="918"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of the provisions of this Plan or any Award Agreement is finally held to be invalid, illegal or unenforceable (whether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spacing w:after="0" w:line="167" w:lineRule="exact"/>
        <w:rPr>
          <w:rFonts w:ascii="Arial" w:cs="Arial" w:eastAsia="Arial" w:hAnsi="Arial"/>
          <w:sz w:val="17"/>
          <w:szCs w:val="17"/>
          <w:color w:val="auto"/>
        </w:rPr>
      </w:pPr>
    </w:p>
    <w:p>
      <w:pPr>
        <w:ind w:firstLine="656"/>
        <w:spacing w:after="0" w:line="282" w:lineRule="auto"/>
        <w:tabs>
          <w:tab w:leader="none" w:pos="918"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Plan Headings. </w:t>
      </w:r>
      <w:r>
        <w:rPr>
          <w:rFonts w:ascii="Arial" w:cs="Arial" w:eastAsia="Arial" w:hAnsi="Arial"/>
          <w:sz w:val="18"/>
          <w:szCs w:val="18"/>
          <w:color w:val="auto"/>
        </w:rPr>
        <w:t>The headings in this Plan are for the purpose of convenience only and are not intended to define or limit the construction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hereof.</w:t>
      </w:r>
    </w:p>
    <w:p>
      <w:pPr>
        <w:sectPr>
          <w:pgSz w:w="11900" w:h="16838" w:orient="portrait"/>
          <w:cols w:equalWidth="0" w:num="1">
            <w:col w:w="11240"/>
          </w:cols>
          <w:pgMar w:left="32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359" w:lineRule="exact"/>
        <w:rPr>
          <w:sz w:val="20"/>
          <w:szCs w:val="20"/>
          <w:color w:val="auto"/>
        </w:rPr>
      </w:pPr>
    </w:p>
    <w:p>
      <w:pPr>
        <w:jc w:val="both"/>
        <w:ind w:firstLine="656"/>
        <w:spacing w:after="0" w:line="261" w:lineRule="auto"/>
        <w:tabs>
          <w:tab w:leader="none" w:pos="931"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Non–Uniform Treatment. </w:t>
      </w:r>
      <w:r>
        <w:rPr>
          <w:rFonts w:ascii="Arial" w:cs="Arial" w:eastAsia="Arial" w:hAnsi="Arial"/>
          <w:sz w:val="18"/>
          <w:szCs w:val="18"/>
          <w:color w:val="auto"/>
        </w:rPr>
        <w:t>The Committee’s determinations under the Plan need not be uniform and may be made by it selectively among</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(whether or not such Participants are similarly situated). Without limiting the generality of the foregoing, the Committee shall be entitled, among other things, to make non–uniform and selective determinations, amendments and adjustments, and to enter into non–uniform and selective Award Agreements, as to the terms and provisions of Awards under the Plan.</w:t>
      </w:r>
    </w:p>
    <w:p>
      <w:pPr>
        <w:spacing w:after="0" w:line="179" w:lineRule="exact"/>
        <w:rPr>
          <w:rFonts w:ascii="Arial" w:cs="Arial" w:eastAsia="Arial" w:hAnsi="Arial"/>
          <w:sz w:val="18"/>
          <w:szCs w:val="18"/>
          <w:color w:val="auto"/>
        </w:rPr>
      </w:pPr>
    </w:p>
    <w:p>
      <w:pPr>
        <w:ind w:firstLine="656"/>
        <w:spacing w:after="0" w:line="282" w:lineRule="auto"/>
        <w:tabs>
          <w:tab w:leader="none" w:pos="931"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and any Award Agreements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reference to principles of conflicts of laws.</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The terms of the Plan shall be binding upon and inure to the benefit of the Company and its successors and assigns.</w:t>
      </w:r>
    </w:p>
    <w:p>
      <w:pPr>
        <w:spacing w:after="0" w:line="248" w:lineRule="exact"/>
        <w:rPr>
          <w:rFonts w:ascii="Arial" w:cs="Arial" w:eastAsia="Arial" w:hAnsi="Arial"/>
          <w:sz w:val="16"/>
          <w:szCs w:val="16"/>
          <w:color w:val="auto"/>
        </w:rPr>
      </w:pPr>
    </w:p>
    <w:p>
      <w:pPr>
        <w:ind w:right="20" w:firstLine="656"/>
        <w:spacing w:after="0" w:line="282" w:lineRule="auto"/>
        <w:tabs>
          <w:tab w:leader="none" w:pos="918"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Duration. </w:t>
      </w:r>
      <w:r>
        <w:rPr>
          <w:rFonts w:ascii="Arial" w:cs="Arial" w:eastAsia="Arial" w:hAnsi="Arial"/>
          <w:sz w:val="18"/>
          <w:szCs w:val="18"/>
          <w:color w:val="auto"/>
        </w:rPr>
        <w:t>This Plan shall remain in effect until June 11, 2030 unless sooner terminated by the Committee or the Board of Directors.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theretofore granted may extend beyond that date in accordance with the provisions of the Plan.</w:t>
      </w:r>
    </w:p>
    <w:p>
      <w:pPr>
        <w:sectPr>
          <w:pgSz w:w="11900" w:h="16838" w:orient="portrait"/>
          <w:cols w:equalWidth="0" w:num="1">
            <w:col w:w="11240"/>
          </w:cols>
          <w:pgMar w:left="320" w:top="1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1240"/>
              <w:spacing w:after="0"/>
              <w:rPr>
                <w:sz w:val="20"/>
                <w:szCs w:val="20"/>
                <w:color w:val="auto"/>
              </w:rPr>
            </w:pPr>
            <w:r>
              <w:rPr>
                <w:rFonts w:ascii="Arial" w:cs="Arial" w:eastAsia="Arial" w:hAnsi="Arial"/>
                <w:sz w:val="18"/>
                <w:szCs w:val="18"/>
                <w:color w:val="auto"/>
                <w:w w:val="93"/>
              </w:rPr>
              <w:t>Exhibit 22</w:t>
            </w:r>
          </w:p>
        </w:tc>
      </w:tr>
      <w:tr>
        <w:trPr>
          <w:trHeight w:val="810"/>
        </w:trPr>
        <w:tc>
          <w:tcPr>
            <w:tcW w:w="924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00" w:type="dxa"/>
            <w:vAlign w:val="bottom"/>
          </w:tcPr>
          <w:p>
            <w:pPr>
              <w:spacing w:after="0"/>
              <w:rPr>
                <w:sz w:val="24"/>
                <w:szCs w:val="24"/>
                <w:color w:val="auto"/>
              </w:rPr>
            </w:pPr>
          </w:p>
        </w:tc>
      </w:tr>
      <w:tr>
        <w:trPr>
          <w:trHeight w:val="270"/>
        </w:trPr>
        <w:tc>
          <w:tcPr>
            <w:tcW w:w="9240" w:type="dxa"/>
            <w:vAlign w:val="bottom"/>
            <w:gridSpan w:val="2"/>
          </w:tcPr>
          <w:p>
            <w:pPr>
              <w:spacing w:after="0"/>
              <w:rPr>
                <w:sz w:val="20"/>
                <w:szCs w:val="20"/>
                <w:color w:val="auto"/>
              </w:rPr>
            </w:pPr>
            <w:r>
              <w:rPr>
                <w:rFonts w:ascii="Arial" w:cs="Arial" w:eastAsia="Arial" w:hAnsi="Arial"/>
                <w:sz w:val="18"/>
                <w:szCs w:val="18"/>
                <w:color w:val="auto"/>
                <w:w w:val="96"/>
              </w:rPr>
              <w:t>As of June 30, 2020, the following subsidiaries of AMC Networks Inc. guarantee the notes issued by AMC Networks Inc.</w:t>
            </w:r>
          </w:p>
        </w:tc>
        <w:tc>
          <w:tcPr>
            <w:tcW w:w="2000" w:type="dxa"/>
            <w:vAlign w:val="bottom"/>
          </w:tcPr>
          <w:p>
            <w:pPr>
              <w:spacing w:after="0"/>
              <w:rPr>
                <w:sz w:val="23"/>
                <w:szCs w:val="23"/>
                <w:color w:val="auto"/>
              </w:rPr>
            </w:pPr>
          </w:p>
        </w:tc>
      </w:tr>
      <w:tr>
        <w:trPr>
          <w:trHeight w:val="304"/>
        </w:trPr>
        <w:tc>
          <w:tcPr>
            <w:tcW w:w="9240" w:type="dxa"/>
            <w:vAlign w:val="bottom"/>
            <w:gridSpan w:val="2"/>
          </w:tcPr>
          <w:p>
            <w:pPr>
              <w:ind w:left="4200"/>
              <w:spacing w:after="0"/>
              <w:rPr>
                <w:sz w:val="20"/>
                <w:szCs w:val="20"/>
                <w:color w:val="auto"/>
              </w:rPr>
            </w:pPr>
            <w:r>
              <w:rPr>
                <w:rFonts w:ascii="Arial" w:cs="Arial" w:eastAsia="Arial" w:hAnsi="Arial"/>
                <w:sz w:val="16"/>
                <w:szCs w:val="16"/>
                <w:b w:val="1"/>
                <w:bCs w:val="1"/>
                <w:color w:val="auto"/>
              </w:rPr>
              <w:t>Guarantor</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auto"/>
                <w:w w:val="96"/>
              </w:rPr>
              <w:t>Jurisdiction of Formation</w:t>
            </w:r>
          </w:p>
        </w:tc>
      </w:tr>
      <w:tr>
        <w:trPr>
          <w:trHeight w:val="3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Network Entertainment LLC</w:t>
            </w:r>
          </w:p>
        </w:tc>
        <w:tc>
          <w:tcPr>
            <w:tcW w:w="200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Networks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Premiere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TV Studios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AMCN Properties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Anthem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Badlands Productions 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Benders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Brockmire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Cobalt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Comic Scribe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Crossed Pens Development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Digital Store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Dispatches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Expedition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Five Families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Five Moons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Geese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Ground Work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Louisiana</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Entertainment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Entertainment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Films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In Theaters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4"/>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39"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ind w:left="4200"/>
              <w:spacing w:after="0"/>
              <w:rPr>
                <w:sz w:val="20"/>
                <w:szCs w:val="20"/>
                <w:color w:val="auto"/>
              </w:rPr>
            </w:pPr>
            <w:r>
              <w:rPr>
                <w:rFonts w:ascii="Arial" w:cs="Arial" w:eastAsia="Arial" w:hAnsi="Arial"/>
                <w:sz w:val="16"/>
                <w:szCs w:val="16"/>
                <w:b w:val="1"/>
                <w:bCs w:val="1"/>
                <w:color w:val="auto"/>
              </w:rPr>
              <w:t>Guarantor</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auto"/>
                <w:w w:val="96"/>
              </w:rPr>
              <w:t>Jurisdiction of Formation</w:t>
            </w:r>
          </w:p>
        </w:tc>
      </w:tr>
      <w:tr>
        <w:trPr>
          <w:trHeight w:val="3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Television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Theatres Concessions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Theatres,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TV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TV Studios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TV Studios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IPTV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Kindred Spirit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Kopus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Living With Yourself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Lodge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Lodge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Making Waves Studio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Newfound Lake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NOS4A2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Rhode Island</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Peach Pit Properties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Premier Quills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Rainbow Media Enterprises, Inc.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Rainbow Programming Holdings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Rectify Productions III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IV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Rectify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Red Monday Programming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RNC Holding Corporation</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RNC II Holding Corporation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Roughhouse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Selects VOD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Shudder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Stalwart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Stan Productions 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Sundance Film Holdings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The Son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Turn Productions III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28"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ind w:left="4200"/>
              <w:spacing w:after="0"/>
              <w:rPr>
                <w:sz w:val="20"/>
                <w:szCs w:val="20"/>
                <w:color w:val="auto"/>
              </w:rPr>
            </w:pPr>
            <w:r>
              <w:rPr>
                <w:rFonts w:ascii="Arial" w:cs="Arial" w:eastAsia="Arial" w:hAnsi="Arial"/>
                <w:sz w:val="16"/>
                <w:szCs w:val="16"/>
                <w:b w:val="1"/>
                <w:bCs w:val="1"/>
                <w:color w:val="auto"/>
              </w:rPr>
              <w:t>Guarantor</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auto"/>
                <w:w w:val="96"/>
              </w:rPr>
              <w:t>Jurisdiction of Formation</w:t>
            </w:r>
          </w:p>
        </w:tc>
      </w:tr>
      <w:tr>
        <w:trPr>
          <w:trHeight w:val="33"/>
        </w:trPr>
        <w:tc>
          <w:tcPr>
            <w:tcW w:w="9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Turn Productions IV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IV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VII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X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Universe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WE tv Asia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 TV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WE tv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 TV Studios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Woodbury Studios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2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40" w:val="left"/>
          <w:tab w:leader="none" w:pos="7060" w:val="left"/>
          <w:tab w:leader="none" w:pos="7500" w:val="left"/>
        </w:tabs>
        <w:rPr>
          <w:sz w:val="20"/>
          <w:szCs w:val="20"/>
          <w:color w:val="auto"/>
        </w:rPr>
      </w:pPr>
      <w:r>
        <w:rPr>
          <w:rFonts w:ascii="Arial" w:cs="Arial" w:eastAsia="Arial" w:hAnsi="Arial"/>
          <w:sz w:val="18"/>
          <w:szCs w:val="18"/>
          <w:color w:val="auto"/>
        </w:rPr>
        <w:t>Date:</w:t>
        <w:tab/>
        <w:t>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3577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5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40" w:val="left"/>
          <w:tab w:leader="none" w:pos="7060" w:val="left"/>
          <w:tab w:leader="none" w:pos="7500" w:val="left"/>
        </w:tabs>
        <w:rPr>
          <w:sz w:val="20"/>
          <w:szCs w:val="20"/>
          <w:color w:val="auto"/>
        </w:rPr>
      </w:pPr>
      <w:r>
        <w:rPr>
          <w:rFonts w:ascii="Arial" w:cs="Arial" w:eastAsia="Arial" w:hAnsi="Arial"/>
          <w:sz w:val="18"/>
          <w:szCs w:val="18"/>
          <w:color w:val="auto"/>
        </w:rPr>
        <w:t>Date:</w:t>
        <w:tab/>
        <w:t>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3577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5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2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6/30/2020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95" w:lineRule="exact"/>
        <w:rPr>
          <w:sz w:val="20"/>
          <w:szCs w:val="20"/>
          <w:color w:val="auto"/>
        </w:rPr>
      </w:pPr>
    </w:p>
    <w:p>
      <w:pPr>
        <w:ind w:left="20"/>
        <w:spacing w:after="0"/>
        <w:tabs>
          <w:tab w:leader="none" w:pos="640" w:val="left"/>
          <w:tab w:leader="none" w:pos="7040" w:val="left"/>
          <w:tab w:leader="none" w:pos="7480" w:val="left"/>
        </w:tabs>
        <w:rPr>
          <w:sz w:val="20"/>
          <w:szCs w:val="20"/>
          <w:color w:val="auto"/>
        </w:rPr>
      </w:pPr>
      <w:r>
        <w:rPr>
          <w:rFonts w:ascii="Arial" w:cs="Arial" w:eastAsia="Arial" w:hAnsi="Arial"/>
          <w:sz w:val="18"/>
          <w:szCs w:val="18"/>
          <w:color w:val="auto"/>
        </w:rPr>
        <w:t>Date:</w:t>
        <w:tab/>
        <w:t>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31750</wp:posOffset>
            </wp:positionV>
            <wp:extent cx="23571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40" w:val="left"/>
          <w:tab w:leader="none" w:pos="7060" w:val="left"/>
          <w:tab w:leader="none" w:pos="7500" w:val="left"/>
        </w:tabs>
        <w:rPr>
          <w:sz w:val="20"/>
          <w:szCs w:val="20"/>
          <w:color w:val="auto"/>
        </w:rPr>
      </w:pPr>
      <w:r>
        <w:rPr>
          <w:rFonts w:ascii="Arial" w:cs="Arial" w:eastAsia="Arial" w:hAnsi="Arial"/>
          <w:sz w:val="18"/>
          <w:szCs w:val="18"/>
          <w:color w:val="auto"/>
        </w:rPr>
        <w:t>Date:</w:t>
        <w:tab/>
        <w:t>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3577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5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
      <w:numFmt w:val="bullet"/>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decimal"/>
      <w:start w:val="104"/>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lowerLetter"/>
      <w:start w:val="10"/>
    </w:lvl>
  </w:abstractNum>
  <w:abstractNum w:abstractNumId="16">
    <w:nsid w:val="419AC241"/>
    <w:multiLevelType w:val="hybridMultilevel"/>
    <w:lvl w:ilvl="0">
      <w:lvlJc w:val="left"/>
      <w:lvlText w:val="%1"/>
      <w:numFmt w:val="lowerLetter"/>
      <w:start w:val="1"/>
    </w:lvl>
    <w:lvl w:ilvl="1">
      <w:lvlJc w:val="left"/>
      <w:lvlText w:val="(%2)"/>
      <w:numFmt w:val="lowerLetter"/>
      <w:start w:val="14"/>
    </w:lvl>
  </w:abstractNum>
  <w:abstractNum w:abstractNumId="17">
    <w:nsid w:val="5577F8E1"/>
    <w:multiLevelType w:val="hybridMultilevel"/>
    <w:lvl w:ilvl="0">
      <w:lvlJc w:val="left"/>
      <w:lvlText w:val="(%1)"/>
      <w:numFmt w:val="lowerLetter"/>
      <w:start w:val="22"/>
    </w:lvl>
    <w:lvl w:ilvl="1">
      <w:lvlJc w:val="left"/>
      <w:lvlText w:val="(%2)"/>
      <w:numFmt w:val="lowerLetter"/>
      <w:start w:val="15"/>
    </w:lvl>
  </w:abstractNum>
  <w:abstractNum w:abstractNumId="18">
    <w:nsid w:val="440BADFC"/>
    <w:multiLevelType w:val="hybridMultilevel"/>
    <w:lvl w:ilvl="0">
      <w:lvlJc w:val="left"/>
      <w:lvlText w:val="%1."/>
      <w:numFmt w:val="decimal"/>
      <w:start w:val="3"/>
    </w:lvl>
  </w:abstractNum>
  <w:abstractNum w:abstractNumId="19">
    <w:nsid w:val="5072367"/>
    <w:multiLevelType w:val="hybridMultilevel"/>
    <w:lvl w:ilvl="0">
      <w:lvlJc w:val="left"/>
      <w:lvlText w:val="%1"/>
      <w:numFmt w:val="lowerLetter"/>
      <w:start w:val="1"/>
    </w:lvl>
    <w:lvl w:ilvl="1">
      <w:lvlJc w:val="left"/>
      <w:lvlText w:val="(%2)"/>
      <w:numFmt w:val="lowerLetter"/>
      <w:start w:val="2"/>
    </w:lvl>
  </w:abstractNum>
  <w:abstractNum w:abstractNumId="20">
    <w:nsid w:val="3804823E"/>
    <w:multiLevelType w:val="hybridMultilevel"/>
    <w:lvl w:ilvl="0">
      <w:lvlJc w:val="left"/>
      <w:lvlText w:val="(%1)"/>
      <w:numFmt w:val="lowerLetter"/>
      <w:start w:val="5"/>
    </w:lvl>
    <w:lvl w:ilvl="1">
      <w:lvlJc w:val="left"/>
      <w:lvlText w:val="(%2)"/>
      <w:numFmt w:val="lowerLetter"/>
      <w:start w:val="3"/>
    </w:lvl>
  </w:abstractNum>
  <w:abstractNum w:abstractNumId="21">
    <w:nsid w:val="77465F01"/>
    <w:multiLevelType w:val="hybridMultilevel"/>
    <w:lvl w:ilvl="0">
      <w:lvlJc w:val="left"/>
      <w:lvlText w:val="%1."/>
      <w:numFmt w:val="decimal"/>
      <w:start w:val="4"/>
    </w:lvl>
  </w:abstractNum>
  <w:abstractNum w:abstractNumId="22">
    <w:nsid w:val="7724C67E"/>
    <w:multiLevelType w:val="hybridMultilevel"/>
    <w:lvl w:ilvl="0">
      <w:lvlJc w:val="left"/>
      <w:lvlText w:val="%1."/>
      <w:numFmt w:val="decimal"/>
      <w:start w:val="5"/>
    </w:lvl>
  </w:abstractNum>
  <w:abstractNum w:abstractNumId="23">
    <w:nsid w:val="5C482A97"/>
    <w:multiLevelType w:val="hybridMultilevel"/>
    <w:lvl w:ilvl="0">
      <w:lvlJc w:val="left"/>
      <w:lvlText w:val="(%1)"/>
      <w:numFmt w:val="lowerLetter"/>
      <w:start w:val="2"/>
    </w:lvl>
  </w:abstractNum>
  <w:abstractNum w:abstractNumId="24">
    <w:nsid w:val="2463B9EA"/>
    <w:multiLevelType w:val="hybridMultilevel"/>
    <w:lvl w:ilvl="0">
      <w:lvlJc w:val="left"/>
      <w:lvlText w:val="%1."/>
      <w:numFmt w:val="decimal"/>
      <w:start w:val="6"/>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5"/>
    </w:lvl>
  </w:abstractNum>
  <w:abstractNum w:abstractNumId="27">
    <w:nsid w:val="2D517796"/>
    <w:multiLevelType w:val="hybridMultilevel"/>
    <w:lvl w:ilvl="0">
      <w:lvlJc w:val="left"/>
      <w:lvlText w:val="%1."/>
      <w:numFmt w:val="decimal"/>
      <w:start w:val="7"/>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decimal"/>
      <w:start w:val="1"/>
    </w:lvl>
    <w:lvl w:ilvl="1">
      <w:lvlJc w:val="left"/>
      <w:lvlText w:val="%2."/>
      <w:numFmt w:val="decimal"/>
      <w:start w:val="8"/>
    </w:lvl>
  </w:abstractNum>
  <w:abstractNum w:abstractNumId="30">
    <w:nsid w:val="3855585C"/>
    <w:multiLevelType w:val="hybridMultilevel"/>
    <w:lvl w:ilvl="0">
      <w:lvlJc w:val="left"/>
      <w:lvlText w:val="(%1)"/>
      <w:numFmt w:val="decimal"/>
      <w:start w:val="5"/>
    </w:lvl>
    <w:lvl w:ilvl="1">
      <w:lvlJc w:val="left"/>
      <w:lvlText w:val="%2"/>
      <w:numFmt w:val="decimal"/>
      <w:start w:val="1"/>
    </w:lvl>
  </w:abstractNum>
  <w:abstractNum w:abstractNumId="31">
    <w:nsid w:val="70A64E2A"/>
    <w:multiLevelType w:val="hybridMultilevel"/>
    <w:lvl w:ilvl="0">
      <w:lvlJc w:val="left"/>
      <w:lvlText w:val="(%1)"/>
      <w:numFmt w:val="lowerLetter"/>
      <w:start w:val="2"/>
    </w:lvl>
  </w:abstractNum>
  <w:abstractNum w:abstractNumId="32">
    <w:nsid w:val="6A2342EC"/>
    <w:multiLevelType w:val="hybridMultilevel"/>
    <w:lvl w:ilvl="0">
      <w:lvlJc w:val="left"/>
      <w:lvlText w:val="%1."/>
      <w:numFmt w:val="decimal"/>
      <w:start w:val="9"/>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decimal"/>
      <w:start w:val="10"/>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2"/>
    </w:lvl>
  </w:abstractNum>
  <w:abstractNum w:abstractNumId="37">
    <w:nsid w:val="57E4CCAF"/>
    <w:multiLevelType w:val="hybridMultilevel"/>
    <w:lvl w:ilvl="0">
      <w:lvlJc w:val="left"/>
      <w:lvlText w:val="%1."/>
      <w:numFmt w:val="decimal"/>
      <w:start w:val="11"/>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decimal"/>
      <w:start w:val="13"/>
    </w:lvl>
  </w:abstractNum>
  <w:abstractNum w:abstractNumId="40">
    <w:nsid w:val="542289EC"/>
    <w:multiLevelType w:val="hybridMultilevel"/>
    <w:lvl w:ilvl="0">
      <w:lvlJc w:val="left"/>
      <w:lvlText w:val="%1."/>
      <w:numFmt w:val="decimal"/>
      <w:start w:val="16"/>
    </w:lvl>
  </w:abstractNum>
  <w:abstractNum w:abstractNumId="41">
    <w:nsid w:val="6DE91B18"/>
    <w:multiLevelType w:val="hybridMultilevel"/>
    <w:lvl w:ilvl="0">
      <w:lvlJc w:val="left"/>
      <w:lvlText w:val="%1."/>
      <w:numFmt w:val="decimal"/>
      <w:start w:val="25"/>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15"/>
    </w:lvl>
  </w:abstractNum>
  <w:abstractNum w:abstractNumId="45">
    <w:nsid w:val="684A481A"/>
    <w:multiLevelType w:val="hybridMultilevel"/>
    <w:lvl w:ilvl="0">
      <w:lvlJc w:val="left"/>
      <w:lvlText w:val="%1."/>
      <w:numFmt w:val="decimal"/>
      <w:start w:val="4"/>
    </w:lvl>
  </w:abstractNum>
  <w:abstractNum w:abstractNumId="46">
    <w:nsid w:val="579478FE"/>
    <w:multiLevelType w:val="hybridMultilevel"/>
    <w:lvl w:ilvl="0">
      <w:lvlJc w:val="left"/>
      <w:lvlText w:val="%1."/>
      <w:numFmt w:val="decimal"/>
      <w:start w:val="6"/>
    </w:lvl>
  </w:abstractNum>
  <w:abstractNum w:abstractNumId="47">
    <w:nsid w:val="749ABB43"/>
    <w:multiLevelType w:val="hybridMultilevel"/>
    <w:lvl w:ilvl="0">
      <w:lvlJc w:val="left"/>
      <w:lvlText w:val="%1."/>
      <w:numFmt w:val="decimal"/>
      <w:start w:val="7"/>
    </w:lvl>
  </w:abstractNum>
  <w:abstractNum w:abstractNumId="48">
    <w:nsid w:val="3DC240FB"/>
    <w:multiLevelType w:val="hybridMultilevel"/>
    <w:lvl w:ilvl="0">
      <w:lvlJc w:val="left"/>
      <w:lvlText w:val="%1."/>
      <w:numFmt w:val="decimal"/>
      <w:start w:val="9"/>
    </w:lvl>
  </w:abstractNum>
  <w:abstractNum w:abstractNumId="49">
    <w:nsid w:val="1BA026FA"/>
    <w:multiLevelType w:val="hybridMultilevel"/>
    <w:lvl w:ilvl="0">
      <w:lvlJc w:val="left"/>
      <w:lvlText w:val="%1."/>
      <w:numFmt w:val="decimal"/>
      <w:start w:val="17"/>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2020-08-05T15:49:25Z</dcterms:created>
  <dcterms:modified xsi:type="dcterms:W3CDTF">2020-08-05T15:49:25Z</dcterms:modified>
</cp:coreProperties>
</file>