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144145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1420" w:hanging="541"/>
        <w:spacing w:after="0"/>
        <w:tabs>
          <w:tab w:leader="none" w:pos="1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1420" w:hanging="541"/>
        <w:spacing w:after="0"/>
        <w:tabs>
          <w:tab w:leader="none" w:pos="1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6" w:lineRule="exact"/>
        <w:rPr>
          <w:sz w:val="24"/>
          <w:szCs w:val="24"/>
          <w:color w:val="auto"/>
        </w:rPr>
      </w:pPr>
    </w:p>
    <w:p>
      <w:pPr>
        <w:ind w:left="426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214630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137795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89"/>
              </w:rPr>
              <w:t>11 Penn Plaza,</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5"/>
              </w:rPr>
              <w:t>New York, NY</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10001</w:t>
            </w:r>
          </w:p>
        </w:tc>
      </w:tr>
      <w:tr>
        <w:trPr>
          <w:trHeight w:val="218"/>
        </w:trPr>
        <w:tc>
          <w:tcPr>
            <w:tcW w:w="5360" w:type="dxa"/>
            <w:vAlign w:val="bottom"/>
            <w:gridSpan w:val="2"/>
          </w:tcPr>
          <w:p>
            <w:pPr>
              <w:jc w:val="center"/>
              <w:ind w:right="29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5360" w:type="dxa"/>
            <w:vAlign w:val="bottom"/>
            <w:gridSpan w:val="2"/>
          </w:tcPr>
          <w:p>
            <w:pPr>
              <w:jc w:val="right"/>
              <w:ind w:right="1108"/>
              <w:spacing w:after="0"/>
              <w:rPr>
                <w:sz w:val="20"/>
                <w:szCs w:val="20"/>
                <w:color w:val="auto"/>
              </w:rPr>
            </w:pPr>
            <w:r>
              <w:rPr>
                <w:rFonts w:ascii="Arial" w:cs="Arial" w:eastAsia="Arial" w:hAnsi="Arial"/>
                <w:sz w:val="18"/>
                <w:szCs w:val="18"/>
                <w:b w:val="1"/>
                <w:bCs w:val="1"/>
                <w:color w:val="auto"/>
              </w:rPr>
              <w:t>(212) 324-8500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1360" w:type="dxa"/>
            <w:vAlign w:val="bottom"/>
          </w:tcPr>
          <w:p>
            <w:pPr>
              <w:spacing w:after="0"/>
              <w:rPr>
                <w:sz w:val="18"/>
                <w:szCs w:val="18"/>
                <w:color w:val="auto"/>
              </w:rPr>
            </w:pPr>
          </w:p>
        </w:tc>
        <w:tc>
          <w:tcPr>
            <w:tcW w:w="4000" w:type="dxa"/>
            <w:vAlign w:val="bottom"/>
          </w:tcPr>
          <w:p>
            <w:pPr>
              <w:jc w:val="center"/>
              <w:ind w:left="4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8"/>
        </w:trPr>
        <w:tc>
          <w:tcPr>
            <w:tcW w:w="136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bl>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Exchange Act Rule 12b-2).</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July 31, 2017:</w:t>
            </w:r>
          </w:p>
        </w:tc>
        <w:tc>
          <w:tcPr>
            <w:tcW w:w="2140" w:type="dxa"/>
            <w:vAlign w:val="bottom"/>
          </w:tcPr>
          <w:p>
            <w:pPr>
              <w:spacing w:after="0"/>
              <w:rPr>
                <w:sz w:val="20"/>
                <w:szCs w:val="20"/>
                <w:color w:val="auto"/>
              </w:rPr>
            </w:pPr>
          </w:p>
        </w:tc>
      </w:tr>
      <w:tr>
        <w:trPr>
          <w:trHeight w:val="432"/>
        </w:trPr>
        <w:tc>
          <w:tcPr>
            <w:tcW w:w="6580" w:type="dxa"/>
            <w:vAlign w:val="bottom"/>
          </w:tcPr>
          <w:p>
            <w:pPr>
              <w:ind w:left="1660"/>
              <w:spacing w:after="0"/>
              <w:rPr>
                <w:sz w:val="20"/>
                <w:szCs w:val="20"/>
                <w:color w:val="auto"/>
              </w:rPr>
            </w:pPr>
            <w:r>
              <w:rPr>
                <w:rFonts w:ascii="Arial" w:cs="Arial" w:eastAsia="Arial" w:hAnsi="Arial"/>
                <w:sz w:val="18"/>
                <w:szCs w:val="18"/>
                <w:color w:val="auto"/>
              </w:rPr>
              <w:t>Class A Common Stock par value $0.01 per share</w:t>
            </w:r>
          </w:p>
        </w:tc>
        <w:tc>
          <w:tcPr>
            <w:tcW w:w="2140" w:type="dxa"/>
            <w:vAlign w:val="bottom"/>
          </w:tcPr>
          <w:p>
            <w:pPr>
              <w:jc w:val="right"/>
              <w:spacing w:after="0"/>
              <w:rPr>
                <w:sz w:val="20"/>
                <w:szCs w:val="20"/>
                <w:color w:val="auto"/>
              </w:rPr>
            </w:pPr>
            <w:r>
              <w:rPr>
                <w:rFonts w:ascii="Arial" w:cs="Arial" w:eastAsia="Arial" w:hAnsi="Arial"/>
                <w:sz w:val="18"/>
                <w:szCs w:val="18"/>
                <w:color w:val="auto"/>
              </w:rPr>
              <w:t>52,080,739</w:t>
            </w:r>
          </w:p>
        </w:tc>
      </w:tr>
      <w:tr>
        <w:trPr>
          <w:trHeight w:val="270"/>
        </w:trPr>
        <w:tc>
          <w:tcPr>
            <w:tcW w:w="6580" w:type="dxa"/>
            <w:vAlign w:val="bottom"/>
          </w:tcPr>
          <w:p>
            <w:pPr>
              <w:ind w:left="1660"/>
              <w:spacing w:after="0"/>
              <w:rPr>
                <w:sz w:val="20"/>
                <w:szCs w:val="20"/>
                <w:color w:val="auto"/>
              </w:rPr>
            </w:pPr>
            <w:r>
              <w:rPr>
                <w:rFonts w:ascii="Arial" w:cs="Arial" w:eastAsia="Arial" w:hAnsi="Arial"/>
                <w:sz w:val="18"/>
                <w:szCs w:val="18"/>
                <w:color w:val="auto"/>
              </w:rPr>
              <w:t>Class B Common Stock par value $0.01 per share</w:t>
            </w:r>
          </w:p>
        </w:tc>
        <w:tc>
          <w:tcPr>
            <w:tcW w:w="2140" w:type="dxa"/>
            <w:vAlign w:val="bottom"/>
          </w:tcPr>
          <w:p>
            <w:pPr>
              <w:jc w:val="right"/>
              <w:spacing w:after="0"/>
              <w:rPr>
                <w:sz w:val="20"/>
                <w:szCs w:val="20"/>
                <w:color w:val="auto"/>
              </w:rPr>
            </w:pPr>
            <w:r>
              <w:rPr>
                <w:rFonts w:ascii="Arial" w:cs="Arial" w:eastAsia="Arial" w:hAnsi="Arial"/>
                <w:sz w:val="18"/>
                <w:szCs w:val="18"/>
                <w:color w:val="auto"/>
              </w:rPr>
              <w:t>11,484,408</w:t>
            </w:r>
          </w:p>
        </w:tc>
      </w:tr>
    </w:tbl>
    <w:p>
      <w:pPr>
        <w:sectPr>
          <w:pgSz w:w="11900" w:h="16838" w:orient="portrait"/>
          <w:cols w:equalWidth="0" w:num="1">
            <w:col w:w="11420"/>
          </w:cols>
          <w:pgMar w:left="240" w:top="517"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4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708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60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30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60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4"/>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Item 4.</w:t>
              </w:r>
            </w:hyperlink>
          </w:p>
        </w:tc>
        <w:tc>
          <w:tcPr>
            <w:tcW w:w="4360" w:type="dxa"/>
            <w:vAlign w:val="bottom"/>
            <w:gridSpan w:val="12"/>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1.</w:t>
              </w:r>
            </w:hyperlink>
          </w:p>
        </w:tc>
        <w:tc>
          <w:tcPr>
            <w:tcW w:w="19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78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2.</w:t>
              </w:r>
            </w:hyperlink>
          </w:p>
        </w:tc>
        <w:tc>
          <w:tcPr>
            <w:tcW w:w="9800" w:type="dxa"/>
            <w:vAlign w:val="bottom"/>
            <w:gridSpan w:val="14"/>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6.</w:t>
              </w:r>
            </w:hyperlink>
          </w:p>
        </w:tc>
        <w:tc>
          <w:tcPr>
            <w:tcW w:w="620" w:type="dxa"/>
            <w:vAlign w:val="bottom"/>
            <w:gridSpan w:val="2"/>
          </w:tcPr>
          <w:p>
            <w:pPr>
              <w:ind w:left="20"/>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Exhibits</w:t>
              </w:r>
            </w:hyperlink>
          </w:p>
        </w:tc>
        <w:tc>
          <w:tcPr>
            <w:tcW w:w="3740" w:type="dxa"/>
            <w:vAlign w:val="bottom"/>
            <w:gridSpan w:val="10"/>
          </w:tcPr>
          <w:p>
            <w:pPr>
              <w:spacing w:after="0"/>
              <w:rPr>
                <w:sz w:val="21"/>
                <w:szCs w:val="21"/>
                <w:color w:val="auto"/>
              </w:rPr>
            </w:pPr>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6"/>
              </w:rPr>
            </w:pPr>
            <w:hyperlink w:anchor="page52">
              <w:r>
                <w:rPr>
                  <w:rFonts w:ascii="Arial" w:cs="Arial" w:eastAsia="Arial" w:hAnsi="Arial"/>
                  <w:sz w:val="18"/>
                  <w:szCs w:val="18"/>
                  <w:b w:val="1"/>
                  <w:bCs w:val="1"/>
                  <w:color w:val="0000EE"/>
                  <w:w w:val="96"/>
                </w:rPr>
                <w:t>SIGNATURES</w:t>
              </w:r>
            </w:hyperlink>
          </w:p>
        </w:tc>
        <w:tc>
          <w:tcPr>
            <w:tcW w:w="942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2017</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481,389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receivable, trade (less allowance for doubtful accounts of $6,818 and $6,064)</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744,647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700,655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Amounts due from related parties,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450,090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441,130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72,661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Assets held for sale</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16,433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1,478,749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1,696,343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and equipment, net of accumulated depreciation of $257,099 and $272,148</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159,153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166,636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Program rights,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1,108,586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carriage fees,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37,626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43,886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485,809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680,234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657,708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412,232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313,029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4,478,168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4,480,595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480"/>
              <w:spacing w:after="0"/>
              <w:rPr>
                <w:sz w:val="20"/>
                <w:szCs w:val="20"/>
                <w:color w:val="auto"/>
              </w:rPr>
            </w:pPr>
            <w:r>
              <w:rPr>
                <w:rFonts w:ascii="Arial" w:cs="Arial" w:eastAsia="Arial" w:hAnsi="Arial"/>
                <w:sz w:val="16"/>
                <w:szCs w:val="16"/>
                <w:b w:val="1"/>
                <w:bCs w:val="1"/>
                <w:color w:val="auto"/>
              </w:rPr>
              <w:t>LIABILITIES AND STOCKHOLDERS’ EQUITY (DEFICIENCY)</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90,893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88,677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284,429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301,527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300,845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53,643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259,000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222,000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Liabilities held for sale</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16,433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954,434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954,178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Program rights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485,883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398,175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2,597,263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28,341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35,282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liabilites,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145,791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120,890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132,219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4,203,358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4,262,908</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217,149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219,331</w:t>
            </w:r>
          </w:p>
        </w:tc>
        <w:tc>
          <w:tcPr>
            <w:tcW w:w="0" w:type="dxa"/>
            <w:vAlign w:val="bottom"/>
          </w:tcPr>
          <w:p>
            <w:pPr>
              <w:spacing w:after="0"/>
              <w:rPr>
                <w:sz w:val="1"/>
                <w:szCs w:val="1"/>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 (deficiency):</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Class A Common Stock, $0.01 par value, 360,000 shares authorized, 62,702 and 62,409 shares issued and 53,007</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and 57,079 shares outstanding,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158,485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142,798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295,409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Treasury stock, at cost (9,696 and 5,330 shares Class A Common Stock, respectively)</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(519,604)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(275,230)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(144,169)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(193,798)</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AMC Networks stockholders’ equity (deficiency)</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(30,082)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28,438</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stockholders’ equity (deficiency)</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57,661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 (deficiency)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4,478,168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4,480,595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64" w:right="239" w:bottom="73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732"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Revenues, net (including revenues, net from related parties of $1,512,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$6,200, $3,079 and $12,906, respectively)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684,832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1,430,734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1,391,411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Technical and operating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305,492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633,457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576,537</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w w:val="99"/>
              </w:rPr>
              <w:t>Selling, general and administrative (including charges from related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tcPr>
          <w:p>
            <w:pPr>
              <w:ind w:left="600"/>
              <w:spacing w:after="0"/>
              <w:rPr>
                <w:sz w:val="20"/>
                <w:szCs w:val="20"/>
                <w:color w:val="auto"/>
              </w:rPr>
            </w:pPr>
            <w:r>
              <w:rPr>
                <w:rFonts w:ascii="Arial" w:cs="Arial" w:eastAsia="Arial" w:hAnsi="Arial"/>
                <w:sz w:val="18"/>
                <w:szCs w:val="18"/>
                <w:color w:val="auto"/>
              </w:rPr>
              <w:t>parties of $415, $822, $989 and $1,890, respectively)</w:t>
            </w: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179,366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325,982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336,644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41,185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534,755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506,800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1,023,273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954,720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436,691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(25,599)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(135,306)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167,819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122,777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383,531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301,385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(97,933)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107,626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83,387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250,256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203,452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(12,832)</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102,598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77,175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238,814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190,620</w:t>
            </w:r>
          </w:p>
        </w:tc>
      </w:tr>
      <w:tr>
        <w:trPr>
          <w:trHeight w:val="217"/>
        </w:trPr>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weighted average common shares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66,789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73,287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203,452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Unrealized (loss) gain on interest rate swaps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(loss) gain on available for 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(15,558)</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187,894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(11,456)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138,089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51,497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286,521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176,438</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250,256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203,452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income from operations to net cash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44,099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41,185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27,595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19,488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373,491</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8,803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8,187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Unrealized foreign currency transaction (gain) loss</w:t>
            </w:r>
          </w:p>
        </w:tc>
        <w:tc>
          <w:tcPr>
            <w:tcW w:w="38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28,366</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Unrealized (gain) loss on derivative contracts, net</w:t>
            </w:r>
          </w:p>
        </w:tc>
        <w:tc>
          <w:tcPr>
            <w:tcW w:w="3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(21,790)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8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4,551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4,638</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24"/>
                <w:szCs w:val="24"/>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48,343</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Bad debt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11,914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Excess tax benefits from share-based compensation arrangements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Other, net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(45,536)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Program rights and obligations, net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(458,480)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(466,288)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13,636</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29,308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carriage fees,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Accounts payable, accrued expenses and other liabilities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229,564</w:t>
            </w:r>
          </w:p>
        </w:tc>
        <w:tc>
          <w:tcPr>
            <w:tcW w:w="0" w:type="dxa"/>
            <w:vAlign w:val="bottom"/>
          </w:tcPr>
          <w:p>
            <w:pPr>
              <w:spacing w:after="0"/>
              <w:rPr>
                <w:sz w:val="1"/>
                <w:szCs w:val="1"/>
                <w:color w:val="auto"/>
              </w:rPr>
            </w:pP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(24,186)</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Investments in and loans to investees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acquisition of a business, net of cash acquired</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(82,936)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(24,540)</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the issuance of long-term debt</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982,500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(728,449)</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Premium and fees paid on extinguishment of debt</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Deemed repurchases of restricted stock units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(10,834)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(48,227)</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stock option exercises</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share-based compensation arrangements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Principal payments on capital lease obligations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(8,977)</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(384,168)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144,677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349,701</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9,217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(22,552)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316,321</w:t>
            </w:r>
          </w:p>
        </w:tc>
        <w:tc>
          <w:tcPr>
            <w:tcW w:w="0" w:type="dxa"/>
            <w:vAlign w:val="bottom"/>
          </w:tcPr>
          <w:p>
            <w:pPr>
              <w:spacing w:after="0"/>
              <w:rPr>
                <w:sz w:val="1"/>
                <w:szCs w:val="1"/>
                <w:color w:val="auto"/>
              </w:rPr>
            </w:pPr>
          </w:p>
        </w:tc>
      </w:tr>
      <w:tr>
        <w:trPr>
          <w:trHeight w:val="244"/>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189,479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643,470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60" w:top="369" w:right="239" w:bottom="503"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369" w:right="239" w:bottom="503"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1300" w:hanging="644"/>
        <w:spacing w:after="0" w:line="297" w:lineRule="auto"/>
        <w:tabs>
          <w:tab w:leader="none" w:pos="13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programming businesses, which include our five programming networks, distributed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and Canada. These programming networks include AMC, WE tv, BBC AMERICA, IFC, and SundanceTV in the U.S.; and AMC, IFC, and Sundance Channel in Canada. Our AMC Studios operations within the National Networks segment sells rights worldwide to its owned original programming. The National Networks operating segment also includes AMC Networks Broadcasting &amp; Technology, the technical services business, which primarily services most of the programming networks included in the National Networks segment.</w:t>
      </w:r>
    </w:p>
    <w:p>
      <w:pPr>
        <w:spacing w:after="0" w:line="158" w:lineRule="exact"/>
        <w:rPr>
          <w:rFonts w:ascii="Arial" w:cs="Arial" w:eastAsia="Arial" w:hAnsi="Arial"/>
          <w:sz w:val="16"/>
          <w:szCs w:val="16"/>
          <w:i w:val="1"/>
          <w:iCs w:val="1"/>
          <w:color w:val="auto"/>
        </w:rPr>
      </w:pPr>
    </w:p>
    <w:p>
      <w:pPr>
        <w:jc w:val="both"/>
        <w:ind w:left="1300" w:hanging="644"/>
        <w:spacing w:after="0" w:line="30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and Other: </w:t>
      </w:r>
      <w:r>
        <w:rPr>
          <w:rFonts w:ascii="Arial" w:cs="Arial" w:eastAsia="Arial" w:hAnsi="Arial"/>
          <w:sz w:val="16"/>
          <w:szCs w:val="16"/>
          <w:color w:val="auto"/>
        </w:rPr>
        <w:t>Principally includes AMC Networks International (“AMCNI”), the Company’s international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consisting of a portfolio of channels in Europe, Latin America, the Middle East and parts of Asia and Africa; IFC Films, the Company’s independent film distribution business; AMCNI – DMC, the broadcast solutions unit of certain networks of AMCNI and third-party networks; and various developing on-line content distribution initiatives. The AMCNI – DMC business was sold on July 12,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unaudited condensed consolidated financial statements include the accounts of AMC Networks and its majority owned or controlled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 unless the fair value option is elected.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2016 contained in the Company’s Annual Report on Form 10-K (“2016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recorded in technical and operating expense. Program rights write-offs included in technical and operating expense of $1.4 million and $1.1 million were recorded for the three months ended June 30, 2017 and June 30, 2016, respectively. Program rights write-offs included in technical and operating expense of $1.8 million and $1.1 million were recorded for the six months ended June 30, 2017 and June 30,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Held for Sale</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June 2017, we classified the assets and liabilities of AMCNI – DMC as held for sale. Assets held for sale are required to be presented at fair value less estimated sale costs, and as a result, the Company recognized a pre-tax impairment charge of $17.1 million for the three months ended June 30, 2017. Additionally, the Company expects to recognize a pre-tax loss of approximately $12.1 million in the third quarter of 2017 in conjunction with the sale of AMCNI – DMC, completed on July 12, 2017. The loss on sale may vary due to the finalization of certain purchase price adjustments.</w:t>
      </w:r>
    </w:p>
    <w:p>
      <w:pPr>
        <w:sectPr>
          <w:pgSz w:w="11900" w:h="16838" w:orient="portrait"/>
          <w:cols w:equalWidth="0" w:num="1">
            <w:col w:w="11420"/>
          </w:cols>
          <w:pgMar w:left="240" w:top="12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valuation of acquisition-related assets and liabilities, derivative assets and liabilities, certain stock compensation awards, the useful lives and methodologies used to amortize and assess recoverability of program rights, the estimated useful lives of intangible assets, valuation and recoverability of goodwill and intangible assets and income tax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The Company adopted Accounting Standards Update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became effective for the Company as of January 1, 2017. ASU 2016-09 amends Accounting Standards Codification ("ASC") Topic 718, Compensation – Stock Compensation and simplifies several aspects of the accounting for share-based payment transactions, including the income tax consequences, classification of awards as either equity or liabilities, and classification in the statement of cash flows. Under the new standard, all excess tax benefits and tax deficiencies are recorded as a component of the provision for income taxes in the reporting period in which they occur. Additionally, ASU 2016-09 requires that the Company present excess tax benefits in the statement of cash flows as an operating activity. The Company elected to apply this adoption prospectively; accordingly, prior periods have not been adjusted. The adoption of this standard did not have a material impact on the Company's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May 2017, the Financial Accounting Standards Board (“FASB”) issued ASU No. 2017-09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ASU 2017-09 addresses changes to the terms or conditions of a share-based payment award, specifically regarding which changes to the terms or conditions of a share-based payment award would require an entity to apply modification accounting. The guidance does not change the accounting for modifications but clarifies that an entity should account for the effects of a modification unless the fair value, vesting conditions, and classification of the modified award are the same immediately before the original award is modified. ASU 2017-09 is effective for the first quarter of 2018, with early adoption permitted. The adoption of ASU 2017-09 is not expected to have a material impact on the Company’s consolidated financial statements.</w:t>
      </w:r>
    </w:p>
    <w:p>
      <w:pPr>
        <w:spacing w:after="0" w:line="17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ASU 2017-04 removes Step 2 of the current goodwill impairment test under ASC Topic 350 and replaces it with a simplified model. Under the simplified model, a goodwill impairment is calculated as the difference between the carrying amount of a reporting unit and its fair value, but not to exceed the carrying amount of goodwill. The amount of any impairment under the simplified model may differ from what would have been recognized under the two-step test. The ASU is effective for the Company in the first quarter of 2020, with early adoption permitted for any impairment tests performed after a testing date of January 1, 2017. The adoption of ASU 2017-04 is not expected to have a material impact on the Company's consolidated financial statements.</w:t>
      </w:r>
    </w:p>
    <w:p>
      <w:pPr>
        <w:spacing w:after="0" w:line="16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ASU 2016-16 simplifies the accounting for the income tax consequences of intra-entity transfers of assets other than inventory and includes requirements to recognize the income tax consequences of an intra-entity transfer of an asset other than inventory when the transfer occurs; therefore, eliminating the exception for an intra-entity transfer of an asset other than inventory. ASU 2016-16 is effective for the Company in first quarter of 2018, with early adoption permitted. Any adjustments as a result of adoption are to be applied on a modified retrospective basis through a cumulative-effect adjustment directly to retained earnings as of the beginning of the period of adoption. The adoption of ASU 2016-16 is not expected to have a material impact on the Company’s consolidated financial statements.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guidance clarifies the way in which certain cash receipts and cash payments should be classified on the statement of cash flows and also how the predominance principle should be applied when cash receipts and cash payments have aspects of more than one class of cash flows. ASU 2016-15 is effective for the first quarter of 2018 with early adoption permitted. The adoption of ASU 2016-15 is not expected to have a material impact on the Company's consolidated financial statements.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for the first quarter of 2019, with early adoption permitted. The Company is currently determining its implementation approach and assessing the impact the adoption will have on its consolidated financial statements.</w:t>
      </w:r>
    </w:p>
    <w:p>
      <w:pPr>
        <w:spacing w:after="0" w:line="1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provides new guidance related to how an entity should recognize revenue to depict the transfer of promised goods or services to customers in an amount that reflects the consideration to which the entity expects to be entitled in exchange for those goods or services. The standard also expands the required disclosures to include the disaggregation of revenue from contracts with customers into categories that depict how the nature, timing and uncertainty of revenue and cash flows are affected by economic factors. During 2016, the FASB issued additional interpretive guidance relating to the standard which covered the topics of principal versus agent considerations and identifying performance obligations and licensing. The standard is effective for the Company in the first quarter of 2018. The two permitted transition methods under the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established an implementation team and performed an analysis of each of our revenue streams to assess the impact of the standard on our various revenue contracts, and analyze our current accounting policies and practices to identify potential differences that would result from the implementation of the standard. To date, the Company has made significant progress toward completing its evaluation of the potential changes from adopting the standard on its financial reporting and disclosures. The Company has completed an initial assessment of each of its revenue streams and has begun drafting its revenue recognition policy under the new standard. However, there are a few areas that remain subject to further clarification with respect to the implementation of the new standard on certain of our revenue streams. The Company has been closely monitoring FASB activity related to the new standard, as well as working with various non-authoritative groups to conclude on industry specific interpretative issues.</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While significant progress has been made, our final evaluation of the impact of the new revenue standard is ongoing and will continue throughout 2017, including making a final determination about our implementation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28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66,224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72,729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607</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66,789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73,300</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67,771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three and six months ended June 30, 2017, there were approximately 388,000 stock options that would have been anti-dilutive to the diluted weighted average common shares outstanding. For the three and six months ended June 30, 2016, there were no stock options or restricted stock units that would have been anti-dilutive to the diluted weighted average common shares outstanding. Approximately 962,000 and 505,000 restricted stock units with performance conditions have been excluded from diluted weighted average common shares outstanding for the three and six months ended June 30, 2017 and June 30, 2016, respectively, since performance conditions on these awards were not met in each of the respective periods.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4, 2016, the Company’s Board of Directors authorized a program to repurchase up to $500 million of its outstanding shares of Class A common stock (the “Stock Repurchase Program”). On June 6, 2017, the Board of Directors approved an increase of $500 million in the amount authorized for a total of $1.0 billion authorized under the Stock Repurchase Program. The Stock Repurchase Program has no pre-established closing date and may be suspended or discontinued at any time. For the six months ended June 30, 2017, the Company repurchased 4.4 million shares of its Class A common stock at an average purchase price of approximately $55.97 per share. As of June 30, 2017, the Company had $532.4 million available for repurchase under the Stock Repurchase Program.</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incurred restructuring expense primarily related to severance charges associated with the elimination of certain positions across the Company.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(credit) expense recognized by operating segment: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International &amp; Other</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expense (credit)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expense in the International and Other segment includes corporate headquarter related charges.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costs: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Severance and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employee-related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1"/>
              </w:rPr>
              <w:t>costs</w:t>
            </w:r>
          </w:p>
        </w:tc>
        <w:tc>
          <w:tcPr>
            <w:tcW w:w="2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exit costs</w:t>
            </w:r>
          </w:p>
        </w:tc>
        <w:tc>
          <w:tcPr>
            <w:tcW w:w="38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Charges (credits)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2,623</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1,413</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liabilities for restructuring costs are included in accrued liabilities in the condensed consolidated balance sheet at June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RLJE</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14, 2016, Digital Entertainment Holdings LLC (“DEH”), a wholly owned subsidiary of the Company, and RLJ Entertainment, Inc. (“RLJE”) entered into a Credit and Guaranty agreement (the “RLJE Credit Agreement”) pursuant to which DEH provided senior secured term loans totaling $65 million to RLJE, consisting of a $5 million Tranche A term loan (the “Tranche A Loan”) and a $60 million Tranche B term loan (the “Tranche B Loan”), and DEH received warrants to purchase at least 20 million shares of RLJE’s common stock, at a price of $3.00 per share (the “RLJE Warrants”). On January 30, 2017, the Company and RLJE amended the terms of the Tranche A Loan to increase the principal amount by $8 million to $13 million and to extend the maturity date of that tranche from October 14, 2017 to June 30, 2019.</w:t>
      </w:r>
    </w:p>
    <w:p>
      <w:pPr>
        <w:spacing w:after="0" w:line="1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June 16, 2017, DEH and RLJE entered into a second amendment to the RLJE Credit Agreement (the “Second Amendment”) pursuant to which DEH provided an additional tranche of the term loan debt to RLJE in the principal amount of $10 million (the “Tranche A-2 Loan”) with a maturity date of June 30, 2021. In addition, the Second Amendment also (i) extended the maturity date of the Tranche A Loan to June 30, 2020, (ii) provided that, commencing with the interest payment to be made on June 30, 2017, all interest under the RLJE Credit Agreement will be paid in shares of RLJE’s common stock, and (iii) increased the maximum senior leverage ratio, as defined in the terms of the RLJE Credit Agreement. For purposes of calculating the interest to be paid in shares of RLJE common stock, the value of such shares is based on a fixed $3.00 per share.</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20, 2017, in connection with the Second Amendment, DEH exercised a portion of its RLJE Class A warrants at $3.00 per share to acquire 1,667,000 shares of RLJE common stock in exchange for the cancellation of $5 million of the Tranche B Loan. Following the cancellation, the outstanding balance of the Tranche B Loan is approximately $55 million.</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increased ownership interest from the warrant exercise, as well as the existing representation on RLJE’s board of directors and the terms of the RLJE Credit Agreement were deemed, for accounting purposes, to provide DEH with the ability to exert significant influence over RLJE. As a result, the RLJE common stock investment held by the Company qualified for the use of the equity method of accounting. The Company has elected the fair value option for its investment in RLJE common stock based on the availability of a quoted market price. For the three months ended June 30, 2017, the Company recognized a gain of $1.3</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fair value of its investment in RLJE common stock, which is included in Miscellaneous, net in the condensed consolidated income statement.</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RLJE term loans are included in Other assets in the condensed consolidated balance sheet. The Company accounts for the portion of interest on the RLJE term loans payable in RLJE common stock as an embedded derivative. In addition, the RLJE Warrants are accounted for as derivatives. Both the RLJE Warrants and the embedded derivative for the interest payable in RLJE common stock are remeasured at the end of each period with changes in fair value included in Miscellaneous, net in the condensed consolidated statement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Total</w:t>
            </w:r>
          </w:p>
        </w:tc>
      </w:tr>
      <w:tr>
        <w:trPr>
          <w:trHeight w:val="250"/>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657,708</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23,798</w:t>
            </w:r>
          </w:p>
        </w:tc>
      </w:tr>
      <w:tr>
        <w:trPr>
          <w:trHeight w:val="257"/>
        </w:trPr>
        <w:tc>
          <w:tcPr>
            <w:tcW w:w="568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241,031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439,203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680,234</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reduction of $1.3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June 30, 2017</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6"/>
                <w:szCs w:val="16"/>
                <w:b w:val="1"/>
                <w:bCs w:val="1"/>
                <w:color w:val="auto"/>
              </w:rPr>
              <w:t>Lives</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520,722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(151,059)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369,663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34,980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53,055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45,009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to 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years</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630,910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(171,631)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459,279</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650,810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(171,631)</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479,179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2016</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509,992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(133,932)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376,060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49,720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43,413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615,996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465,768</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20,041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636,037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485,809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Aggregate amortization expense for amortizable intangible assets for the six months ended June 30, 2017 and 2016 was $18.1 million and $19.6 million, respectively. Estimated aggregate amortization expense for intangible assets subject to amortization for each of the following five years is: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Note 6. Accrued Liabilities</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Accrued liabilities consist of the following:</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Employee related costs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87,305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122,590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99,187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102,986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234,494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284,429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7. Long-term Debt</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The Company’s long-term debt consists of the following:</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6"/>
                <w:szCs w:val="16"/>
                <w:b w:val="1"/>
                <w:bCs w:val="1"/>
                <w:color w:val="auto"/>
                <w:w w:val="95"/>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4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360"/>
              <w:spacing w:after="0"/>
              <w:rPr>
                <w:sz w:val="20"/>
                <w:szCs w:val="20"/>
                <w:color w:val="auto"/>
              </w:rPr>
            </w:pPr>
            <w:r>
              <w:rPr>
                <w:rFonts w:ascii="Arial" w:cs="Arial" w:eastAsia="Arial" w:hAnsi="Arial"/>
                <w:sz w:val="18"/>
                <w:szCs w:val="18"/>
                <w:color w:val="auto"/>
              </w:rPr>
              <w:t>Term Loan A Facility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1,147,000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1,258,000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360"/>
              <w:spacing w:after="0"/>
              <w:rPr>
                <w:sz w:val="20"/>
                <w:szCs w:val="20"/>
                <w:color w:val="auto"/>
              </w:rPr>
            </w:pPr>
            <w:r>
              <w:rPr>
                <w:rFonts w:ascii="Arial" w:cs="Arial" w:eastAsia="Arial" w:hAnsi="Arial"/>
                <w:sz w:val="18"/>
                <w:szCs w:val="18"/>
                <w:color w:val="auto"/>
              </w:rPr>
              <w:t>5.00% Notes due April 2024</w:t>
            </w:r>
          </w:p>
        </w:tc>
        <w:tc>
          <w:tcPr>
            <w:tcW w:w="3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4.75% Notes due December 2022</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2,747,000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2,858,000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2,712,814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2,819,263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259,000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222,000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2,453,814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2,597,263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June 30, 2017. Total undrawn revolver commitments are available to be drawn for general corporate purposes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4.75% Notes due 2025</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July 28, 2017, AMC Networks issued, and certain of AMC Networks’ subsidiaries (hereinafter, the “Guarantors”) guaranteed, $800 million aggregate principal amount of senior notes due August 1, 2025 (the “4.75% Notes due 2025”) in a registered public offering. AMC Networks used approximately $400 million of the net proceeds to repay loans under the Term Loan A Facility under AMC Networks’ senior secured credit facility and to pay fees and expenses related to the issuance. The remaining proceeds will be used for general corporate purposes. The 4.75% Notes due 2025 were issued pursuant to an indenture, dated as of March 30, 2016, as amended by the Second Supplemental Indenture, dated as of July 28, 2017. The 4.75% Notes due 2025 bear interest at a rate of 4.75% per annum and mature on August 1, 2025.</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Restatement of the Credit Facility</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above and (b) a $500 million revolving credit facility (the “Revolving Facility”) that was not drawn upon initially. Under the Credit Agreement, the maturity date of the Term Loan A Facility was extended to July 28, 2023 and the maturity date of the Revolving Facility was extended to July 28, 2022.</w:t>
      </w:r>
    </w:p>
    <w:p>
      <w:pPr>
        <w:spacing w:after="0" w:line="1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issuance of the 4.75% Notes due 2025 and the Credit Agreement, AMC Networks incurred deferred financing costs of approximately $1.8 million, which will be amortized, using the effective interest method, to interest expense over the term of the related borrowing. In connection with the amendment to the Credit Agreement, the Company incurred financing costs of approximately $1.9 million, which were expensed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33" w:lineRule="exact"/>
        <w:rPr>
          <w:sz w:val="20"/>
          <w:szCs w:val="20"/>
          <w:color w:val="auto"/>
        </w:rPr>
      </w:pPr>
    </w:p>
    <w:p>
      <w:pPr>
        <w:ind w:left="1060" w:hanging="647"/>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1060" w:hanging="647"/>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1060" w:hanging="647"/>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June 30, 2017 and December 31, 2016, including investments for which the fair value option has been elected: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40" w:type="dxa"/>
            <w:vAlign w:val="bottom"/>
            <w:tcBorders>
              <w:top w:val="single" w:sz="8" w:color="CCEEFF"/>
              <w:bottom w:val="single" w:sz="8" w:color="CCEEFF"/>
            </w:tcBorders>
            <w:shd w:val="clear" w:color="auto" w:fill="CCEEFF"/>
          </w:tcPr>
          <w:p>
            <w:pPr>
              <w:ind w:left="1920"/>
              <w:spacing w:after="0"/>
              <w:rPr>
                <w:sz w:val="20"/>
                <w:szCs w:val="20"/>
                <w:color w:val="auto"/>
              </w:rPr>
            </w:pPr>
            <w:r>
              <w:rPr>
                <w:rFonts w:ascii="Arial" w:cs="Arial" w:eastAsia="Arial" w:hAnsi="Arial"/>
                <w:sz w:val="16"/>
                <w:szCs w:val="16"/>
                <w:b w:val="1"/>
                <w:bCs w:val="1"/>
                <w:color w:val="auto"/>
              </w:rPr>
              <w:t>At June 30, 2017: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8,249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7,533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7,533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4,555</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33,905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3,638</w:t>
            </w:r>
          </w:p>
        </w:tc>
      </w:tr>
      <w:tr>
        <w:trPr>
          <w:trHeight w:val="237"/>
        </w:trPr>
        <w:tc>
          <w:tcPr>
            <w:tcW w:w="5040" w:type="dxa"/>
            <w:vAlign w:val="bottom"/>
          </w:tcPr>
          <w:p>
            <w:pPr>
              <w:ind w:left="1740"/>
              <w:spacing w:after="0"/>
              <w:rPr>
                <w:sz w:val="20"/>
                <w:szCs w:val="20"/>
                <w:color w:val="auto"/>
              </w:rPr>
            </w:pPr>
            <w:r>
              <w:rPr>
                <w:rFonts w:ascii="Arial" w:cs="Arial" w:eastAsia="Arial" w:hAnsi="Arial"/>
                <w:sz w:val="16"/>
                <w:szCs w:val="16"/>
                <w:b w:val="1"/>
                <w:bCs w:val="1"/>
                <w:color w:val="auto"/>
              </w:rPr>
              <w:t>At December 31, 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65,384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65,384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6,096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contracts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3,147</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cash equivalents and available for sale securities are classified within Level I of the fair value hierarchy because they are valued using quoted market prices.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interest rate swap contracts, foreign currency derivatives and the embedded derivative for the interest on the RLJE Term Loans to be paid in shares of RLJE common stock (see Note 9) are classified within Level II of the fair value hierarchy and their fair values are determined based on a market approach valuation technique that uses readily observable market parameters and the consideration of counterparty risk.</w:t>
      </w:r>
    </w:p>
    <w:p>
      <w:pPr>
        <w:spacing w:after="0" w:line="16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RLJE Warrants held by the Company are classified within Level III of the fair value hierarchy and the Company determines the value of the RLJE Warrants using a Black Scholes option pricing model. Inputs to the model are stock price volatility, contractual warrant terms (remaining life of the warrants), exercise price, risk-free interest rate, and the RLJE stock price. The equity volatility used is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 For the six months ended June 30, 2017, the Company recorded a gain of $17.2 million related to the RLJE Warrants which is included in Miscellaneous, net in the condensed consolidated statement of income.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June 30, 2017, the Company does not have any other assets or liabilities measured at fair value on a recurring basis that would be considered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June 30, 2017</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8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1,137,123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1,147,000</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982,980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1,025,000</w:t>
            </w:r>
          </w:p>
        </w:tc>
        <w:tc>
          <w:tcPr>
            <w:tcW w:w="20" w:type="dxa"/>
            <w:vAlign w:val="bottom"/>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592,711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618,750</w:t>
            </w:r>
          </w:p>
        </w:tc>
        <w:tc>
          <w:tcPr>
            <w:tcW w:w="20" w:type="dxa"/>
            <w:vAlign w:val="bottom"/>
          </w:tcPr>
          <w:p>
            <w:pPr>
              <w:spacing w:after="0"/>
              <w:rPr>
                <w:sz w:val="21"/>
                <w:szCs w:val="2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8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2,712,814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2,790,750</w:t>
            </w:r>
          </w:p>
        </w:tc>
        <w:tc>
          <w:tcPr>
            <w:tcW w:w="20" w:type="dxa"/>
            <w:vAlign w:val="bottom"/>
          </w:tcPr>
          <w:p>
            <w:pPr>
              <w:spacing w:after="0"/>
              <w:rPr>
                <w:sz w:val="22"/>
                <w:szCs w:val="22"/>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8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3"/>
              <w:spacing w:after="0"/>
              <w:rPr>
                <w:sz w:val="20"/>
                <w:szCs w:val="20"/>
                <w:color w:val="auto"/>
              </w:rPr>
            </w:pPr>
            <w:r>
              <w:rPr>
                <w:rFonts w:ascii="Arial" w:cs="Arial" w:eastAsia="Arial" w:hAnsi="Arial"/>
                <w:sz w:val="16"/>
                <w:szCs w:val="16"/>
                <w:b w:val="1"/>
                <w:bCs w:val="1"/>
                <w:color w:val="auto"/>
              </w:rPr>
              <w:t>December 31, 2016</w:t>
            </w:r>
          </w:p>
        </w:tc>
        <w:tc>
          <w:tcPr>
            <w:tcW w:w="20" w:type="dxa"/>
            <w:vAlign w:val="bottom"/>
          </w:tcPr>
          <w:p>
            <w:pPr>
              <w:spacing w:after="0"/>
              <w:rPr>
                <w:sz w:val="24"/>
                <w:szCs w:val="24"/>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1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1,245,175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1,254,855</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981,949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1,002,500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592,139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606,000</w:t>
            </w:r>
          </w:p>
        </w:tc>
        <w:tc>
          <w:tcPr>
            <w:tcW w:w="20" w:type="dxa"/>
            <w:vAlign w:val="bottom"/>
          </w:tcPr>
          <w:p>
            <w:pPr>
              <w:spacing w:after="0"/>
              <w:rPr>
                <w:sz w:val="21"/>
                <w:szCs w:val="2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8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2,819,263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2,863,355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June 30, 2017, the Company had interest rate swap contracts outstanding with notional amounts aggregating $300.0 million, which consist of interest rate swap contracts with notional amounts of $200.0 million that are designated as cash flow hedges and interest rate swap contracts with notional amounts of $100.0 million that are not designated as hedging instruments. The Company’s outstanding interest rate swap contracts have varying maturities ranging from July 2017 to October 2018. At June 30, 2017, the Company’s interest rate swap contracts designated as cash flow hedges were highly effective.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RLJE Warrants held by the Company meet the definition of a derivative and are included in Other assets in the condensed consolidated balance sheet. In addition, the interest on the RLJE Term Loans to be paid in shares of RLJE common stock is an embedded derivative. Both the RLJE Warrants and the embedded derivative for the future interest to be paid in shares of RLJE common stock are remeasured at the end of each period with changes in fair value recorded in the condensed consolidated statement of income. For the three and six months ended June 30, 2017, the Company recorded a gain of $9.9 million and $21.1 million, respectively, related to these derivatives, which is included in Miscellaneous, net in the condensed consolidated statements of income.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360" w:type="dxa"/>
            <w:vAlign w:val="bottom"/>
            <w:gridSpan w:val="2"/>
          </w:tcPr>
          <w:p>
            <w:pPr>
              <w:ind w:left="1620"/>
              <w:spacing w:after="0"/>
              <w:rPr>
                <w:sz w:val="20"/>
                <w:szCs w:val="20"/>
                <w:color w:val="auto"/>
              </w:rPr>
            </w:pPr>
            <w:r>
              <w:rPr>
                <w:rFonts w:ascii="Arial" w:cs="Arial" w:eastAsia="Arial" w:hAnsi="Arial"/>
                <w:sz w:val="16"/>
                <w:szCs w:val="16"/>
                <w:b w:val="1"/>
                <w:bCs w:val="1"/>
                <w:color w:val="auto"/>
              </w:rPr>
              <w:t>Balance Sheet</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gridSpan w:val="2"/>
          </w:tcPr>
          <w:p>
            <w:pPr>
              <w:ind w:left="1820"/>
              <w:spacing w:after="0"/>
              <w:rPr>
                <w:sz w:val="20"/>
                <w:szCs w:val="20"/>
                <w:color w:val="auto"/>
              </w:rPr>
            </w:pPr>
            <w:r>
              <w:rPr>
                <w:rFonts w:ascii="Arial" w:cs="Arial" w:eastAsia="Arial" w:hAnsi="Arial"/>
                <w:sz w:val="16"/>
                <w:szCs w:val="16"/>
                <w:b w:val="1"/>
                <w:bCs w:val="1"/>
                <w:color w:val="auto"/>
              </w:rPr>
              <w:t>Location</w:t>
            </w:r>
          </w:p>
        </w:tc>
        <w:tc>
          <w:tcPr>
            <w:tcW w:w="260" w:type="dxa"/>
            <w:vAlign w:val="bottom"/>
          </w:tcPr>
          <w:p>
            <w:pPr>
              <w:spacing w:after="0"/>
              <w:rPr>
                <w:sz w:val="20"/>
                <w:szCs w:val="20"/>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2016</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Derivatives designated as hedging instruments:</w:t>
            </w:r>
          </w:p>
        </w:tc>
        <w:tc>
          <w:tcPr>
            <w:tcW w:w="4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12,308</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2,195</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jc w:val="center"/>
        <w:ind w:left="1100" w:right="154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8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on Derivatives</w:t>
            </w:r>
          </w:p>
        </w:tc>
        <w:tc>
          <w:tcPr>
            <w:tcW w:w="120" w:type="dxa"/>
            <w:vAlign w:val="bottom"/>
          </w:tcPr>
          <w:p>
            <w:pPr>
              <w:spacing w:after="0"/>
              <w:rPr>
                <w:sz w:val="17"/>
                <w:szCs w:val="17"/>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Location of Gain or (Loss) in</w:t>
            </w: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20" w:type="dxa"/>
            <w:vAlign w:val="bottom"/>
          </w:tcPr>
          <w:p>
            <w:pPr>
              <w:spacing w:after="0"/>
              <w:rPr>
                <w:sz w:val="18"/>
                <w:szCs w:val="18"/>
                <w:color w:val="auto"/>
              </w:rPr>
            </w:pPr>
          </w:p>
        </w:tc>
        <w:tc>
          <w:tcPr>
            <w:tcW w:w="216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w w:val="90"/>
              </w:rPr>
              <w:t>Recognized in OCI</w:t>
            </w: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Earnings</w:t>
            </w:r>
          </w:p>
        </w:tc>
        <w:tc>
          <w:tcPr>
            <w:tcW w:w="940" w:type="dxa"/>
            <w:vAlign w:val="bottom"/>
          </w:tcPr>
          <w:p>
            <w:pPr>
              <w:spacing w:after="0"/>
              <w:rPr>
                <w:sz w:val="18"/>
                <w:szCs w:val="18"/>
                <w:color w:val="auto"/>
              </w:rPr>
            </w:pPr>
          </w:p>
        </w:tc>
        <w:tc>
          <w:tcPr>
            <w:tcW w:w="212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w w:val="95"/>
              </w:rPr>
              <w:t>into Earnings (a)</w:t>
            </w:r>
          </w:p>
        </w:tc>
      </w:tr>
      <w:tr>
        <w:trPr>
          <w:trHeight w:val="33"/>
        </w:trPr>
        <w:tc>
          <w:tcPr>
            <w:tcW w:w="30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1"/>
        </w:trPr>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r>
      <w:tr>
        <w:trPr>
          <w:trHeight w:val="33"/>
        </w:trPr>
        <w:tc>
          <w:tcPr>
            <w:tcW w:w="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r>
      <w:tr>
        <w:trPr>
          <w:trHeight w:val="231"/>
        </w:trPr>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1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1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2016</w:t>
            </w:r>
          </w:p>
        </w:tc>
      </w:tr>
      <w:tr>
        <w:trPr>
          <w:trHeight w:val="33"/>
        </w:trPr>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-8255</wp:posOffset>
            </wp:positionV>
            <wp:extent cx="721233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60" w:space="360"/>
            <w:col w:w="8500"/>
          </w:cols>
          <w:pgMar w:left="240" w:top="125" w:right="239" w:bottom="1440" w:gutter="0" w:footer="0" w:header="0"/>
          <w:type w:val="continuous"/>
        </w:sectPr>
      </w:pPr>
    </w:p>
    <w:p>
      <w:pPr>
        <w:ind w:left="80"/>
        <w:spacing w:after="0"/>
        <w:tabs>
          <w:tab w:leader="none" w:pos="2920" w:val="left"/>
          <w:tab w:leader="none" w:pos="4040" w:val="left"/>
          <w:tab w:leader="none" w:pos="4540" w:val="left"/>
          <w:tab w:leader="none" w:pos="5540" w:val="left"/>
          <w:tab w:leader="none" w:pos="6580" w:val="left"/>
          <w:tab w:leader="none" w:pos="8380" w:val="left"/>
          <w:tab w:leader="none" w:pos="9440" w:val="left"/>
          <w:tab w:leader="none" w:pos="9960" w:val="left"/>
          <w:tab w:leader="none" w:pos="1096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w:t>
        <w:tab/>
        <w:t>$</w:t>
      </w:r>
      <w:r>
        <w:rPr>
          <w:sz w:val="20"/>
          <w:szCs w:val="20"/>
          <w:color w:val="auto"/>
        </w:rPr>
        <w:tab/>
      </w:r>
      <w:r>
        <w:rPr>
          <w:rFonts w:ascii="Arial" w:cs="Arial" w:eastAsia="Arial" w:hAnsi="Arial"/>
          <w:sz w:val="18"/>
          <w:szCs w:val="18"/>
          <w:color w:val="auto"/>
        </w:rPr>
        <w:t>(934)</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tab/>
        <w:t>$</w:t>
      </w:r>
      <w:r>
        <w:rPr>
          <w:sz w:val="20"/>
          <w:szCs w:val="20"/>
          <w:color w:val="auto"/>
        </w:rPr>
        <w:tab/>
      </w: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wp:posOffset>
            </wp:positionV>
            <wp:extent cx="19380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2603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31750</wp:posOffset>
            </wp:positionV>
            <wp:extent cx="19640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4055"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three months ended June 30, 2017 and 2016.</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4"/>
          </w:tcPr>
          <w:p>
            <w:pPr>
              <w:ind w:left="600"/>
              <w:spacing w:after="0"/>
              <w:rPr>
                <w:sz w:val="20"/>
                <w:szCs w:val="20"/>
                <w:color w:val="auto"/>
              </w:rPr>
            </w:pPr>
            <w:r>
              <w:rPr>
                <w:rFonts w:ascii="Arial" w:cs="Arial" w:eastAsia="Arial" w:hAnsi="Arial"/>
                <w:sz w:val="16"/>
                <w:szCs w:val="16"/>
                <w:b w:val="1"/>
                <w:bCs w:val="1"/>
                <w:color w:val="auto"/>
              </w:rPr>
              <w:t>Gain or (Loss) Reclassified</w:t>
            </w:r>
          </w:p>
        </w:tc>
      </w:tr>
      <w:tr>
        <w:trPr>
          <w:trHeight w:val="203"/>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Location of Gain or (Loss) in</w:t>
            </w: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20" w:type="dxa"/>
            <w:vAlign w:val="bottom"/>
          </w:tcPr>
          <w:p>
            <w:pPr>
              <w:spacing w:after="0"/>
              <w:rPr>
                <w:sz w:val="18"/>
                <w:szCs w:val="18"/>
                <w:color w:val="auto"/>
              </w:rPr>
            </w:pPr>
          </w:p>
        </w:tc>
        <w:tc>
          <w:tcPr>
            <w:tcW w:w="220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940" w:type="dxa"/>
            <w:vAlign w:val="bottom"/>
          </w:tcPr>
          <w:p>
            <w:pPr>
              <w:spacing w:after="0"/>
              <w:rPr>
                <w:sz w:val="18"/>
                <w:szCs w:val="18"/>
                <w:color w:val="auto"/>
              </w:rPr>
            </w:pPr>
          </w:p>
        </w:tc>
        <w:tc>
          <w:tcPr>
            <w:tcW w:w="212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3"/>
              </w:rPr>
              <w:t>into Earnings (a)</w:t>
            </w:r>
          </w:p>
        </w:tc>
      </w:tr>
      <w:tr>
        <w:trPr>
          <w:trHeight w:val="33"/>
        </w:trPr>
        <w:tc>
          <w:tcPr>
            <w:tcW w:w="3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1"/>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ind w:left="60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9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r>
      <w:tr>
        <w:trPr>
          <w:trHeight w:val="231"/>
        </w:trPr>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2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580"/>
              <w:spacing w:after="0"/>
              <w:rPr>
                <w:sz w:val="20"/>
                <w:szCs w:val="20"/>
                <w:color w:val="auto"/>
              </w:rPr>
            </w:pPr>
            <w:r>
              <w:rPr>
                <w:rFonts w:ascii="Arial" w:cs="Arial" w:eastAsia="Arial" w:hAnsi="Arial"/>
                <w:sz w:val="16"/>
                <w:szCs w:val="16"/>
                <w:b w:val="1"/>
                <w:bCs w:val="1"/>
                <w:color w:val="auto"/>
                <w:w w:val="95"/>
              </w:rPr>
              <w:t>2017</w:t>
            </w:r>
          </w:p>
        </w:tc>
        <w:tc>
          <w:tcPr>
            <w:tcW w:w="21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2016</w:t>
            </w:r>
          </w:p>
        </w:tc>
      </w:tr>
      <w:tr>
        <w:trPr>
          <w:trHeight w:val="33"/>
        </w:trPr>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-8255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20" w:space="360"/>
            <w:col w:w="8540"/>
          </w:cols>
          <w:pgMar w:left="240" w:top="125" w:right="239" w:bottom="1440" w:gutter="0" w:footer="0" w:header="0"/>
          <w:type w:val="continuous"/>
        </w:sectPr>
      </w:pPr>
    </w:p>
    <w:p>
      <w:pPr>
        <w:ind w:left="40"/>
        <w:spacing w:after="0"/>
        <w:tabs>
          <w:tab w:leader="none" w:pos="2880" w:val="left"/>
          <w:tab w:leader="none" w:pos="3980" w:val="left"/>
          <w:tab w:leader="none" w:pos="4520" w:val="left"/>
          <w:tab w:leader="none" w:pos="5400" w:val="left"/>
          <w:tab w:leader="none" w:pos="6580" w:val="left"/>
          <w:tab w:leader="none" w:pos="8380" w:val="left"/>
          <w:tab w:leader="none" w:pos="9440" w:val="left"/>
          <w:tab w:leader="none" w:pos="9960" w:val="left"/>
          <w:tab w:leader="none" w:pos="1096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(2,675)</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117</w:t>
        <w:tab/>
        <w:t>$</w:t>
      </w:r>
      <w:r>
        <w:rPr>
          <w:sz w:val="20"/>
          <w:szCs w:val="20"/>
          <w:color w:val="auto"/>
        </w:rPr>
        <w:tab/>
      </w:r>
      <w:r>
        <w:rPr>
          <w:rFonts w:ascii="Arial" w:cs="Arial" w:eastAsia="Arial" w:hAnsi="Arial"/>
          <w:sz w:val="17"/>
          <w:szCs w:val="17"/>
          <w:color w:val="auto"/>
        </w:rPr>
        <w:t>(332)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wp:posOffset>
            </wp:positionV>
            <wp:extent cx="19380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2603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31750</wp:posOffset>
            </wp:positionV>
            <wp:extent cx="198120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120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six months ended June 30, 2017 and 2016.</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Location of Gain or (Loss)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Recognized in Earnings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1"/>
              </w:rPr>
              <w:t>Amount of Gain or (Loss) Recognized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on Derivatives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in Earnings on Derivatives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20"/>
                <w:szCs w:val="20"/>
                <w:color w:val="auto"/>
              </w:rPr>
            </w:pPr>
          </w:p>
        </w:tc>
        <w:tc>
          <w:tcPr>
            <w:tcW w:w="254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211"/>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8"/>
              </w:rPr>
              <w:t>Derivatives not designated as hedging</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1"/>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21,063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1,981</w:t>
            </w:r>
          </w:p>
        </w:tc>
      </w:tr>
      <w:tr>
        <w:trPr>
          <w:trHeight w:val="20"/>
        </w:trPr>
        <w:tc>
          <w:tcPr>
            <w:tcW w:w="2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three and six months ended June 30, 2017, income tax expense was $60.2 million and $133.3 million, respectively, representing an effective tax rate of 36% and 35%, respectively. The effective tax rate differs from the federal statutory rate of 35% due primarily to the tax benefit from the domestic production activities deduction of $4.4 million and $10.3 million, the tax benefit from foreign subsidiary earnings indefinitely reinvested outside the U.S. of $2.6 million and $6.7 million, the tax expense of $5.2 million and $7.5 million resulting from an increase in the valuation allowances for foreign and local taxes and state and local income tax expense of $2.6 million and $6.0 million for the three and six months ended June 30, 2017, respectively.</w:t>
      </w:r>
    </w:p>
    <w:p>
      <w:pPr>
        <w:spacing w:after="0" w:line="15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three and six months ended June 30, 2016, income tax expense was $39.4 million and $97.9 million, respectively, representing an effective tax rate of 32% for both periods. The effective tax rate differs from the federal statutory rate of 35% due primarily to the tax benefit from the domestic production activities deduction of $4.4 million and $9.7 million, the tax benefit from foreign subsidiary earnings indefinitely reinvested outside the U.S. of $5.5 million and $8.9 million, the tax expense of $2.7 million and $4.7 million resulting from an increase in the valuation allowances for foreign and local taxes and state and local income tax expense of $2.1 million and $5.3 million for the three and six months ended June 30, 2016, respectively.</w:t>
      </w:r>
    </w:p>
    <w:p>
      <w:pPr>
        <w:sectPr>
          <w:pgSz w:w="11900" w:h="16838" w:orient="portrait"/>
          <w:cols w:equalWidth="0" w:num="1">
            <w:col w:w="11420"/>
          </w:cols>
          <w:pgMar w:left="240" w:top="125" w:right="239" w:bottom="1440" w:gutter="0" w:footer="0" w:header="0"/>
          <w:type w:val="continuous"/>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June 30, 2017, the Company had foreign tax credit carry forwards of approximately $34 million, expiring on various dates from 2017 through 2027. For the six months ended June 30, 2017, $0.8 million relating to amortization of tax deductible second component goodwill was realized as a reduction in tax liability (as determined on a ‘with-and-without’ approach).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June 30, 2017, the Company’s contractual obligations not reflected on the Company’s condensed consolidated balance sheet increased $46.3 million to $1.4 billion. The increase relates primarily to payment guarantees to a production service company for certain production related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On December 17, 2013, Frank Darabont (“Darabont”), Ferenc, Inc., Darkwoods Productions, Inc., and Creative Artists Agency, LLC (together, “Plaintiffs”), filed a complaint in New York Supreme Court in connection with Darabont’s rendering services as a writer, director and producer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or more and indicated that the parties have completed fact and expert discovery. The parties each filed motions for summary judgment. The Court set August 24, 2017 as the date for oral argument of the summary judgment motions. The Company has opposed the claims in the Complaint, the Amended Complaint and all subsequent complaints.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Plans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June 6, 2017, AMC Networks granted 32,825 restricted stock units (“RSU’s”) under the AMC Networks Inc. Amended and Restated 2011 Non-Employee Directors Plan to non-employee directors that vested on the date of grant.</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March 9, 2017, AMC Networks granted 578,901 RSUs and 458,962 performance restricted stock units (“PRSUs”) to certain executive officers and employees under the AMC Networks Inc. 2016 Employee Stock Plan. The RSUs vest ratably over a three-year period and the vesting criteria for 175,299 RSUs include the achievement of certain performance targets by the Company. The PRSUs vest on the third anniversary of the grant date.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six months ended June 30, 2017, 518,968 RSUs of AMC Networks Class A Common Stock previously issued to employees of the Company vested. On the vesting date, 225,398 RSUs were surrendered to the Company to cover the required statutory tax withholding obligations and 293,570 new shares of AMC Networks Class A Common Stock were issued in respect of the remaining RSUs. The units surrendered to satisfy the employees’ statutory minimum tax withholding obligations for the applicable income and other employment tax had an aggregate value of $13.4 million, which has been reflected as a financing activity in the condensed consolidated statement of cash flows for the six months ended June 30, 2017.</w:t>
      </w:r>
    </w:p>
    <w:p>
      <w:pPr>
        <w:spacing w:after="0" w:line="1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Share-based compensation expense included in selling, general and administrative expense, for the three and six months ended June 30, 2017 was $15.1 million and $27.6 million, respectively, and $11.3 million and $19.5 million for the three and six months ended June 30, 2016, respectively.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2017, there was $116.5 million of total unrecognized share-based compensation cost related to outstanding unvested share-based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compensation cost is expected to be recognized over a weighted-average remaining period of approximately 2.6 years.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Redeemable Noncontrolling Interests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six months ended June 30,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Six Months Ended June 30,</w:t>
            </w:r>
          </w:p>
        </w:tc>
      </w:tr>
      <w:tr>
        <w:trPr>
          <w:trHeight w:val="23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2017</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219,331</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10,748</w:t>
            </w:r>
          </w:p>
        </w:tc>
      </w:tr>
      <w:tr>
        <w:trPr>
          <w:trHeight w:val="27"/>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(12,930)</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217,149</w:t>
            </w:r>
          </w:p>
        </w:tc>
      </w:tr>
      <w:tr>
        <w:trPr>
          <w:trHeight w:val="20"/>
        </w:trPr>
        <w:tc>
          <w:tcPr>
            <w:tcW w:w="9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Members of the Dolan Family, for purposes of Section 13(d) of the Securities Exchange Act of 1934, as amended, including trusts for the benefit of the Dolan Family, collectively beneficially own all of the AMC Networks outstanding Class B Common Stock and own approximately 2% of the AMC Networks’ outstanding Class A Common Stock. Such shares of the AMC Networks Class A Common Stock and Class B Common Stock, collectively, represent approximately 69% of the aggregate voting power of AMC Networks’ outstanding common stock. Members of the Dolan Family are also the controlling stockholders of The Madison Square Garden Company (“MSG”) and MSG Networks Inc. (“MSG Networks”). Prior to June 21, 2016, members of the Dolan Family were also the controlling stockholders of Cablevision Systems Corporation (“Cablevision”).</w:t>
      </w:r>
    </w:p>
    <w:p>
      <w:pPr>
        <w:spacing w:after="0" w:line="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June 21, 2016, Cablevision was acquired by a subsidiary of Altice N.V. and a change in control occurred which resulted in members of the Dolan Family no longer being controlling stockholders of the surviving company, Altice USA. Accordingly, Altice USA is not a related party of AMC Networks.</w:t>
      </w:r>
    </w:p>
    <w:p>
      <w:pPr>
        <w:spacing w:after="0" w:line="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 to $1.5 million and $6.2 million for the three months ended June 30, 2017 and 2016, respectively, and $3.1 million and $12.9 million for the six months ended June 30, 2017 and 2016, respectively. Amounts charged to the Company, included in selling, general and administrative expenses, pursuant to transactions with its related parties amounted to $0.4 million and $0.8 million for the three months ended June 30, 2017 and 2016, respectively, and $1.0 million and $1.9 million for the six months ended June 30, 2017 and 2016, respectively.</w:t>
      </w:r>
    </w:p>
    <w:p>
      <w:pPr>
        <w:spacing w:after="0" w:line="1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office expenses is not material.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Cash Flows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280"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960" w:type="dxa"/>
            <w:vAlign w:val="bottom"/>
            <w:gridSpan w:val="2"/>
          </w:tcPr>
          <w:p>
            <w:pPr>
              <w:jc w:val="right"/>
              <w:ind w:right="6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Increase in capital lease obligations</w:t>
            </w:r>
          </w:p>
        </w:tc>
        <w:tc>
          <w:tcPr>
            <w:tcW w:w="32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10,983</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not yet settled</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Exercise of RLJE Warrants</w:t>
            </w:r>
          </w:p>
        </w:tc>
        <w:tc>
          <w:tcPr>
            <w:tcW w:w="4960" w:type="dxa"/>
            <w:vAlign w:val="bottom"/>
            <w:gridSpan w:val="2"/>
          </w:tcPr>
          <w:p>
            <w:pPr>
              <w:jc w:val="right"/>
              <w:ind w:right="30"/>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Supplemental Data:</w:t>
            </w:r>
          </w:p>
        </w:tc>
        <w:tc>
          <w:tcPr>
            <w:tcW w:w="3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interest paid</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56,832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69,449</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Income taxes paid, net</w:t>
            </w:r>
          </w:p>
        </w:tc>
        <w:tc>
          <w:tcPr>
            <w:tcW w:w="4960" w:type="dxa"/>
            <w:vAlign w:val="bottom"/>
            <w:gridSpan w:val="2"/>
          </w:tcPr>
          <w:p>
            <w:pPr>
              <w:jc w:val="right"/>
              <w:ind w:right="30"/>
              <w:spacing w:after="0"/>
              <w:rPr>
                <w:sz w:val="20"/>
                <w:szCs w:val="20"/>
                <w:color w:val="auto"/>
              </w:rPr>
            </w:pPr>
            <w:r>
              <w:rPr>
                <w:rFonts w:ascii="Arial" w:cs="Arial" w:eastAsia="Arial" w:hAnsi="Arial"/>
                <w:sz w:val="18"/>
                <w:szCs w:val="18"/>
                <w:color w:val="auto"/>
              </w:rPr>
              <w:t>124,474</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75,450</w:t>
            </w:r>
          </w:p>
        </w:tc>
      </w:tr>
      <w:tr>
        <w:trPr>
          <w:trHeight w:val="594"/>
        </w:trPr>
        <w:tc>
          <w:tcPr>
            <w:tcW w:w="4660" w:type="dxa"/>
            <w:vAlign w:val="bottom"/>
          </w:tcPr>
          <w:p>
            <w:pPr>
              <w:spacing w:after="0"/>
              <w:rPr>
                <w:sz w:val="24"/>
                <w:szCs w:val="24"/>
                <w:color w:val="auto"/>
              </w:rPr>
            </w:pPr>
          </w:p>
        </w:tc>
        <w:tc>
          <w:tcPr>
            <w:tcW w:w="3240" w:type="dxa"/>
            <w:vAlign w:val="bottom"/>
          </w:tcPr>
          <w:p>
            <w:pPr>
              <w:jc w:val="right"/>
              <w:ind w:right="2011"/>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accumulated other comprehensive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380"/>
              <w:spacing w:after="0"/>
              <w:rPr>
                <w:sz w:val="20"/>
                <w:szCs w:val="20"/>
                <w:color w:val="auto"/>
              </w:rPr>
            </w:pPr>
            <w:r>
              <w:rPr>
                <w:rFonts w:ascii="Arial" w:cs="Arial" w:eastAsia="Arial" w:hAnsi="Arial"/>
                <w:sz w:val="16"/>
                <w:szCs w:val="16"/>
                <w:b w:val="1"/>
                <w:bCs w:val="1"/>
                <w:color w:val="auto"/>
              </w:rPr>
              <w:t>Six Months Ended June 30, 2017</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 Other</w:t>
            </w:r>
          </w:p>
        </w:tc>
      </w:tr>
      <w:tr>
        <w:trPr>
          <w:trHeight w:val="203"/>
        </w:trPr>
        <w:tc>
          <w:tcPr>
            <w:tcW w:w="47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Currency Translation</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Gains (Losses) on</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200" w:type="dxa"/>
            <w:vAlign w:val="bottom"/>
          </w:tcPr>
          <w:p>
            <w:pPr>
              <w:spacing w:after="0"/>
              <w:rPr>
                <w:sz w:val="17"/>
                <w:szCs w:val="17"/>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Comprehensive</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Cash Flow Hedges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Income (Loss)</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47,684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50,878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1"/>
              </w:rPr>
              <w:t>Net current-period other comprehensive income, before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47,684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50,761</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2"/>
              </w:rPr>
              <w:t>Net current-period other comprehensive income, net of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47,684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49,629</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(144,169)</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5"/>
          </w:tcPr>
          <w:p>
            <w:pPr>
              <w:ind w:left="380"/>
              <w:spacing w:after="0"/>
              <w:rPr>
                <w:sz w:val="20"/>
                <w:szCs w:val="20"/>
                <w:color w:val="auto"/>
              </w:rPr>
            </w:pPr>
            <w:r>
              <w:rPr>
                <w:rFonts w:ascii="Arial" w:cs="Arial" w:eastAsia="Arial" w:hAnsi="Arial"/>
                <w:sz w:val="16"/>
                <w:szCs w:val="16"/>
                <w:b w:val="1"/>
                <w:bCs w:val="1"/>
                <w:color w:val="auto"/>
              </w:rPr>
              <w:t>Six Months Ended June 30, 2016</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 Other</w:t>
            </w:r>
          </w:p>
        </w:tc>
      </w:tr>
      <w:tr>
        <w:trPr>
          <w:trHeight w:val="203"/>
        </w:trPr>
        <w:tc>
          <w:tcPr>
            <w:tcW w:w="47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Currency Translation</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Gains (Losses) on</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200" w:type="dxa"/>
            <w:vAlign w:val="bottom"/>
          </w:tcPr>
          <w:p>
            <w:pPr>
              <w:spacing w:after="0"/>
              <w:rPr>
                <w:sz w:val="17"/>
                <w:szCs w:val="17"/>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Comprehensive</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Cash Flow Hedges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Income (Loss)</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(136,057)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6"/>
              </w:rPr>
              <w:t>Net current-period other comprehensive loss, before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(5,347)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Net current-period other comprehensive loss, net of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(15,558)</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condensed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evaluates segment performance based on several factors, of which the primary financial measure is operating segment adjusted operating income (“AOI”), a non-GAAP measure, defined as operating income (loss) before depreciation and amortization, share-based compensation expense or benefit, impairment charges, and restructuring expense or credit. The Company has presented the components that reconcile adjusted operating income to operating income, an accepted GAAP measure, and other information as to the continuing operations of the Company’s operating segments below.</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7"/>
          </w:tcPr>
          <w:p>
            <w:pPr>
              <w:jc w:val="center"/>
              <w:ind w:right="360"/>
              <w:spacing w:after="0"/>
              <w:rPr>
                <w:sz w:val="20"/>
                <w:szCs w:val="20"/>
                <w:color w:val="auto"/>
              </w:rPr>
            </w:pPr>
            <w:r>
              <w:rPr>
                <w:rFonts w:ascii="Arial" w:cs="Arial" w:eastAsia="Arial" w:hAnsi="Arial"/>
                <w:sz w:val="16"/>
                <w:szCs w:val="16"/>
                <w:b w:val="1"/>
                <w:bCs w:val="1"/>
                <w:color w:val="auto"/>
                <w:w w:val="92"/>
              </w:rPr>
              <w:t>Three Months Ended June 30, 2017</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Inter-segment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9"/>
              </w:rPr>
              <w:t>eliminations</w:t>
            </w:r>
          </w:p>
        </w:tc>
        <w:tc>
          <w:tcPr>
            <w:tcW w:w="2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245,472</w:t>
            </w:r>
          </w:p>
        </w:tc>
        <w:tc>
          <w:tcPr>
            <w:tcW w:w="10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21,373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266,845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359,451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443,700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604,923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110,844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710,545</w:t>
            </w:r>
          </w:p>
        </w:tc>
        <w:tc>
          <w:tcPr>
            <w:tcW w:w="20" w:type="dxa"/>
            <w:vAlign w:val="bottom"/>
            <w:tcBorders>
              <w:top w:val="single" w:sz="8" w:color="auto"/>
              <w:bottom w:val="single" w:sz="8" w:color="auto"/>
            </w:tcBorders>
          </w:tcPr>
          <w:p>
            <w:pPr>
              <w:spacing w:after="0"/>
              <w:rPr>
                <w:sz w:val="24"/>
                <w:szCs w:val="24"/>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175,790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15,132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17,112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232,167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228,559</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62"/>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7"/>
          </w:tcPr>
          <w:p>
            <w:pPr>
              <w:jc w:val="center"/>
              <w:ind w:right="400"/>
              <w:spacing w:after="0"/>
              <w:rPr>
                <w:sz w:val="20"/>
                <w:szCs w:val="20"/>
                <w:color w:val="auto"/>
              </w:rPr>
            </w:pPr>
            <w:r>
              <w:rPr>
                <w:rFonts w:ascii="Arial" w:cs="Arial" w:eastAsia="Arial" w:hAnsi="Arial"/>
                <w:sz w:val="16"/>
                <w:szCs w:val="16"/>
                <w:b w:val="1"/>
                <w:bCs w:val="1"/>
                <w:color w:val="auto"/>
                <w:w w:val="92"/>
              </w:rPr>
              <w:t>Three Months Ended June 30, 2016</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National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5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Inter-segment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5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eliminations</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0" w:type="dxa"/>
            <w:vAlign w:val="bottom"/>
          </w:tcPr>
          <w:p>
            <w:pPr>
              <w:spacing w:after="0"/>
              <w:rPr>
                <w:sz w:val="21"/>
                <w:szCs w:val="21"/>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239,331</w:t>
            </w:r>
          </w:p>
        </w:tc>
        <w:tc>
          <w:tcPr>
            <w:tcW w:w="10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25,564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3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264,895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333,302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419,937</w:t>
            </w:r>
          </w:p>
        </w:tc>
        <w:tc>
          <w:tcPr>
            <w:tcW w:w="20" w:type="dxa"/>
            <w:vAlign w:val="bottom"/>
          </w:tcPr>
          <w:p>
            <w:pPr>
              <w:spacing w:after="0"/>
              <w:rPr>
                <w:sz w:val="23"/>
                <w:szCs w:val="23"/>
                <w:color w:val="auto"/>
              </w:rPr>
            </w:pPr>
          </w:p>
        </w:tc>
      </w:tr>
      <w:tr>
        <w:trPr>
          <w:trHeight w:val="297"/>
        </w:trPr>
        <w:tc>
          <w:tcPr>
            <w:tcW w:w="40" w:type="dxa"/>
            <w:vAlign w:val="bottom"/>
          </w:tcPr>
          <w:p>
            <w:pPr>
              <w:spacing w:after="0"/>
              <w:rPr>
                <w:sz w:val="24"/>
                <w:szCs w:val="24"/>
                <w:color w:val="auto"/>
              </w:rPr>
            </w:pPr>
          </w:p>
        </w:tc>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572,633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118,280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684,832</w:t>
            </w: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178,032</w:t>
            </w: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9,148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11,322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21,553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206,328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211,296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2"/>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7"/>
          </w:tcPr>
          <w:p>
            <w:pPr>
              <w:jc w:val="center"/>
              <w:ind w:right="360"/>
              <w:spacing w:after="0"/>
              <w:rPr>
                <w:sz w:val="20"/>
                <w:szCs w:val="20"/>
                <w:color w:val="auto"/>
              </w:rPr>
            </w:pPr>
            <w:r>
              <w:rPr>
                <w:rFonts w:ascii="Arial" w:cs="Arial" w:eastAsia="Arial" w:hAnsi="Arial"/>
                <w:sz w:val="16"/>
                <w:szCs w:val="16"/>
                <w:b w:val="1"/>
                <w:bCs w:val="1"/>
                <w:color w:val="auto"/>
                <w:w w:val="91"/>
              </w:rPr>
              <w:t>Six Months Ended June 30, 2017</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Inter-segment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9"/>
              </w:rPr>
              <w:t>eliminations</w:t>
            </w:r>
          </w:p>
        </w:tc>
        <w:tc>
          <w:tcPr>
            <w:tcW w:w="2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493,014</w:t>
            </w:r>
          </w:p>
        </w:tc>
        <w:tc>
          <w:tcPr>
            <w:tcW w:w="10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41,443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534,457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727,056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176,198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896,277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1,220,070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217,641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1,430,734</w:t>
            </w:r>
          </w:p>
        </w:tc>
        <w:tc>
          <w:tcPr>
            <w:tcW w:w="20" w:type="dxa"/>
            <w:vAlign w:val="bottom"/>
            <w:tcBorders>
              <w:top w:val="single" w:sz="8" w:color="auto"/>
              <w:bottom w:val="single" w:sz="8" w:color="auto"/>
            </w:tcBorders>
          </w:tcPr>
          <w:p>
            <w:pPr>
              <w:spacing w:after="0"/>
              <w:rPr>
                <w:sz w:val="24"/>
                <w:szCs w:val="24"/>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461,230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407,461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22,119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27,595</w:t>
            </w:r>
          </w:p>
        </w:tc>
        <w:tc>
          <w:tcPr>
            <w:tcW w:w="20" w:type="dxa"/>
            <w:vAlign w:val="bottom"/>
          </w:tcPr>
          <w:p>
            <w:pPr>
              <w:spacing w:after="0"/>
              <w:rPr>
                <w:sz w:val="21"/>
                <w:szCs w:val="21"/>
                <w:color w:val="auto"/>
              </w:rPr>
            </w:pPr>
          </w:p>
        </w:tc>
      </w:tr>
      <w:tr>
        <w:trPr>
          <w:trHeight w:val="27"/>
        </w:trPr>
        <w:tc>
          <w:tcPr>
            <w:tcW w:w="4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17,112</w:t>
            </w:r>
          </w:p>
        </w:tc>
        <w:tc>
          <w:tcPr>
            <w:tcW w:w="20" w:type="dxa"/>
            <w:vAlign w:val="bottom"/>
          </w:tcPr>
          <w:p>
            <w:pPr>
              <w:spacing w:after="0"/>
              <w:rPr>
                <w:sz w:val="21"/>
                <w:szCs w:val="21"/>
                <w:color w:val="auto"/>
              </w:rPr>
            </w:pPr>
          </w:p>
        </w:tc>
      </w:tr>
      <w:tr>
        <w:trPr>
          <w:trHeight w:val="27"/>
        </w:trPr>
        <w:tc>
          <w:tcPr>
            <w:tcW w:w="4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500,140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498,890</w:t>
            </w:r>
          </w:p>
        </w:tc>
        <w:tc>
          <w:tcPr>
            <w:tcW w:w="20" w:type="dxa"/>
            <w:vAlign w:val="bottom"/>
            <w:tcBorders>
              <w:top w:val="single" w:sz="8" w:color="auto"/>
              <w:bottom w:val="single" w:sz="8" w:color="auto"/>
            </w:tcBorders>
          </w:tcPr>
          <w:p>
            <w:pPr>
              <w:spacing w:after="0"/>
              <w:rPr>
                <w:sz w:val="24"/>
                <w:szCs w:val="24"/>
                <w:color w:val="auto"/>
              </w:rPr>
            </w:pPr>
          </w:p>
        </w:tc>
      </w:tr>
      <w:tr>
        <w:trPr>
          <w:trHeight w:val="23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31,642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39,936</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280"/>
              <w:spacing w:after="0"/>
              <w:rPr>
                <w:sz w:val="20"/>
                <w:szCs w:val="20"/>
                <w:color w:val="auto"/>
              </w:rPr>
            </w:pPr>
            <w:r>
              <w:rPr>
                <w:rFonts w:ascii="Arial" w:cs="Arial" w:eastAsia="Arial" w:hAnsi="Arial"/>
                <w:sz w:val="16"/>
                <w:szCs w:val="16"/>
                <w:b w:val="1"/>
                <w:bCs w:val="1"/>
                <w:color w:val="auto"/>
              </w:rPr>
              <w:t>Six Months Ended June 30, 2016</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503,183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48,413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551,596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668,086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178,915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839,815</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1,171,269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227,328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1,391,411</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455,823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436,691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19,488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41,185</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487,282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497,718</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19,772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24,186</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(6,936)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47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(7,186)</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548,555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542,803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1,148,610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1,117,137</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108,076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186,750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197,522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53,914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38,469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95,374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76,752</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710,545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684,832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1,430,734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1,391,411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2017</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37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112,640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104,939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39,976</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Other</w:t>
            </w:r>
          </w:p>
        </w:tc>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20,184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21,721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159,153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166,636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Condensed Consolidating Financial Statements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Debt of AMC Networks includes $600.0 million of 4.75% senior notes due December 2022 and $1.0 billion of 5.00% senior notes due April 2024. All outstanding senior notes issued by AMC Networks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5"/>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146,995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189,479</w:t>
            </w:r>
          </w:p>
        </w:tc>
        <w:tc>
          <w:tcPr>
            <w:tcW w:w="0" w:type="dxa"/>
            <w:vAlign w:val="bottom"/>
          </w:tcPr>
          <w:p>
            <w:pPr>
              <w:spacing w:after="0"/>
              <w:rPr>
                <w:sz w:val="1"/>
                <w:szCs w:val="1"/>
                <w:color w:val="auto"/>
              </w:rPr>
            </w:pPr>
          </w:p>
        </w:tc>
      </w:tr>
      <w:tr>
        <w:trPr>
          <w:trHeight w:val="264"/>
        </w:trPr>
        <w:tc>
          <w:tcPr>
            <w:tcW w:w="4700" w:type="dxa"/>
            <w:vAlign w:val="bottom"/>
          </w:tcPr>
          <w:p>
            <w:pPr>
              <w:ind w:left="420"/>
              <w:spacing w:after="0"/>
              <w:rPr>
                <w:sz w:val="20"/>
                <w:szCs w:val="20"/>
                <w:color w:val="auto"/>
              </w:rPr>
            </w:pPr>
            <w:r>
              <w:rPr>
                <w:rFonts w:ascii="Arial" w:cs="Arial" w:eastAsia="Arial" w:hAnsi="Arial"/>
                <w:sz w:val="14"/>
                <w:szCs w:val="14"/>
                <w:color w:val="auto"/>
              </w:rPr>
              <w:t>Accounts receivable, trade (less allowance for doubtful accounts)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559,893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184,754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744,647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Amounts due from related parties,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301,511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148,579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450,090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170,958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77,612</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Assets held for sale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16,433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16,433</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1,075,218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509,996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(107,082)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1,478,749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112,189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46,964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159,153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2,998,053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882,052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(3,880,105)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1,046,405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175,511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1,221,916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37,626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175,425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303,754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479,179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67,881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612,353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680,234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129,289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281,333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412,232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3,000,280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3,987,479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1,941,208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(4,450,799)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4,478,168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45,877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45,000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90,893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138,647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234,494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228,419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73,108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301,527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47,834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259,000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259,000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Liabilities held for sale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16,433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16,433</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312,638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459,093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289,785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(107,082)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954,434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457,105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28,778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485,883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2,453,814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2,453,814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28,341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163,924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159,996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67,903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476,372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(463,612)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120,890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2,970,603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989,426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814,023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(570,694)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4,203,358</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217,149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2,998,053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882,052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(3,880,105)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27,984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27,984</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29,677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2,998,053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910,036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(3,880,105)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57,661</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3,000,280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3,987,479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1,941,208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(4,450,799)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4,478,168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 Company</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 Guarantor</w:t>
            </w: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2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64"/>
        </w:trPr>
        <w:tc>
          <w:tcPr>
            <w:tcW w:w="4700" w:type="dxa"/>
            <w:vAlign w:val="bottom"/>
          </w:tcPr>
          <w:p>
            <w:pPr>
              <w:ind w:left="420"/>
              <w:spacing w:after="0"/>
              <w:rPr>
                <w:sz w:val="20"/>
                <w:szCs w:val="20"/>
                <w:color w:val="auto"/>
              </w:rPr>
            </w:pPr>
            <w:r>
              <w:rPr>
                <w:rFonts w:ascii="Arial" w:cs="Arial" w:eastAsia="Arial" w:hAnsi="Arial"/>
                <w:sz w:val="14"/>
                <w:szCs w:val="14"/>
                <w:color w:val="auto"/>
              </w:rPr>
              <w:t>Accounts receivable, trade (less allowance for doubtful accounts)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537,751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162,904</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700,655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Amounts due from related parties,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307,050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134,080</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441,130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151,175</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15,961</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72,661</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1,513</w:t>
            </w:r>
          </w:p>
        </w:tc>
        <w:tc>
          <w:tcPr>
            <w:tcW w:w="1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1,317,434</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472,819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1,696,343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104,272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62,364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166,636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Investment in affiliates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3,029,922</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784,024</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947,657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160,929</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1,108,586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432,099</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(432,916)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carriage fees,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42,656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180,297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305,512</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485,809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69,154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588,554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657,708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asset,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8,598</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8,598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116,608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194,950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313,029</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assets</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3,032,906</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3,994,201</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1,795,773</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(4,342,285)</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4,480,595</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780"/>
              <w:spacing w:after="0"/>
              <w:rPr>
                <w:sz w:val="20"/>
                <w:szCs w:val="20"/>
                <w:color w:val="auto"/>
              </w:rPr>
            </w:pPr>
            <w:r>
              <w:rPr>
                <w:rFonts w:ascii="Arial" w:cs="Arial" w:eastAsia="Arial" w:hAnsi="Arial"/>
                <w:sz w:val="14"/>
                <w:szCs w:val="14"/>
                <w:b w:val="1"/>
                <w:bCs w:val="1"/>
                <w:color w:val="auto"/>
              </w:rPr>
              <w:t>LIABILITIES AND STOCKHOLDERS’ EQUITY</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40,033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48,644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88,677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71,680</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182,667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125,505</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284,429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226,474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74,371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300,845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42,782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10,861</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53,643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222,000</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222,000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2,645</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4,584</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293,680</w:t>
            </w: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494,601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261,320</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954,178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365,262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32,913</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398,175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2,597,263</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2,597,263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6,647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28,635</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35,282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145,364</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145,791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26,681</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97,769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440,685</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(432,916)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132,219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3,062,988</w:t>
            </w: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964,279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763,980</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(528,339)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4,262,908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219,331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219,331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AMC Networks stockholders’ (deficiency) equity</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(30,082)</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3,029,922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784,024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28,438</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28,438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(deficiency)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(30,082)</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3,029,922</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812,462</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(deficiency) equity</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3,032,906</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3,994,201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1,795,773</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(4,342,285)</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4,480,595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536,302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710,545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240,150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334,845</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116,423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50,838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162,273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20,606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credit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366,651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173,869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534,755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175,790</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184,748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18,980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154,785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17,744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10,262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(7,971)</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167,819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(52,187)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(60,193)</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102,598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107,626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102,598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519,955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684,832</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223,254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82,932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305,492</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130,383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50,433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179,366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21,553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363,701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145,243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506,800</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156,254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178,032</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(30,172)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(30,336)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142,131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111,780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(55,255)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144,605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122,777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(34,605)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(39,390)</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77,175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142,131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(121,134)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83,387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(6,212)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77,175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1,115,684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322,807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1,430,734</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461,904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633,457</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236,104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96,317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325,982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44,099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720,994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310,254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1,023,273</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394,690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407,461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420,522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28,260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30,028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361,034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31,143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(429,566)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361,034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425,833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383,531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(122,220)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(133,275)</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20,268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250,256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(11,442)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238,814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1,074,484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321,801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1,391,411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414,032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576,537</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245,894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94,004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336,644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679,995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279,356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954,720</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394,489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436,691</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(60,742)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18,831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(61,364)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388,178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(48,343)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(48,343)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278,842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(367,790)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(135,306)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278,842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392,962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301,385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(88,222)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(97,933)</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190,620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388,178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(368,033)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203,452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(12,832)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190,620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102,598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107,626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gain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(loss)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36,557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37,022</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139,620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144,648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138,089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77,175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142,131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(121,134)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83,387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Unrealized (loss) gain on interest rate swaps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(8,312)</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(27,466)</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49,709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142,131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(33,174)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(102,745)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55,921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49,709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142,131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(37,598)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(102,745)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51,497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20,268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250,256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47,684</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gain on interest rate swaps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(loss)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2,938</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50,761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49,629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49,629</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288,443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299,885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(13,364)</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286,521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190,620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388,178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(368,033)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203,452</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Unrealized (loss) gain on interest rate swaps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(15,558)</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175,062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388,178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(10,317)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(365,029)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187,894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175,062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388,178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(365,029)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176,438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258,037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322,282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(429,621)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165,977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(27,480)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(39,936)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102,285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(127,727)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102,285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(155,207)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(82,936)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(110,965)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(13,373)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(244,374)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(244,374)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(368,747)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(384,168)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165,745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(444,327)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(301,127)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(444,327)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444,327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42,368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146,995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189,479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277,785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306,120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(370,690)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229,564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(24,186)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acquisitions, net of cash acquired</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(359,483)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48,542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342,031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(359,483)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(46,857)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39,769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342,031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(24,540)</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982,500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982,500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(728,449)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(728,449)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Premium and fees paid on extinguishment of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(48,227)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(48,227)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Excess tax benefits from share-based compensation arrangements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144,677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74,031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258,055</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46,274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(28,659)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349,701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(23,518)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28,659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(56,352)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28,659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148,260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167,627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316,321</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434,974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157,549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643,470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13" w:lineRule="exact"/>
        <w:rPr>
          <w:sz w:val="20"/>
          <w:szCs w:val="20"/>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our programming networks and our programming;</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digital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multichannel video programming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9" w:lineRule="exact"/>
        <w:rPr>
          <w:rFonts w:ascii="Arial" w:cs="Arial" w:eastAsia="Arial" w:hAnsi="Arial"/>
          <w:sz w:val="18"/>
          <w:szCs w:val="18"/>
          <w:color w:val="auto"/>
        </w:rPr>
      </w:pPr>
    </w:p>
    <w:p>
      <w:pPr>
        <w:ind w:left="880" w:hanging="305"/>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ventures;</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140" w:lineRule="exact"/>
        <w:rPr>
          <w:rFonts w:ascii="Arial" w:cs="Arial" w:eastAsia="Arial" w:hAnsi="Arial"/>
          <w:sz w:val="16"/>
          <w:szCs w:val="16"/>
          <w:color w:val="auto"/>
        </w:rPr>
      </w:pPr>
    </w:p>
    <w:p>
      <w:pPr>
        <w:ind w:left="1060" w:hanging="485"/>
        <w:spacing w:after="0" w:line="277" w:lineRule="auto"/>
        <w:tabs>
          <w:tab w:leader="none" w:pos="8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2016 Annual Report on Form 10-K (the “2016 Form 10-K”), as filed with the Securities and Exchange Commission (“SEC”).</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2016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June 30, 2016. Our discussion is presented on both a consolidated and operating segment basis. Our two operating segments are: (i) National Networks and (ii) International and Other.</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 discussion of our financial condition as of June 30, 2017, as well as an analysis of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six months ended June 30, 2017 and 2016. The discussion of our financial condition and liquidity includes summaries of (i) our primary sources of liquidity and (ii) our contractual obligations that existed at June 30, 2017 as compared to December 31, 2016.</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980" w:hanging="486"/>
        <w:spacing w:after="0" w:line="276" w:lineRule="auto"/>
        <w:tabs>
          <w:tab w:leader="none" w:pos="9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activities of our programming businesses, which include our five programming networks, distributed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and Canada. These programming networks include AMC, WE tv, BBC AMERICA, IFC, and SundanceTV in the U.S.; and AMC, IFC, and Sundance Channel in Canada. Our AMC Studios operations within the National Networks segment sell rights worldwide to its owned original programming. The National Networks operating segment also includes AMC Networks Broadcasting &amp; Technology, the technical services business, which primarily services most of the programming networks included in the National Networks segment.</w:t>
      </w:r>
    </w:p>
    <w:p>
      <w:pPr>
        <w:spacing w:after="0" w:line="172" w:lineRule="exact"/>
        <w:rPr>
          <w:rFonts w:ascii="Arial" w:cs="Arial" w:eastAsia="Arial" w:hAnsi="Arial"/>
          <w:sz w:val="17"/>
          <w:szCs w:val="17"/>
          <w:i w:val="1"/>
          <w:iCs w:val="1"/>
          <w:color w:val="auto"/>
        </w:rPr>
      </w:pPr>
    </w:p>
    <w:p>
      <w:pPr>
        <w:jc w:val="both"/>
        <w:ind w:left="980" w:hanging="486"/>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and Other: </w:t>
      </w:r>
      <w:r>
        <w:rPr>
          <w:rFonts w:ascii="Arial" w:cs="Arial" w:eastAsia="Arial" w:hAnsi="Arial"/>
          <w:sz w:val="17"/>
          <w:szCs w:val="17"/>
          <w:color w:val="auto"/>
        </w:rPr>
        <w:t>Principally includes AMC Networks International (“AMCNI”), the Company’s international programming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a portfolio of channels in Europe, Latin America, the Middle East and parts of Asia and Africa; IFC Films, the Company’s independent film distribution business; AMCNI – DMC, the broadcast solutions unit of certain networks of AMCNI and third party networks; and various developing on-line content distribution initiatives. The AMCNI – DMC business was sold on July 12, 2017.</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2"/>
        </w:trPr>
        <w:tc>
          <w:tcPr>
            <w:tcW w:w="51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604,923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572,633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1,220,070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1,171,269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227,328</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710,545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684,832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1,430,734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1,391,411</w:t>
            </w:r>
          </w:p>
        </w:tc>
        <w:tc>
          <w:tcPr>
            <w:tcW w:w="0" w:type="dxa"/>
            <w:vAlign w:val="bottom"/>
          </w:tcPr>
          <w:p>
            <w:pPr>
              <w:spacing w:after="0"/>
              <w:rPr>
                <w:sz w:val="1"/>
                <w:szCs w:val="1"/>
                <w:color w:val="auto"/>
              </w:rPr>
            </w:pPr>
          </w:p>
        </w:tc>
      </w:tr>
      <w:tr>
        <w:trPr>
          <w:trHeight w:val="20"/>
        </w:trPr>
        <w:tc>
          <w:tcPr>
            <w:tcW w:w="51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5"/>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211,623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455,823</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175,790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178,032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407,461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436,691</w:t>
            </w:r>
          </w:p>
        </w:tc>
        <w:tc>
          <w:tcPr>
            <w:tcW w:w="0" w:type="dxa"/>
            <w:vAlign w:val="bottom"/>
          </w:tcPr>
          <w:p>
            <w:pPr>
              <w:spacing w:after="0"/>
              <w:rPr>
                <w:sz w:val="1"/>
                <w:szCs w:val="1"/>
                <w:color w:val="auto"/>
              </w:rPr>
            </w:pPr>
          </w:p>
        </w:tc>
      </w:tr>
      <w:tr>
        <w:trPr>
          <w:trHeight w:val="190"/>
        </w:trPr>
        <w:tc>
          <w:tcPr>
            <w:tcW w:w="516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232,167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206,328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500,140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487,282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13,165</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228,559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211,296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498,890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497,718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charges, and restructuring expense or credit.</w:t>
      </w:r>
    </w:p>
    <w:p>
      <w:pPr>
        <w:spacing w:after="0" w:line="16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175,790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436,691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15,132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19,488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41,185</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AOI</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228,559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211,296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498,890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497,718</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National Networks segment, which accounted for 85% of our consolidated revenues for the six months ended June 30, 2017, we earn revenue principally from the distribution of our programming and the sale of advertising. Distribution revenue primarily includes affiliation fees paid by distributors to carry our programming networks and license fees paid to us for the licensing of original programming for digital, foreign and home video distribution. Affiliation fees paid by distributors represent</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76" w:right="239" w:bottom="1440" w:gutter="0" w:footer="0" w:header="0"/>
          <w:type w:val="continuous"/>
        </w:sectPr>
      </w:pPr>
    </w:p>
    <w:bookmarkStart w:id="32" w:name="page33"/>
    <w:bookmarkEnd w:id="32"/>
    <w:p>
      <w:pPr>
        <w:jc w:val="both"/>
        <w:spacing w:after="0" w:line="293" w:lineRule="auto"/>
        <w:rPr>
          <w:sz w:val="20"/>
          <w:szCs w:val="20"/>
          <w:color w:val="auto"/>
        </w:rPr>
      </w:pPr>
      <w:r>
        <w:rPr>
          <w:rFonts w:ascii="Arial" w:cs="Arial" w:eastAsia="Arial" w:hAnsi="Arial"/>
          <w:sz w:val="16"/>
          <w:szCs w:val="16"/>
          <w:color w:val="auto"/>
        </w:rPr>
        <w:t>the largest component of distribution revenue. Our affiliation fee revenues are generally based on a per subscriber fee under multi-year contracts, commonly referred to as “affiliation agreements,” which generally provide for annual affiliation rate increases. The specific affiliation fee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affiliation fee revenues we earn are a fixed contractual monthly fee, which could be adjusted for acquisitions and dispositions of multichannel video programming systems by the distributor. Revenue from the licensing of original programming for digital and foreign distribution is recognized upon availability or distribution by the licensee.</w:t>
      </w:r>
    </w:p>
    <w:p>
      <w:pPr>
        <w:spacing w:after="0" w:line="16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affiliation agreements with our distributors, we have the right to sell a specified amount of national advertising time on our programming networks. Our advertising revenues are more variable than affiliation fee revenues because the majority of our advertising is sold on a short-term basis, not under long-term contracts. Our advertising arrangements with advertisers provide for a set number of advertising units to air over a specific period of time at a negotiated price per unit for which our programming networks generally guarantee specified viewer ratings for their programming.</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such as origination, transmission, uplinking and encryption.</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The timing of exhibition and distribution of original programming varies from period to period, which results in greater variability in our revenues, earnings and cash flows from operating activities. We will continue to increase our investment in programming across all of our channels.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 Program rights write-offs of $1.4 million and $1.1 million were recorded for the three months ended June 30, 2017 and 2016, respectively. Program rights write-offs of $1.8 million and $1.1 million were recorded for the six months ended June 30, 2017 and 2016,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International and Other segment primarily includes the operations of AMCNI, AMCNI – DMC, IFC Films and various developing on-line content distribution initiatives. The AMCNI – DMC business was sold on July 12, 2017.</w:t>
      </w:r>
    </w:p>
    <w:p>
      <w:pPr>
        <w:spacing w:after="0" w:line="1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our International and Other segment, which accounted for 15% of our consolidated revenues for the six months ended June 30, 2017, we earn revenue principally from the international distribution of programming and, to a lesser extent, the sale of advertising. Distribution revenue primarily includes affiliation fees paid by distributors to carry our programming networks. Our affiliation fee revenues are generally based on either a per-subscriber fee or a fixed contractual annual fee, under multi-year affiliation agreements, which may provide for annual affiliation rate increases. For the six months ended June 30, 2017, distribution revenues represented 81% of the revenues of the International and Other segment. Most of these revenues are derived primarily from Europe and to a lesser extent, Latin America, the Middle East and parts of Asia and Africa. The International and Other segment also includes IFC Films, our independent film distribution business, where revenues are derived principally from theatrical, digital and licensing distribution and our developing on-line content business, where revenues are derived from monthly subscription fees.</w:t>
      </w:r>
    </w:p>
    <w:p>
      <w:pPr>
        <w:spacing w:after="0" w:line="1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and program operating costs, included in technical and operating expense, represents the largest expense of the International and Other segment and primarily consists of amortization of acquired content, costs of dubbing and sub-titling of programs, and participation and residual costs. Program operating costs include costs such as origination, transmission, uplinking and encryption of our linear AMCNI channels as well as content hosting and delivery costs at our various on-line content distribution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710,545</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684,832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25,713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334,845</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305,492</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29,353</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162,273</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179,366</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(17,093)</w:t>
            </w: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21,553</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534,755</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2"/>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506,800</w:t>
            </w:r>
          </w:p>
        </w:tc>
        <w:tc>
          <w:tcPr>
            <w:tcW w:w="40" w:type="dxa"/>
            <w:vAlign w:val="bottom"/>
            <w:tcBorders>
              <w:top w:val="single" w:sz="8" w:color="auto"/>
            </w:tcBorders>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27,955</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175,790</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178,032</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(26,951)</w:t>
            </w:r>
          </w:p>
        </w:tc>
        <w:tc>
          <w:tcPr>
            <w:tcW w:w="136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(30,336)</w:t>
            </w:r>
          </w:p>
        </w:tc>
        <w:tc>
          <w:tcPr>
            <w:tcW w:w="136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3,385</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(24,910)</w:t>
            </w:r>
          </w:p>
        </w:tc>
        <w:tc>
          <w:tcPr>
            <w:tcW w:w="136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43,890</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8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(55,255)</w:t>
            </w:r>
          </w:p>
        </w:tc>
        <w:tc>
          <w:tcPr>
            <w:tcW w:w="40" w:type="dxa"/>
            <w:vAlign w:val="bottom"/>
            <w:tcBorders>
              <w:top w:val="single" w:sz="8" w:color="auto"/>
            </w:tcBorders>
          </w:tcPr>
          <w:p>
            <w:pPr>
              <w:spacing w:after="0"/>
              <w:rPr>
                <w:sz w:val="20"/>
                <w:szCs w:val="20"/>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47,284</w:t>
            </w: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from operations before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167,819</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122,777</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45,042</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(60,193)</w:t>
            </w:r>
          </w:p>
        </w:tc>
        <w:tc>
          <w:tcPr>
            <w:tcW w:w="1360" w:type="dxa"/>
            <w:vAlign w:val="bottom"/>
            <w:gridSpan w:val="3"/>
          </w:tcPr>
          <w:p>
            <w:pPr>
              <w:jc w:val="right"/>
              <w:ind w:right="8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(39,390)</w:t>
            </w:r>
          </w:p>
        </w:tc>
        <w:tc>
          <w:tcPr>
            <w:tcW w:w="1360" w:type="dxa"/>
            <w:vAlign w:val="bottom"/>
            <w:gridSpan w:val="3"/>
          </w:tcPr>
          <w:p>
            <w:pPr>
              <w:jc w:val="right"/>
              <w:ind w:right="8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(20,803)</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107,626</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83,387</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24,239</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w w:val="97"/>
              </w:rPr>
              <w:t>Net income attributable to noncontrolling interests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(5,028)</w:t>
            </w:r>
          </w:p>
        </w:tc>
        <w:tc>
          <w:tcPr>
            <w:tcW w:w="1360" w:type="dxa"/>
            <w:vAlign w:val="bottom"/>
            <w:gridSpan w:val="3"/>
          </w:tcPr>
          <w:p>
            <w:pPr>
              <w:jc w:val="right"/>
              <w:ind w:right="8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(6,212)</w:t>
            </w:r>
          </w:p>
        </w:tc>
        <w:tc>
          <w:tcPr>
            <w:tcW w:w="1360" w:type="dxa"/>
            <w:vAlign w:val="bottom"/>
            <w:gridSpan w:val="3"/>
          </w:tcPr>
          <w:p>
            <w:pPr>
              <w:jc w:val="right"/>
              <w:ind w:right="8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102,598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25,423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50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604,923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572,633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32,290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265,507</w:t>
            </w:r>
          </w:p>
        </w:tc>
        <w:tc>
          <w:tcPr>
            <w:tcW w:w="138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240,116</w:t>
            </w:r>
          </w:p>
        </w:tc>
        <w:tc>
          <w:tcPr>
            <w:tcW w:w="13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25,391</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119,460</w:t>
            </w:r>
          </w:p>
        </w:tc>
        <w:tc>
          <w:tcPr>
            <w:tcW w:w="1380" w:type="dxa"/>
            <w:vAlign w:val="bottom"/>
            <w:gridSpan w:val="3"/>
          </w:tcPr>
          <w:p>
            <w:pPr>
              <w:jc w:val="right"/>
              <w:ind w:right="16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135,337</w:t>
            </w:r>
          </w:p>
        </w:tc>
        <w:tc>
          <w:tcPr>
            <w:tcW w:w="1380" w:type="dxa"/>
            <w:vAlign w:val="bottom"/>
            <w:gridSpan w:val="3"/>
          </w:tcPr>
          <w:p>
            <w:pPr>
              <w:jc w:val="right"/>
              <w:ind w:right="10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(15,877)</w:t>
            </w:r>
          </w:p>
        </w:tc>
        <w:tc>
          <w:tcPr>
            <w:tcW w:w="1340" w:type="dxa"/>
            <w:vAlign w:val="bottom"/>
            <w:gridSpan w:val="2"/>
          </w:tcPr>
          <w:p>
            <w:pPr>
              <w:jc w:val="right"/>
              <w:ind w:right="96"/>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38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3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Restructuring (credit)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211,623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189,090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12,211</w:t>
            </w:r>
          </w:p>
        </w:tc>
        <w:tc>
          <w:tcPr>
            <w:tcW w:w="1380" w:type="dxa"/>
            <w:vAlign w:val="bottom"/>
            <w:gridSpan w:val="3"/>
          </w:tcPr>
          <w:p>
            <w:pPr>
              <w:jc w:val="right"/>
              <w:ind w:right="16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9,148</w:t>
            </w:r>
          </w:p>
        </w:tc>
        <w:tc>
          <w:tcPr>
            <w:tcW w:w="1380" w:type="dxa"/>
            <w:vAlign w:val="bottom"/>
            <w:gridSpan w:val="3"/>
          </w:tcPr>
          <w:p>
            <w:pPr>
              <w:jc w:val="right"/>
              <w:ind w:right="10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3,063</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8,430</w:t>
            </w:r>
          </w:p>
        </w:tc>
        <w:tc>
          <w:tcPr>
            <w:tcW w:w="1380" w:type="dxa"/>
            <w:vAlign w:val="bottom"/>
            <w:gridSpan w:val="3"/>
          </w:tcPr>
          <w:p>
            <w:pPr>
              <w:jc w:val="right"/>
              <w:ind w:right="16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8,053</w:t>
            </w:r>
          </w:p>
        </w:tc>
        <w:tc>
          <w:tcPr>
            <w:tcW w:w="1380" w:type="dxa"/>
            <w:vAlign w:val="bottom"/>
            <w:gridSpan w:val="3"/>
          </w:tcPr>
          <w:p>
            <w:pPr>
              <w:jc w:val="right"/>
              <w:ind w:right="10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110,844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118,280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69,918</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68,215</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42,844</w:t>
            </w:r>
          </w:p>
        </w:tc>
        <w:tc>
          <w:tcPr>
            <w:tcW w:w="1360" w:type="dxa"/>
            <w:vAlign w:val="bottom"/>
            <w:gridSpan w:val="3"/>
          </w:tcPr>
          <w:p>
            <w:pPr>
              <w:jc w:val="right"/>
              <w:ind w:right="16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44,032</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12,176</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360" w:type="dxa"/>
            <w:vAlign w:val="bottom"/>
            <w:gridSpan w:val="3"/>
          </w:tcPr>
          <w:p>
            <w:pPr>
              <w:jc w:val="right"/>
              <w:ind w:right="16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(31,222)</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299.3 %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136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12,176</w:t>
            </w:r>
          </w:p>
        </w:tc>
        <w:tc>
          <w:tcPr>
            <w:tcW w:w="1360" w:type="dxa"/>
            <w:vAlign w:val="bottom"/>
            <w:gridSpan w:val="3"/>
          </w:tcPr>
          <w:p>
            <w:pPr>
              <w:jc w:val="right"/>
              <w:ind w:right="16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13,500</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(1,324)</w:t>
            </w:r>
          </w:p>
        </w:tc>
        <w:tc>
          <w:tcPr>
            <w:tcW w:w="1440" w:type="dxa"/>
            <w:vAlign w:val="bottom"/>
            <w:gridSpan w:val="2"/>
          </w:tcPr>
          <w:p>
            <w:pPr>
              <w:jc w:val="right"/>
              <w:ind w:right="96"/>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$25.7 million to $710.5 million for the three months ended June 30, 2017 as compared to the three months ended June 30, 2016. The net change by segment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604,923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572,633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32,290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110,844</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118,280</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(7,436)</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3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710,545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684,832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245,472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239,331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6,141</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359,451</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333,302</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26,149</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604,923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572,633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32,290</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7"/>
              </w:rPr>
              <w:t>5.6%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Advertising revenues increased $6.1 million, with the largest increase at BBC AMERICA, partially offset by a decrease at AMC, both primarily driven by ratings.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Distribution revenues increased $26.1 million due to an increase of $20.7 million primarily from digital distribution revenues derived from our original programming, principally at AMC, and an increase in affiliation fee revenue, primarily at AMC, resulting from an increase in rates. Distribution revenues vary based on the impact of renewals of affiliation agreements and the timing of availability of our programming to distributors. Because of these factors, we expect distribution revenues to vary from quarter to quarter.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3"/>
                <w:szCs w:val="13"/>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21,373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25,564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89,471</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92,716</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(3,245)</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110,844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118,280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73" w:lineRule="auto"/>
        <w:rPr>
          <w:sz w:val="20"/>
          <w:szCs w:val="20"/>
          <w:color w:val="auto"/>
        </w:rPr>
      </w:pPr>
      <w:r>
        <w:rPr>
          <w:rFonts w:ascii="Arial" w:cs="Arial" w:eastAsia="Arial" w:hAnsi="Arial"/>
          <w:sz w:val="17"/>
          <w:szCs w:val="17"/>
          <w:color w:val="auto"/>
        </w:rPr>
        <w:t>The decrease in advertising revenues was primarily due to lower demand in certain international markets. In addition, foreign currency translation had an unfavorable impact of $2.0 million. The decrease in distribution revenues was driven by a decrease in other distribution revenue of $6.8 million principally at IFC Films and AMCNI – DMC, partially offset by an increase in subscription revenue at our developing on-line content distribution business. The decrease at IFC Films was primarily due to the strong performance of certain titles in 2016 as compared to 2017 and the decrease at AMCNI – DMC was due to the loss of customers. The decreases in other distribution revenue were partially offset by an increase in affiliation fee revenue as a result of expanded distribution at AMCNI. Foreign currency translation had an unfavorable impact of $2.7 million on distribution revenue.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72" w:right="239" w:bottom="1440" w:gutter="0" w:footer="0" w:header="0"/>
          <w:type w:val="continuous"/>
        </w:sectPr>
      </w:pPr>
    </w:p>
    <w:bookmarkStart w:id="37" w:name="page38"/>
    <w:bookmarkEnd w:id="37"/>
    <w:p>
      <w:pPr>
        <w:ind w:left="440"/>
        <w:spacing w:after="0"/>
        <w:rPr>
          <w:sz w:val="20"/>
          <w:szCs w:val="20"/>
          <w:color w:val="auto"/>
        </w:rPr>
      </w:pPr>
      <w:r>
        <w:rPr>
          <w:rFonts w:ascii="Arial" w:cs="Arial" w:eastAsia="Arial" w:hAnsi="Arial"/>
          <w:sz w:val="17"/>
          <w:szCs w:val="17"/>
          <w:color w:val="auto"/>
        </w:rPr>
        <w:t>Technical and operating expense (excluding depreciation and amortization) increased $29.4 million to $334.8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 as compared to the three months ended June 30, 2016. The net change by segment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265,507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240,116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25,391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69,918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68,215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1,703</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2.5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2,259</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(79.6)</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334,845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305,492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29,353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technical and operating expense in the National Networks segment was primarily attributable to an increase of $25.1 million in program rights amortization expense as a result of continued investment in our original programming. Program rights amortization expense includes write-offs of $1.4 million and $1.1 million for the three months ended June 30, 2017 and June 30, 2016, respectively, based on management’s assessment of programming usefulness.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technical and operating expense in the International and Other segment was primarily due to an increase at our developing on-line content distribution business of $2.5 million due to increased investment in acquired content, partially offset by a decrease at AMCNI. Foreign currency translation had a favorable impact to the change in technical and operating expense of approximately $2.8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decreased $17.1 million to $162.3 million for the three months ended June 30, 2017, as compared to the three months ended June 30,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119,460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135,337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42,844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44,032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(1,188)</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(2.7)</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162,273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179,366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 the National Networks segment decreased $15.9 million principally as a result of a decrease in sales and marketing costs of $16.3 million related to the timing and level of the promotion and marketing of original programming for the three months ended June 30, 2017 as compared to the three months ended June 30, 2016.</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 the International and Other segment decreased $1.2 million for the three months ended June 30, 2017 as compared to the three months ended June 30, 2016 driven by a a decrease in selling and</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76" w:right="239" w:bottom="1440" w:gutter="0" w:footer="0" w:header="0"/>
          <w:type w:val="continuous"/>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administrative costs at AMCNI of $3.1 million, partially offset by an increase in sales and marketing costs of $1.3 million at our developing on-line content distribution business principally due to increased subscriber acquisition costs. Foreign currency translation had a favorable impact to the change in selling, general and administrative expense of approximately $0.6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decreased $0.9 million to $20.6 million for the three months ended June 30, 2017, as compared to the three months ended June 30,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12,176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(9.8)</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depreciation and amortization expense in the International and Other segment was primarily attributable to the decrease of equipment and identifiable intangible assets at AMCNI – DMC as a result of impairment charges recorded in the fourth quarter of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2017, we classified the assets and liabilities of AMCNI – DMC as held for sale. Assets held for sale are required to be presented at fair value less estimated sale costs, and as a result, we recognized a pre-tax impairment charge of $17.1 million for the three months ended June 30, 2017. Additionally, we expect to recognize a pre-tax loss of approximately $12.1 million in the third quarter of 2017 in conjunction with the sale of AMCNI – DMC, completed on July 12, 2017. The loss on sale may vary due to the finalization of certain purchase price adjustments.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189,090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22,533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(23,403)</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299.3</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42.4</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175,790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178,032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increase in operating income at the National Networks segment was primarily attributable to an increase in revenues of $32.3 million and an decrease in selling, general and administrative expense of $15.9 million, partially offset by an increase in technical and operating expense of $25.4 million.</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operating income in the International and Other segment was primarily attributable to impairment charges of $17.1 million related to the classification of the assets and liabilities of AMCNI – DMC as held for sale, a decrease in revenue of $7.4 million, an increase in technical and operating expense of $1.7 million, partially offset by a decrease in selling, general and administrative expense of $1.2 million, and a decrease in depreciation and amortization of $1.3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175,790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3,810</w:t>
            </w:r>
          </w:p>
        </w:tc>
        <w:tc>
          <w:tcPr>
            <w:tcW w:w="1720" w:type="dxa"/>
            <w:vAlign w:val="bottom"/>
            <w:gridSpan w:val="2"/>
          </w:tcPr>
          <w:p>
            <w:pPr>
              <w:jc w:val="right"/>
              <w:ind w:right="156"/>
              <w:spacing w:after="0"/>
              <w:rPr>
                <w:sz w:val="20"/>
                <w:szCs w:val="20"/>
                <w:color w:val="auto"/>
              </w:rPr>
            </w:pPr>
            <w:r>
              <w:rPr>
                <w:rFonts w:ascii="Arial" w:cs="Arial" w:eastAsia="Arial" w:hAnsi="Arial"/>
                <w:sz w:val="18"/>
                <w:szCs w:val="18"/>
                <w:color w:val="auto"/>
              </w:rPr>
              <w:t>33.7</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7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(4.4)</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228,559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211,296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17,263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76" w:right="239" w:bottom="1440" w:gutter="0" w:footer="0" w:header="0"/>
          <w:type w:val="continuous"/>
        </w:sectPr>
      </w:pPr>
    </w:p>
    <w:bookmarkStart w:id="39" w:name="page40"/>
    <w:bookmarkEnd w:id="39"/>
    <w:p>
      <w:pPr>
        <w:jc w:val="both"/>
        <w:ind w:right="20" w:firstLine="432"/>
        <w:spacing w:after="0" w:line="277" w:lineRule="auto"/>
        <w:rPr>
          <w:sz w:val="20"/>
          <w:szCs w:val="20"/>
          <w:color w:val="auto"/>
        </w:rPr>
      </w:pPr>
      <w:r>
        <w:rPr>
          <w:rFonts w:ascii="Arial" w:cs="Arial" w:eastAsia="Arial" w:hAnsi="Arial"/>
          <w:sz w:val="18"/>
          <w:szCs w:val="18"/>
          <w:color w:val="auto"/>
        </w:rPr>
        <w:t>AOI increased $17.3 million for the three months ended June 30, 2017 as compared to the three months ended June 30,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232,167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25,839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(7,204)</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(87.8)</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42.4</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228,559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211,296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17,263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National Networks AOI increased principally due to an increase in revenue of $32.3 million and a decrease in selling, general and administrative expenses (excluding stock based compensation) of $18.9 million, partially offset by an increase in technical and operating expenses of $25.4 million. As a result of the factors discussed above impacting the variability in revenues and operating expenses, we expect AOI to vary from quarter to quarter.</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and Other AOI decreased due to a decrease in revenue of $7.4 million and an increase in technical and operating expenses of $1.7 million, partially offset by a decrease in selling, general and administrative expenses (excluding stock based compensation) of $1.9 million. Foreign currency translation had a unfavorable impact on AOI of approximately $1.3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interest expense, net is driven by an increase in interest income of $2.1 million, partially offset by a decrease in interest expense of $1.2 million. The increase in interest income is related to interest income earned on term loans entered into with RLJ Entertainment, Inc. (“RLJE”) in October 2016. The decrease in interest expense is partially attributable to a decrease in our fixed rate debt due to the early redemption of our 7.75% Notes, a portion of which was outstanding during the three months ended June 30, 2016.</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increase in miscellaneous, net of $43.9 million for the three months ended June 30, 2017 as compared to the three months ended June 30, 2016 was principally the result of a $35.2 million variance in the foreign currency translation of monetary assets and liabilities that are denominated in currencies other than the underlying functional currency of the applicable entity, primarily intercompany loans. Foreign currency transaction gains were $8.6 million for the three months ended June 30, 2017 as compared to foreign currency transaction losses of $26.6 million for the three months ended June 30, 2016. Certain intercompany loans which were the primary driver of foreign currency transaction losses in 2016 were settled in the third quarter of 2016. Miscellaneous, net also includes gains on derivative instruments of $8.7 million primarily related to the RLJE derivatives due to an increase in the stock price of RLJE common stock and a gain in the fair market value of shares held in RLJE common stock of $1.3 million, which was recognized during the second quarter upon meeting the criteria to be accounted for as an equity method investment following the exercise of warrants, for which we have elected the fair value option.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For the three months ended June 30, 2017, income tax expense was $60.2 million representing an effective tax rate of 36%. The effective tax rate differs from the federal statutory rate of 35% due primarily to tax expense of $5.2 million resulting from an increase in the valuation allowances for foreign and local taxes, state and local income tax expense of $2.6 million, partially offset by a tax benefit from the domestic production activities deduction of $4.4 million, and a tax benefit from foreign subsidiary earnings indefinitely reinvested outside the U.S. of $2.6 million.</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For the three months ended June 30, 2016, income tax expense was $39.4 million, representing an effective tax rate of 32%. The effective tax rate differs from the federal statutory rate of 35% due primarily to a tax benefit from foreign subsidiary earnings indefinitely reinvested outside of the U.S. of $5.5 million, a tax benefit from the domestic production activities deduction of $4.4 million, partially offset by tax expense of $2.7 million resulting from an increase in the valuation allowance for foreign and local taxes and state and local income tax expense of $2.1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2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1,430,734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1,391,411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39,323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633,457</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576,537</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56,920</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325,982</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336,644</w:t>
            </w:r>
          </w:p>
        </w:tc>
        <w:tc>
          <w:tcPr>
            <w:tcW w:w="1380" w:type="dxa"/>
            <w:vAlign w:val="bottom"/>
            <w:gridSpan w:val="3"/>
          </w:tcPr>
          <w:p>
            <w:pPr>
              <w:jc w:val="right"/>
              <w:ind w:right="14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(10,662)</w:t>
            </w:r>
          </w:p>
        </w:tc>
        <w:tc>
          <w:tcPr>
            <w:tcW w:w="1220" w:type="dxa"/>
            <w:vAlign w:val="bottom"/>
            <w:gridSpan w:val="2"/>
          </w:tcPr>
          <w:p>
            <w:pPr>
              <w:jc w:val="right"/>
              <w:ind w:right="9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44,099</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41,185</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2,914</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1,023,273</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954,720</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68,553</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407,461</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436,691</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(29,230)</w:t>
            </w:r>
          </w:p>
        </w:tc>
        <w:tc>
          <w:tcPr>
            <w:tcW w:w="12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(53,958)</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(61,364)</w:t>
            </w:r>
          </w:p>
        </w:tc>
        <w:tc>
          <w:tcPr>
            <w:tcW w:w="138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7,406</w:t>
            </w:r>
          </w:p>
        </w:tc>
        <w:tc>
          <w:tcPr>
            <w:tcW w:w="12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(48,343)</w:t>
            </w:r>
          </w:p>
        </w:tc>
        <w:tc>
          <w:tcPr>
            <w:tcW w:w="1380" w:type="dxa"/>
            <w:vAlign w:val="bottom"/>
            <w:gridSpan w:val="3"/>
          </w:tcPr>
          <w:p>
            <w:pPr>
              <w:jc w:val="right"/>
              <w:ind w:right="8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48,343</w:t>
            </w:r>
          </w:p>
        </w:tc>
        <w:tc>
          <w:tcPr>
            <w:tcW w:w="10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30,028</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(25,599)</w:t>
            </w:r>
          </w:p>
        </w:tc>
        <w:tc>
          <w:tcPr>
            <w:tcW w:w="1380" w:type="dxa"/>
            <w:vAlign w:val="bottom"/>
            <w:tcBorders>
              <w:bottom w:val="single" w:sz="8" w:color="CCEEFF"/>
            </w:tcBorders>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55,627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(23,930)</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8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(135,306)</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111,376</w:t>
            </w:r>
          </w:p>
        </w:tc>
        <w:tc>
          <w:tcPr>
            <w:tcW w:w="1220" w:type="dxa"/>
            <w:vAlign w:val="bottom"/>
            <w:gridSpan w:val="2"/>
          </w:tcPr>
          <w:p>
            <w:pPr>
              <w:jc w:val="right"/>
              <w:ind w:right="94"/>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from operations before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383,531</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301,385</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82,146</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(133,275)</w:t>
            </w:r>
          </w:p>
        </w:tc>
        <w:tc>
          <w:tcPr>
            <w:tcW w:w="1380" w:type="dxa"/>
            <w:vAlign w:val="bottom"/>
            <w:gridSpan w:val="3"/>
          </w:tcPr>
          <w:p>
            <w:pPr>
              <w:jc w:val="right"/>
              <w:ind w:right="84"/>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(97,933)</w:t>
            </w:r>
          </w:p>
        </w:tc>
        <w:tc>
          <w:tcPr>
            <w:tcW w:w="1380" w:type="dxa"/>
            <w:vAlign w:val="bottom"/>
            <w:gridSpan w:val="3"/>
          </w:tcPr>
          <w:p>
            <w:pPr>
              <w:jc w:val="right"/>
              <w:ind w:right="8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(35,342)</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250,256</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203,452</w:t>
            </w:r>
          </w:p>
        </w:tc>
        <w:tc>
          <w:tcPr>
            <w:tcW w:w="138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46,804</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w w:val="97"/>
              </w:rPr>
              <w:t>Net income attributable to noncontrolling interests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(11,442)</w:t>
            </w:r>
          </w:p>
        </w:tc>
        <w:tc>
          <w:tcPr>
            <w:tcW w:w="1380" w:type="dxa"/>
            <w:vAlign w:val="bottom"/>
            <w:gridSpan w:val="3"/>
          </w:tcPr>
          <w:p>
            <w:pPr>
              <w:jc w:val="right"/>
              <w:ind w:right="8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(12,832)</w:t>
            </w:r>
          </w:p>
        </w:tc>
        <w:tc>
          <w:tcPr>
            <w:tcW w:w="1380" w:type="dxa"/>
            <w:vAlign w:val="bottom"/>
            <w:gridSpan w:val="3"/>
          </w:tcPr>
          <w:p>
            <w:pPr>
              <w:jc w:val="right"/>
              <w:ind w:right="8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238,814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190,620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48,194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2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1,220,070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1,171,269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48,801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499,315</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446,255</w:t>
            </w:r>
          </w:p>
        </w:tc>
        <w:tc>
          <w:tcPr>
            <w:tcW w:w="136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53,060</w:t>
            </w:r>
          </w:p>
        </w:tc>
        <w:tc>
          <w:tcPr>
            <w:tcW w:w="13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242,734</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253,102</w:t>
            </w:r>
          </w:p>
        </w:tc>
        <w:tc>
          <w:tcPr>
            <w:tcW w:w="1360" w:type="dxa"/>
            <w:vAlign w:val="bottom"/>
            <w:gridSpan w:val="3"/>
          </w:tcPr>
          <w:p>
            <w:pPr>
              <w:jc w:val="right"/>
              <w:ind w:right="10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(10,368)</w:t>
            </w:r>
          </w:p>
        </w:tc>
        <w:tc>
          <w:tcPr>
            <w:tcW w:w="1340" w:type="dxa"/>
            <w:vAlign w:val="bottom"/>
            <w:gridSpan w:val="2"/>
          </w:tcPr>
          <w:p>
            <w:pPr>
              <w:jc w:val="right"/>
              <w:ind w:right="99"/>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16,834</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16,022</w:t>
            </w:r>
          </w:p>
        </w:tc>
        <w:tc>
          <w:tcPr>
            <w:tcW w:w="136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w:t>
            </w:r>
          </w:p>
        </w:tc>
        <w:tc>
          <w:tcPr>
            <w:tcW w:w="13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Restructuring (credit)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461,230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455,823</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22,119</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15,370</w:t>
            </w:r>
          </w:p>
        </w:tc>
        <w:tc>
          <w:tcPr>
            <w:tcW w:w="1360" w:type="dxa"/>
            <w:vAlign w:val="bottom"/>
            <w:gridSpan w:val="3"/>
          </w:tcPr>
          <w:p>
            <w:pPr>
              <w:jc w:val="right"/>
              <w:ind w:right="10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6,749</w:t>
            </w:r>
          </w:p>
        </w:tc>
        <w:tc>
          <w:tcPr>
            <w:tcW w:w="1340" w:type="dxa"/>
            <w:vAlign w:val="bottom"/>
            <w:gridSpan w:val="2"/>
          </w:tcPr>
          <w:p>
            <w:pPr>
              <w:jc w:val="right"/>
              <w:ind w:right="159"/>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3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16,834</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16,022</w:t>
            </w:r>
          </w:p>
        </w:tc>
        <w:tc>
          <w:tcPr>
            <w:tcW w:w="1360" w:type="dxa"/>
            <w:vAlign w:val="bottom"/>
            <w:gridSpan w:val="3"/>
          </w:tcPr>
          <w:p>
            <w:pPr>
              <w:jc w:val="right"/>
              <w:ind w:right="10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812</w:t>
            </w:r>
          </w:p>
        </w:tc>
        <w:tc>
          <w:tcPr>
            <w:tcW w:w="1340" w:type="dxa"/>
            <w:vAlign w:val="bottom"/>
            <w:gridSpan w:val="2"/>
          </w:tcPr>
          <w:p>
            <w:pPr>
              <w:jc w:val="right"/>
              <w:ind w:right="159"/>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500,140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217,641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227,328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134,731</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3,025</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83,281</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83,550</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27,265</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25,163</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2,102</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(50,439)</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(16,403)</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207.5 %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2,666</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27,265</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25,163</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2,102</w:t>
            </w:r>
          </w:p>
        </w:tc>
        <w:tc>
          <w:tcPr>
            <w:tcW w:w="1440" w:type="dxa"/>
            <w:vAlign w:val="bottom"/>
            <w:gridSpan w:val="2"/>
          </w:tcPr>
          <w:p>
            <w:pPr>
              <w:jc w:val="right"/>
              <w:ind w:right="15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$39.3 million to $1.4 billion for the six months ended June 30, 2017 as compared to the six months ended June 30, 2016. The net change by segment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34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1,220,070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1,171,269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48,801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217,641</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227,328</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(9,687)</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380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1,430,734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1,391,411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39,323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493,014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503,183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727,056</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668,086</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58,970</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1,220,070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1,171,269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48,801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Advertising revenues decreased $10.2 million due to a decrease at AMC, partially offset by an increase at BBC AMERICA, both primarily driven by ratings. Most of our advertising revenues vary based on the timing of our original programming series and the popularity of our programming as measured by Nielsen. Due to these factors, we expect advertising revenues to vary from quarter to quarter.</w:t>
      </w:r>
    </w:p>
    <w:p>
      <w:pPr>
        <w:spacing w:after="0" w:line="146"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revenues increased $59.0 million due to an increase of $40.1 million primarily from digital distribution revenues derived from our original programming, principally at AMC and SundanceTV, and an increase of $18.8 million in affiliation fee revenue, principally at AMC resulting from an increase in rates. Distribution revenues vary based on the impact of renewals of affiliation agreements and the timing of availability of our programming to distributors. Because of these factors, we expect distribution revenues to vary from quarter to quarter.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0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3"/>
                <w:szCs w:val="13"/>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41,443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48,413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176,198</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178,915</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(2,717)</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217,641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227,328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55" w:lineRule="auto"/>
        <w:rPr>
          <w:sz w:val="20"/>
          <w:szCs w:val="20"/>
          <w:color w:val="auto"/>
        </w:rPr>
      </w:pPr>
      <w:r>
        <w:rPr>
          <w:rFonts w:ascii="Arial" w:cs="Arial" w:eastAsia="Arial" w:hAnsi="Arial"/>
          <w:sz w:val="18"/>
          <w:szCs w:val="18"/>
          <w:color w:val="auto"/>
        </w:rPr>
        <w:t>The decrease in advertising revenues was primarily due to lower demand in certain international markets. In addition, foreign currency translation had an unfavorable impact of $4.4 million. The decrease in distribution revenues was driven by a decrease in other distribution revenue of $11.4 million principally at IFC Films and AMCNI – DMC. The decrease at IFC Films of was primarily due to the strong performance of certain titles in 2016 as compared to 2017 and the decrease at AMCNI – DMC was due to the loss of customers. The decreases in other distribution revenue were partially offset by an increase in affiliation fee revenue as a result of expanded distribution at AMCNI. Foreign currency translation had an unfavorable impact of $5.9 million on distribution revenue.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72" w:right="239" w:bottom="1440" w:gutter="0" w:footer="0" w:header="0"/>
          <w:type w:val="continuous"/>
        </w:sectPr>
      </w:pPr>
    </w:p>
    <w:bookmarkStart w:id="43" w:name="page44"/>
    <w:bookmarkEnd w:id="43"/>
    <w:p>
      <w:pPr>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$56.9 million to $633.5 million for the six months ended June 30, 2017 as compared to the six months ended June 30,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499,315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446,255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53,060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137,756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134,731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3,025</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2.2</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(18.8)</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633,457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576,537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56,920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9.9 %</w:t>
            </w:r>
          </w:p>
        </w:tc>
      </w:tr>
      <w:tr>
        <w:trPr>
          <w:trHeight w:val="23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technical and operating expense in the National Networks segment was primarily attributable to an increase of $52.9 million in program rights amortization expense as a result of continued investment in our original programming. Program rights amortization expense includes write-offs of $1.8 million and $1.1 million for the six months ended June 30, 2017 and June 30, 2016, respectively, based on management’s assessment of programming usefulness.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increase in technical and operating expense in the International and Other segment was driven by an increase of $4.6 million at our developing on-line content distribution business, partially offset by a decrease at IFC Films of $1.9 million due to the timing of investment in the acquisition of films. Foreign currency translation had a favorable impact to the change in technical and operating expense of approximately $6.5 million.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Selling, general and administrative expense decreased $10.7 million to $326.0 million for the six months ended June 30, 2017, as compared to the six months ended June 30,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242,734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253,102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16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w w:val="94"/>
              </w:rPr>
              <w:t>(4.1)%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83,281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83,550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(0.3)</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n/m</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325,982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336,644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(10,662)</w:t>
            </w:r>
          </w:p>
        </w:tc>
        <w:tc>
          <w:tcPr>
            <w:tcW w:w="1680" w:type="dxa"/>
            <w:vAlign w:val="bottom"/>
            <w:tcBorders>
              <w:bottom w:val="single" w:sz="8" w:color="CCEEFF"/>
            </w:tcBorders>
            <w:gridSpan w:val="2"/>
          </w:tcPr>
          <w:p>
            <w:pPr>
              <w:ind w:left="1160"/>
              <w:spacing w:after="0"/>
              <w:rPr>
                <w:sz w:val="20"/>
                <w:szCs w:val="20"/>
                <w:color w:val="auto"/>
              </w:rPr>
            </w:pPr>
            <w:r>
              <w:rPr>
                <w:rFonts w:ascii="Arial" w:cs="Arial" w:eastAsia="Arial" w:hAnsi="Arial"/>
                <w:sz w:val="18"/>
                <w:szCs w:val="18"/>
                <w:color w:val="auto"/>
                <w:w w:val="94"/>
              </w:rPr>
              <w:t>(3.2)%</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 in the National Networks segment decreased $10.4 million principally as a result of a decrease in sales and marketing costs of $15.3 million primarily related to the timing and level of the promotion and marketing of original programming, partially offset by a net increase in long-term incentive compensation expense of $2.9 million for the six months ended June 30, 2017 as compared to the six months ended June 30, 2016.</w:t>
      </w:r>
    </w:p>
    <w:p>
      <w:pPr>
        <w:spacing w:after="0" w:line="1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 the International and Other segment decreased $0.3 million for the six months ended June 30, 2017 as compared to the six months ended June 30, 2016 due principally to a decrease in selling and administrative</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76" w:right="239" w:bottom="1440" w:gutter="0" w:footer="0" w:header="0"/>
          <w:type w:val="continuous"/>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costs of $3.6 million, partially offset by an increase in sales and marketing costs of $3.0 million primarily related to subscriber acquisition costs at our developing on-line content distribution business and a net increase in long-term incentive compensation expense of $0.5 million for the six months ended June 30, 2017 as compared to the six months ended June 30, 2016. Foreign currency translation had a favorable impact to the change in selling, general and administrative expense of approximately $2.6 million.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Restructuring expense of $2.6 million for the six months ended June 30, 2017 relates to corporate headquarter severance charges in connection with the restructuring initiative launched during the second half of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increased $2.9 million to $44.1 million for the six months ended June 30, 2017, as compared to the six months ended June 30,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812</w:t>
            </w: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w w:val="97"/>
              </w:rPr>
              <w:t>5.1%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2,102</w:t>
            </w:r>
          </w:p>
        </w:tc>
        <w:tc>
          <w:tcPr>
            <w:tcW w:w="1660" w:type="dxa"/>
            <w:vAlign w:val="bottom"/>
            <w:gridSpan w:val="2"/>
          </w:tcPr>
          <w:p>
            <w:pPr>
              <w:ind w:left="1240"/>
              <w:spacing w:after="0"/>
              <w:rPr>
                <w:sz w:val="20"/>
                <w:szCs w:val="20"/>
                <w:color w:val="auto"/>
              </w:rPr>
            </w:pPr>
            <w:r>
              <w:rPr>
                <w:rFonts w:ascii="Arial" w:cs="Arial" w:eastAsia="Arial" w:hAnsi="Arial"/>
                <w:sz w:val="18"/>
                <w:szCs w:val="18"/>
                <w:color w:val="auto"/>
              </w:rPr>
              <w:t>8.4</w:t>
            </w: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44,099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41,185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2,914</w:t>
            </w: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w w:val="97"/>
              </w:rPr>
              <w:t>7.1%</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at the National Networks was due to an increase in depreciation expense due to property and equipment additions. The increase in depreciation and amortization expense in the International and Other segment was attributable to an increase in depreciation expense of $3.7 million primarily attributable to accelerated depreciation expense of certain equipment at the AMCNI – DMC business recorded during the three month period ended March 31, 2017, partially offset by a decrease in amortization expense of $1.6 million due to the decrease of long-lived asset balances including equipment and identifiable intangible assets at AMCNI – DMC as a result of impairment charges recorded in the fourth quarter of 2016.</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2017, we classified the assets and liabilities of AMCNI – DMC as held for sale. Assets held for sale are required to be presented at fair value less estimated sale costs, and as a result, we recognized a pre-tax impairment charge of $17.1 million for the six months ended June 30, 2017. Additionally, we expect to recognize a pre-tax loss of approximately $12.1 million in the third quarter of 2017 in conjunction with the sale of AMCNI – DMC, completed on July 12, 2017. The loss on sale may vary due to the finalization of certain purchase price adjustments.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461,230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(34,036)</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207.5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22.0</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407,461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436,691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increase in operating income at the National Networks segment was primarily attributable to an increase in revenue of $48.8 million and a decrease in selling, general and administrative expense of $10.4 million, partially offset by an increase in technical and operating expense of $53.1 million.</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operating income in the International and Other segment was primarily attributable to impairment charges of $17.1 million, a decrease in revenue of $9.7 million, an increase in technical and operating expense of $3.0 million, an increase in restructuring expense of $2.4 million, and an increase in depreciation and amortization of $2.1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407,461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436,691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27,595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8,107</w:t>
            </w:r>
          </w:p>
        </w:tc>
        <w:tc>
          <w:tcPr>
            <w:tcW w:w="1720" w:type="dxa"/>
            <w:vAlign w:val="bottom"/>
            <w:gridSpan w:val="2"/>
          </w:tcPr>
          <w:p>
            <w:pPr>
              <w:jc w:val="right"/>
              <w:ind w:right="156"/>
              <w:spacing w:after="0"/>
              <w:rPr>
                <w:sz w:val="20"/>
                <w:szCs w:val="20"/>
                <w:color w:val="auto"/>
              </w:rPr>
            </w:pPr>
            <w:r>
              <w:rPr>
                <w:rFonts w:ascii="Arial" w:cs="Arial" w:eastAsia="Arial" w:hAnsi="Arial"/>
                <w:sz w:val="18"/>
                <w:szCs w:val="18"/>
                <w:color w:val="auto"/>
              </w:rPr>
              <w:t>41.6</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2,914</w:t>
            </w:r>
          </w:p>
        </w:tc>
        <w:tc>
          <w:tcPr>
            <w:tcW w:w="17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7.1</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498,890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497,718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1,172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AOI increased $1.2 million for the six months ended June 30, 2017 as compared to the six months ended June 30,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(11,085)</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(84.2)</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22.0</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498,890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497,718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National Networks AOI increased principally due to an increase in revenue of $48.8 million and a decrease in selling, general and administrative expenses (excluding stock based compensation) of $17.1 million, partially offset by an increase in technical and operating expenses of $53.1 million resulting primarily from an increase in program rights expense.</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and Other AOI decreased due to a decrease in revenue of $9.7 million and an increase in technical and operating expenses of $3.0 million, partially offset by a decrease in selling, general and administrative expenses (excluding stock based compensation) of $1.6 million. Foreign currency translation had a unfavorable impact on AOI of approximately $1.3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decrease in interest expense, net was driven by a decrease in interest expense of $2.3 million primarily as a result of a decrease in the interest rate on our fixed rate debt due to the early redemption of our 7.75% Notes in March 2016 and an increase in interest income of $4.9 million recorded for the six months ended June 30, 2017, which was primarily driven by interest income earned on term loans entered into with RLJE in October 2016.</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loss on extinguishment of debt for the six months ended June 30, 2016 of $48.3 million represented $39.2 million of premium paid and related fees on the early redemption of our 7.75% Notes as well as a write-off of the related unamortized discount of $8.2 million and unamortized deferred financing costs of $1.0 million.</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increase in miscellaneous, net of $55.6 million for the six months ended June 30, 2017 as compared to the six months ended June 30, 2016 was principally the result of a $38.2 million variance in the foreign currency remeasurement of monetary assets and liabilities that are denominated in currencies other than the underlying functional currency of the applicable entity, primarily intercompany loans. Foreign currency transaction gains were $9.1 million for the six months ended June 30, 2017 as compared to foreign currency transaction losses of $29.2 million for the six months ended June 30, 2016. Certain intercompany loans which were the driver of transactions losses in 2016 were settled in the third quarter of 2016. Miscellaneous, net also includes gains on derivative instruments of $19.6 million primarily related to the RLJE derivatives due to an increase in the stock price of RLJE common stock, and a gain in the fair market value of RLJE common shares held by the Company of $1.3 million, which was recognized during the second quarter upon meeting the criteria to be accounted for as an equity method investment following the exercise of warrants, for which we have elected the fair value option.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six months ended June 30, 2017, income tax expense was $133.3 million, representing an effective tax rate of 35%. The items resulting in variances from the federal statutory rate of 35%, primarily consist of a tax benefit from the domestic</w:t>
      </w:r>
    </w:p>
    <w:p>
      <w:pPr>
        <w:sectPr>
          <w:pgSz w:w="11900" w:h="16838" w:orient="portrait"/>
          <w:cols w:equalWidth="0" w:num="1">
            <w:col w:w="11420"/>
          </w:cols>
          <w:pgMar w:left="240" w:top="47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72" w:right="239" w:bottom="1440" w:gutter="0" w:footer="0" w:header="0"/>
          <w:type w:val="continuous"/>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production activities deduction of $10.3 million, a tax benefit from foreign subsidiary earnings indefinitely reinvested outside the U.S. of $6.7 million, tax expense of $7.5 million resulting from an increase in the valuation allowances for foreign and local taxes, and state and local income tax expense of $6.0 million.</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six months ended June 30, 2016, income tax expense was $97.9 million, representing an effective tax rate of 32%. The effective tax rate differs from the federal statutory rate of 35% due primarily to a tax benefit from the domestic production activities deduction of $9.7 million, a tax benefit from foreign subsidiary earnings indefinitely reinvested outside of the U.S. of $8.9 million, partially offset by state and local income tax expense of $5.3 million, and tax expense of $4.7 million resulting from an increase in the valuation allowance for foreign and local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1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March 4, 2016, our Board of Directors authorized a program to repurchase up to $500 million of the Company’s Class A common stock (the “Stock Repurchase Program”). On June 6, 2017, our Board of Directors authorized an increase of $500 million under the Stock Repurchase Program; for a total authorization of $1.0 billion. As of June 30, 2017, the Company had $532.4 million available for repurchase under the Stock Repurchase Program. For the period July 1, 2017 through July 31, 2017, we repurchased approximately 0.9 million additional shares for $52.0 million.</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debt service, repurchases of outstanding debt and common stock and payments for income taxes. We continue to increase our investment in original programming, the funding of which generally occurs six to nine months in advance of a program’s airing. We expect this increased investment to continue in 2017.</w:t>
      </w:r>
    </w:p>
    <w:p>
      <w:pPr>
        <w:spacing w:after="0" w:line="16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July 28, 2017, AMC Networks issued, and certain of AMC Networks’ subsidiaries (hereinafter, the “Guarantors”) guaranteed, $800 million aggregate principal amount of senior notes due August 1, 2025 (the “4.75% Notes due 2025”) in a registered public offering. AMC Networks used approximately $400 million of the net proceeds to repay loans under the Term Loan A Facility under AMC Networks’ senior secured credit facility and to pay fees and expenses related to the issuance. The remaining proceeds will be used for general corporate purposes. The 4.75% Notes due 2025 were issued pursuant to an indenture, dated as of March 30, 2016, as amended by the Second Supplemental Indenture, dated as of July 28, 2017. The 4.75% Notes due 2025 bear interest at a rate of 4.75% per annum and mature on August 1, 2025. Interest will be payable semiannually on February 1 and August 1 of each year, commencing on February 1, 2018. The 4.75% Notes due 2025 are AMC Networks’ general senior unsecured obligations and will rank equally with all of AMC Networks’ and the Guarantors’ existing and future unsecured and unsubordinated indebtedness, but will be effectively subordinated to all of AMC Networks’ and the guarantors’ existing and future secured indebtedness, including all borrowings and guarantees under the Credit Agreement referred to below, to the extent of the assets securing that indebtedness. The 4.75% Notes due 2025 are subject to redemption on the terms set forth in the Second Supplemental Indenture.</w:t>
      </w:r>
    </w:p>
    <w:p>
      <w:pPr>
        <w:spacing w:after="0" w:line="18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above and (b) a $500 million revolving credit facility (the “Revolving Facility”) that was not drawn upon initially. Under the Credit Agreement, the maturity date of the Term Loan A Facility was extended to July 28, 2023 and the maturity date of the Revolving Facility was extended to July 28, 2022.</w:t>
      </w:r>
    </w:p>
    <w:p>
      <w:pPr>
        <w:spacing w:after="0" w:line="19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Credit Agreement contains certain affirmative and negative covenants applicable to AMC Networks, AMC Network Entertainment LLC and AMC Networks’ restricted subsidiaries. These include restrictions on AMC Networks’ ability to incur indebtedness, make investments in entities that are not “Restricted Subsidiaries” (as defined in the Credit Agreement), place liens on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7" w:name="page48"/>
    <w:bookmarkEnd w:id="47"/>
    <w:p>
      <w:pPr>
        <w:jc w:val="both"/>
        <w:ind w:right="20"/>
        <w:spacing w:after="0" w:line="342" w:lineRule="auto"/>
        <w:rPr>
          <w:sz w:val="20"/>
          <w:szCs w:val="20"/>
          <w:color w:val="auto"/>
        </w:rPr>
      </w:pPr>
      <w:r>
        <w:rPr>
          <w:rFonts w:ascii="Arial" w:cs="Arial" w:eastAsia="Arial" w:hAnsi="Arial"/>
          <w:sz w:val="16"/>
          <w:szCs w:val="16"/>
          <w:color w:val="auto"/>
        </w:rPr>
        <w:t>Agreement) of 6.00:1 initially and decreasing in steps down to 5.00:1 on and after January 1, 2022, subject to increase if AMC Networks consummates any leveraging acquisition; and (ii) a minimum ratio of annual operating cash flow to annual total interest expense (as defined in the Credit Agreement) of 2.50:1.</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June 30, 2017, our consolidated cash and cash equivalents balance includes approximately $107.5 million held by foreign subsidiaries, some of which have earnings that have not been subject to U.S. tax. Repatriation of earnings not previously subject to U.S. tax would generally require us to accrue and pay U.S. tax on such amount. Our consolidated financial statements provide for any related tax liability on amounts that may be repatriated, aside from undistributed earnings of certain of our foreign subsidiaries that are intended to be permanently reinvested or repatriated in a tax-free manner. The amount of such undistributed earnings was approximately $109.0 million as of June 30, 2017. Determination of the amount of unrecognized deferred tax liability for temporary differences related to these earnings is not practicable. As a result of the sale of AMCNI – DMC, which was completed on July 12, 2017, we expect a decrease of undistributed earnings of approximately $80.0 million.</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2016 Form 10-K.</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credit facility was not drawn upon at June 30, 2017. The total undrawn revolver commitment is available to be drawn for our general corporate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June 30, 2017.</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six months ended June 30:</w:t>
      </w:r>
    </w:p>
    <w:p>
      <w:pPr>
        <w:spacing w:after="0" w:line="195"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(82,936)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(24,540)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349,701</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Net cash provided by operating activities amounted to $166.0 million for the six months ended June 30, 2017 as compared to $229.6 million for the six months ended June 30, 2016. Net cash provided by operating activities for the six months ended June 30, 2017 primarily resulted from $766.0 million of net income before amortization of program rights, depreciation and amortization, impairment charges, and other non-cash items, which was partially offset by payments for program rights of $458.5 million, an increase in accounts receivable, trade of $43.5 million primarily related to an increase in other distribution revenue, a decrease in accounts payable, accrued expenses and other liabilities of $43.6 million primarily related to lower employee related liabilities, an increase in prepaid expense and other assets of $31.1 million, a decrease in income taxes payable of $10.1 million and a decrease in deferred revenue of $9.9 million.</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operating activities for the six months ended June 30, 2016 primarily resulted from $731.2 million of net income before amortization of program rights, loss on extinguishment of debt, depreciation and amortization, and other non-cash items, which was partially offset by payments for program rights of $466.3 million, an increase in accounts receivable, trade</w:t>
      </w:r>
    </w:p>
    <w:p>
      <w:pPr>
        <w:sectPr>
          <w:pgSz w:w="11900" w:h="16838" w:orient="portrait"/>
          <w:cols w:equalWidth="0" w:num="1">
            <w:col w:w="11420"/>
          </w:cols>
          <w:pgMar w:left="240" w:top="47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76" w:right="239" w:bottom="1440" w:gutter="0" w:footer="0" w:header="0"/>
          <w:type w:val="continuous"/>
        </w:sectPr>
      </w:pPr>
    </w:p>
    <w:bookmarkStart w:id="48" w:name="page49"/>
    <w:bookmarkEnd w:id="48"/>
    <w:p>
      <w:pPr>
        <w:jc w:val="both"/>
        <w:spacing w:after="0" w:line="308" w:lineRule="auto"/>
        <w:rPr>
          <w:sz w:val="20"/>
          <w:szCs w:val="20"/>
          <w:color w:val="auto"/>
        </w:rPr>
      </w:pPr>
      <w:r>
        <w:rPr>
          <w:rFonts w:ascii="Arial" w:cs="Arial" w:eastAsia="Arial" w:hAnsi="Arial"/>
          <w:sz w:val="17"/>
          <w:szCs w:val="17"/>
          <w:color w:val="auto"/>
        </w:rPr>
        <w:t>of $45.5 million primarily related to timing of cash receipts, and an increase in prepaid expenses and other assets of $17.1 million. Additionally, net cash provided by operating activities increased due to an increase in deferred revenue of $29.3 million primarily related to advertising arrangements.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Net cash used in investing activities for the six months ended June 30, 2017 and 2016 was $82.9 million and $24.5 million, respectively. For the six months ended June 30, 2017, cash used in investing activities included investments and loans to investees of $43.0 million and capital expenditures of $39.9 million. For the six months ended June 30, 2016, cash used in investing activities was primarily related to capital expenditures, which totaled $24.2 million.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Net cash used in financing activities amounted to $384.2 million for the six months ended June 30, 2017 as compared to net cash provided by financing activities of $144.7 million for the six months ended June 30, 2016. For the six months ended June 30, 2017, financing activities primarily consisted of purchases of our common stock of $244.4 million under our Stock Repurchase Program and scheduled repayments of principal on the Company’s Term A loan facility of $111.0 million. In addition, net cash used in financing activities for the six months ended June 30, 2017 included taxes paid in lieu of shares issued for equity-based compensation of $13.4 million and distributions to a noncontrolling member of $12.9 million.</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six months ended June 30, 2016, financing activities primarily consisted of cash provided by the issuance of $1.0 billion of 5.00% Notes, net of an issuance discount of $17.5 million, offset by principal payments on long term debt of $728.4 million which included the repayment of $654.0 million of the Company’s 7.75% Notes pursuant to the Tender Offer, as well as scheduled repayments of principal on the Company’s Term A Loan Facility of $74.0 million. In addition, net cash used in financing activities includes purchases of treasury stock of $48.2 million under our Stock Repurchase Program, premium payments and fees for the Tender Offer of $39.2 million, taxes paid in lieu of shares issued for equity-based compensation of $10.8 million and distributions to a noncontrolling member of $9.0 million.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2017, our contractual obligations not reflected on the condensed consolidated balance sheet increased $46.3 million to $1.4 billion. The increase relates primarily to payment guarantees to a production service company for certain production related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We describe our significant accounting policies in Note 2 to the Company’s Consolidated Financial Statements included in our 2016 Form 10-K. We discuss our critical accounting estimates in Item 7, “Management’s Discussion and Analysis of Financial Condition and Results of Operations,” in the same 2016 Form 10-K. There have been no significant changes in our significant accounting policies or critical accounting estimates since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June 30, 2017, the fair value of our fixed rate debt of $1.64 billion was more than its carrying value of $1.58 billion by approximately $68 million. The fair value of these financial instruments is estimated based on reference to quoted market prices for these or comparable securities. A hypothetical 100 basis point decrease in interest rates prevailing at June 30, 2017 would increase the estimated fair value of our fixed rate debt by approximately $47.0 million to approximately $1.7 billion.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6" w:right="239" w:bottom="1440" w:gutter="0" w:footer="0" w:header="0"/>
        </w:sectPr>
      </w:pPr>
    </w:p>
    <w:bookmarkStart w:id="49" w:name="page50"/>
    <w:bookmarkEnd w:id="49"/>
    <w:p>
      <w:pPr>
        <w:jc w:val="both"/>
        <w:ind w:firstLine="432"/>
        <w:spacing w:after="0" w:line="277" w:lineRule="auto"/>
        <w:rPr>
          <w:sz w:val="20"/>
          <w:szCs w:val="20"/>
          <w:color w:val="auto"/>
        </w:rPr>
      </w:pPr>
      <w:r>
        <w:rPr>
          <w:rFonts w:ascii="Arial" w:cs="Arial" w:eastAsia="Arial" w:hAnsi="Arial"/>
          <w:sz w:val="18"/>
          <w:szCs w:val="18"/>
          <w:color w:val="auto"/>
        </w:rPr>
        <w:t>As of June 30, 2017, we had $2.7 billion of debt outstanding (excluding capital leases), of which $1.1 billion is outstanding under the credit facility and is subject to variable interest rates (before consideration of the interest rate swaps contracts described below).</w:t>
      </w:r>
    </w:p>
    <w:p>
      <w:pPr>
        <w:spacing w:after="0" w:line="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30, 2017, we had interest rate swap contracts outstanding with notional amounts aggregating $300.0 million. The aggregate fair value of interest rate swap contracts at June 30, 2017 was a net asset of $1.6 million. As a result of these transactions, the interest rate paid on approximately 69% of the Company’s debt (excluding capital leases) as of June 30, 2017 is effectively fixed (58% being fixed rate obligations and 11% effectively fixed through utilization of these interest rate swap contracts). Accumulated other comprehensive loss includes $0.5 million of cumulative unrealized gains, net of tax, on the portion of floating-to-fixed interest rate swap contracts designated as cash flow hedges. At June 30, 2017, our interest rate swap contracts designated as cash flow hedges were highly effective, in all material respects.</w:t>
      </w:r>
    </w:p>
    <w:p>
      <w:pPr>
        <w:spacing w:after="0" w:line="112" w:lineRule="exact"/>
        <w:rPr>
          <w:sz w:val="20"/>
          <w:szCs w:val="20"/>
          <w:color w:val="auto"/>
        </w:rPr>
      </w:pPr>
    </w:p>
    <w:p>
      <w:pPr>
        <w:ind w:right="280" w:firstLine="432"/>
        <w:spacing w:after="0" w:line="430" w:lineRule="auto"/>
        <w:rPr>
          <w:sz w:val="20"/>
          <w:szCs w:val="20"/>
          <w:color w:val="auto"/>
        </w:rPr>
      </w:pPr>
      <w:r>
        <w:rPr>
          <w:rFonts w:ascii="Arial" w:cs="Arial" w:eastAsia="Arial" w:hAnsi="Arial"/>
          <w:sz w:val="18"/>
          <w:szCs w:val="18"/>
          <w:color w:val="auto"/>
        </w:rPr>
        <w:t xml:space="preserve">A hypothetical 100 basis point increase in interest rates prevailing at June 30, 2017 would not have a material impact on our annual interest expense. </w:t>
      </w:r>
      <w:r>
        <w:rPr>
          <w:rFonts w:ascii="Arial" w:cs="Arial" w:eastAsia="Arial" w:hAnsi="Arial"/>
          <w:sz w:val="18"/>
          <w:szCs w:val="18"/>
          <w:b w:val="1"/>
          <w:bCs w:val="1"/>
          <w:color w:val="auto"/>
        </w:rPr>
        <w:t>Managing our Foreign Currency Exchange Rate Risk</w:t>
      </w:r>
    </w:p>
    <w:p>
      <w:pPr>
        <w:spacing w:after="0" w:line="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$8.6 million and $9.1 million of foreign currency transaction gains, net for the three and six months ended June 30, 2017, respectively. Such amounts are included in Miscellaneous, net in the condensed consolidated statement of income.</w:t>
      </w:r>
    </w:p>
    <w:p>
      <w:pPr>
        <w:spacing w:after="0" w:line="12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June 30, 2017,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six months ended June 30, 2017, there were no changes in the Company’s internal control over financial reporting, that have materially affected, or are reasonably likely to materially affect, the Company’s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3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Since our 2016 Form 10-K, there have been no material developments in legal proceedings in which we are involved. See Note 11, Commitments and Contingencies to the condensed consolidated financial statements included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June 30,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2017 to April 30, 2017</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641,817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641,817</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147,414,634</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May 1, 2017 to May 31, 2017</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899,100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899,100</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98,299,639</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2017 to June 30, 2017</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1,209,767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1,209,767</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532,388,511</w:t>
            </w:r>
          </w:p>
        </w:tc>
      </w:tr>
      <w:tr>
        <w:trPr>
          <w:trHeight w:val="25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2,750,684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2,750,684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Indenture, dated as of March 30, 2016, by and among AMC Networks Inc., as Issuer, each of the guarantors party thereto and U.S. Bank</w:t>
            </w:r>
          </w:p>
        </w:tc>
      </w:tr>
      <w:tr>
        <w:trPr>
          <w:trHeight w:val="216"/>
        </w:trPr>
        <w:tc>
          <w:tcPr>
            <w:tcW w:w="11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National Association, as Trustee (incorporated by reference to Exhibit 4.1 to the Company’s Current Report on Form 8-K filed on July 28,</w:t>
            </w:r>
          </w:p>
        </w:tc>
      </w:tr>
      <w:tr>
        <w:trPr>
          <w:trHeight w:val="230"/>
        </w:trPr>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10120" w:type="dxa"/>
            <w:vAlign w:val="bottom"/>
            <w:gridSpan w:val="3"/>
          </w:tcPr>
          <w:p>
            <w:pPr>
              <w:spacing w:after="0"/>
              <w:rPr>
                <w:sz w:val="20"/>
                <w:szCs w:val="20"/>
                <w:color w:val="auto"/>
              </w:rPr>
            </w:pPr>
            <w:r>
              <w:rPr>
                <w:rFonts w:ascii="Arial" w:cs="Arial" w:eastAsia="Arial" w:hAnsi="Arial"/>
                <w:sz w:val="18"/>
                <w:szCs w:val="18"/>
                <w:color w:val="auto"/>
                <w:w w:val="90"/>
              </w:rPr>
              <w:t>First Supplemental Indenture, dated as of March 30, 2016, to the Indenture, dated as of March 30, 2016, by and among AMC Networks Inc.,</w:t>
            </w:r>
          </w:p>
        </w:tc>
      </w:tr>
      <w:tr>
        <w:trPr>
          <w:trHeight w:val="216"/>
        </w:trPr>
        <w:tc>
          <w:tcPr>
            <w:tcW w:w="11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as Issuer, each of the guarantors party thereto and U.S. Bank National Association, as Trustee, relating to the AMC Networks Inc. 5.00%</w:t>
            </w:r>
          </w:p>
        </w:tc>
      </w:tr>
      <w:tr>
        <w:trPr>
          <w:trHeight w:val="216"/>
        </w:trPr>
        <w:tc>
          <w:tcPr>
            <w:tcW w:w="11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Senior Notes due April 1, 2024 (incorporated by reference to Exhibit 4.1 to the Company’s Current Report on Form 8-K filed on March 30,</w:t>
            </w:r>
          </w:p>
        </w:tc>
      </w:tr>
      <w:tr>
        <w:trPr>
          <w:trHeight w:val="230"/>
        </w:trPr>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10120" w:type="dxa"/>
            <w:vAlign w:val="bottom"/>
            <w:gridSpan w:val="3"/>
          </w:tcPr>
          <w:p>
            <w:pPr>
              <w:spacing w:after="0"/>
              <w:rPr>
                <w:sz w:val="20"/>
                <w:szCs w:val="20"/>
                <w:color w:val="auto"/>
              </w:rPr>
            </w:pPr>
            <w:r>
              <w:rPr>
                <w:rFonts w:ascii="Arial" w:cs="Arial" w:eastAsia="Arial" w:hAnsi="Arial"/>
                <w:sz w:val="18"/>
                <w:szCs w:val="18"/>
                <w:color w:val="auto"/>
                <w:w w:val="90"/>
              </w:rPr>
              <w:t>Second Supplemental Indenture, dated as of July 28, 2017 to the Indenture, dated as of March 30, 2016, by and among AMC Networks Inc.,</w:t>
            </w:r>
          </w:p>
        </w:tc>
      </w:tr>
      <w:tr>
        <w:trPr>
          <w:trHeight w:val="216"/>
        </w:trPr>
        <w:tc>
          <w:tcPr>
            <w:tcW w:w="11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as Issuer, each of the guarantors party thereto and U.S. Bank National Association, as Trustee, relating to the AMC Networks Inc. 4.75%</w:t>
            </w:r>
          </w:p>
        </w:tc>
      </w:tr>
      <w:tr>
        <w:trPr>
          <w:trHeight w:val="216"/>
        </w:trPr>
        <w:tc>
          <w:tcPr>
            <w:tcW w:w="11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2"/>
              </w:rPr>
              <w:t>Senior Notes due August 1, 2025 (incorporated by reference to Exhibit 4.2 to the Company’s Current Report on Form 8-K filed on July 28,</w:t>
            </w:r>
          </w:p>
        </w:tc>
      </w:tr>
      <w:tr>
        <w:trPr>
          <w:trHeight w:val="230"/>
        </w:trPr>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3"/>
          </w:tcPr>
          <w:p>
            <w:pPr>
              <w:spacing w:after="0"/>
              <w:rPr>
                <w:sz w:val="20"/>
                <w:szCs w:val="20"/>
                <w:color w:val="auto"/>
              </w:rPr>
            </w:pPr>
            <w:r>
              <w:rPr>
                <w:rFonts w:ascii="Arial" w:cs="Arial" w:eastAsia="Arial" w:hAnsi="Arial"/>
                <w:sz w:val="18"/>
                <w:szCs w:val="18"/>
                <w:color w:val="auto"/>
                <w:w w:val="91"/>
              </w:rPr>
              <w:t>Second Amended and Restated Credit Agreement, dated July 28, 2017, among AMC Networks Inc. and AMC Network Entertainment LLC,</w:t>
            </w:r>
          </w:p>
        </w:tc>
      </w:tr>
      <w:tr>
        <w:trPr>
          <w:trHeight w:val="216"/>
        </w:trPr>
        <w:tc>
          <w:tcPr>
            <w:tcW w:w="11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0"/>
              </w:rPr>
              <w:t>as the Initial Borrowers, certain subsidiaries of AMC Networks Inc. named therein, as restricted subsidiaries, the lenders party thereto, Bank</w:t>
            </w:r>
          </w:p>
        </w:tc>
      </w:tr>
      <w:tr>
        <w:trPr>
          <w:trHeight w:val="216"/>
        </w:trPr>
        <w:tc>
          <w:tcPr>
            <w:tcW w:w="11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7"/>
              </w:rPr>
              <w:t>of America, N.A., as an L/C Issuer, and JPMorgan Chase Bank, N.A., as Administrative Agent, Collateral Agent and an L/C Issuer</w:t>
            </w:r>
          </w:p>
        </w:tc>
      </w:tr>
      <w:tr>
        <w:trPr>
          <w:trHeight w:val="230"/>
        </w:trPr>
        <w:tc>
          <w:tcPr>
            <w:tcW w:w="114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(incorporated by reference to Exhibit 10.1 to the Company’s Current Report on Form 8-K filed on July 28, 2017).</w:t>
            </w:r>
          </w:p>
        </w:tc>
      </w:tr>
      <w:tr>
        <w:trPr>
          <w:trHeight w:val="351"/>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2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Chief Executive Officer pursuant to Section 302 of the Sarbanes-Oxley Act of 2002.</w:t>
              </w:r>
            </w:hyperlink>
          </w:p>
        </w:tc>
        <w:tc>
          <w:tcPr>
            <w:tcW w:w="288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7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20" w:hanging="1145"/>
        <w:spacing w:after="0" w:line="277" w:lineRule="auto"/>
        <w:tabs>
          <w:tab w:leader="none" w:pos="1180" w:val="left"/>
        </w:tabs>
        <w:numPr>
          <w:ilvl w:val="0"/>
          <w:numId w:val="13"/>
        </w:numPr>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Section 1350.</w:t>
        </w:r>
      </w:hyperlink>
    </w:p>
    <w:p>
      <w:pPr>
        <w:spacing w:after="0" w:line="130"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color w:val="auto"/>
        </w:rPr>
      </w:pPr>
    </w:p>
    <w:p>
      <w:pPr>
        <w:sectPr>
          <w:pgSz w:w="11900" w:h="16838" w:orient="portrait"/>
          <w:cols w:equalWidth="0" w:num="1">
            <w:col w:w="11400"/>
          </w:cols>
          <w:pgMar w:left="240" w:top="472" w:right="259" w:bottom="1440" w:gutter="0" w:footer="0" w:header="0"/>
        </w:sectPr>
      </w:pPr>
    </w:p>
    <w:p>
      <w:pPr>
        <w:spacing w:after="0" w:line="5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472" w:right="25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June 30, 2017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3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2019-12-29T05:29:09Z</dcterms:created>
  <dcterms:modified xsi:type="dcterms:W3CDTF">2019-12-29T05:29:09Z</dcterms:modified>
</cp:coreProperties>
</file>