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193040</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144145</wp:posOffset>
            </wp:positionV>
            <wp:extent cx="2855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1420" w:hanging="541"/>
        <w:spacing w:after="0"/>
        <w:tabs>
          <w:tab w:leader="none" w:pos="1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1420" w:hanging="541"/>
        <w:spacing w:after="0"/>
        <w:tabs>
          <w:tab w:leader="none" w:pos="1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6" w:lineRule="exact"/>
        <w:rPr>
          <w:sz w:val="24"/>
          <w:szCs w:val="24"/>
          <w:color w:val="auto"/>
        </w:rPr>
      </w:pPr>
    </w:p>
    <w:p>
      <w:pPr>
        <w:ind w:left="426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214630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AMC Networks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137795</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2100" w:type="dxa"/>
        <w:tblCellMar>
          <w:top w:w="0" w:type="dxa"/>
          <w:left w:w="0" w:type="dxa"/>
          <w:bottom w:w="0" w:type="dxa"/>
          <w:right w:w="0" w:type="dxa"/>
        </w:tblCellMar>
      </w:tblPr>
      <w:tr>
        <w:trPr>
          <w:trHeight w:val="234"/>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5360" w:type="dxa"/>
            <w:vAlign w:val="bottom"/>
            <w:gridSpan w:val="2"/>
          </w:tcPr>
          <w:p>
            <w:pPr>
              <w:jc w:val="center"/>
              <w:ind w:right="2928"/>
              <w:spacing w:after="0"/>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360" w:type="dxa"/>
            <w:vAlign w:val="bottom"/>
            <w:gridSpan w:val="2"/>
          </w:tcPr>
          <w:p>
            <w:pPr>
              <w:jc w:val="center"/>
              <w:ind w:right="2928"/>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89"/>
              </w:rPr>
              <w:t>11 Penn Plaza,</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95"/>
              </w:rPr>
              <w:t>New York, NY</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10001</w:t>
            </w:r>
          </w:p>
        </w:tc>
      </w:tr>
      <w:tr>
        <w:trPr>
          <w:trHeight w:val="218"/>
        </w:trPr>
        <w:tc>
          <w:tcPr>
            <w:tcW w:w="5360" w:type="dxa"/>
            <w:vAlign w:val="bottom"/>
            <w:gridSpan w:val="2"/>
          </w:tcPr>
          <w:p>
            <w:pPr>
              <w:jc w:val="center"/>
              <w:ind w:right="29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5360" w:type="dxa"/>
            <w:vAlign w:val="bottom"/>
            <w:gridSpan w:val="2"/>
          </w:tcPr>
          <w:p>
            <w:pPr>
              <w:jc w:val="right"/>
              <w:ind w:right="1108"/>
              <w:spacing w:after="0"/>
              <w:rPr>
                <w:sz w:val="20"/>
                <w:szCs w:val="20"/>
                <w:color w:val="auto"/>
              </w:rPr>
            </w:pPr>
            <w:r>
              <w:rPr>
                <w:rFonts w:ascii="Arial" w:cs="Arial" w:eastAsia="Arial" w:hAnsi="Arial"/>
                <w:sz w:val="18"/>
                <w:szCs w:val="18"/>
                <w:b w:val="1"/>
                <w:bCs w:val="1"/>
                <w:color w:val="auto"/>
              </w:rPr>
              <w:t>(212) 324-8500</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8"/>
        </w:trPr>
        <w:tc>
          <w:tcPr>
            <w:tcW w:w="1360" w:type="dxa"/>
            <w:vAlign w:val="bottom"/>
          </w:tcPr>
          <w:p>
            <w:pPr>
              <w:spacing w:after="0"/>
              <w:rPr>
                <w:sz w:val="18"/>
                <w:szCs w:val="18"/>
                <w:color w:val="auto"/>
              </w:rPr>
            </w:pPr>
          </w:p>
        </w:tc>
        <w:tc>
          <w:tcPr>
            <w:tcW w:w="4000" w:type="dxa"/>
            <w:vAlign w:val="bottom"/>
          </w:tcPr>
          <w:p>
            <w:pPr>
              <w:jc w:val="center"/>
              <w:ind w:left="4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8"/>
        </w:trPr>
        <w:tc>
          <w:tcPr>
            <w:tcW w:w="1360" w:type="dxa"/>
            <w:vAlign w:val="bottom"/>
          </w:tcPr>
          <w:p>
            <w:pPr>
              <w:spacing w:after="0"/>
              <w:rPr>
                <w:sz w:val="16"/>
                <w:szCs w:val="16"/>
                <w:color w:val="auto"/>
              </w:rPr>
            </w:pPr>
          </w:p>
        </w:tc>
        <w:tc>
          <w:tcPr>
            <w:tcW w:w="4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r>
    </w:tbl>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(as defined in Exchange Act Rule 12b-2).</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2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280" w:type="dxa"/>
            <w:vAlign w:val="bottom"/>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124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280" w:type="dxa"/>
            <w:vAlign w:val="bottom"/>
          </w:tcPr>
          <w:p>
            <w:pPr>
              <w:spacing w:after="0"/>
              <w:rPr>
                <w:sz w:val="20"/>
                <w:szCs w:val="20"/>
                <w:color w:val="auto"/>
              </w:rPr>
            </w:pPr>
            <w:r>
              <w:rPr>
                <w:rFonts w:ascii="Arial" w:cs="Arial" w:eastAsia="Arial" w:hAnsi="Arial"/>
                <w:sz w:val="18"/>
                <w:szCs w:val="18"/>
                <w:color w:val="auto"/>
              </w:rPr>
              <w:t>The number of shares of common stock outstanding as of May 4, 2018:</w:t>
            </w:r>
          </w:p>
        </w:tc>
        <w:tc>
          <w:tcPr>
            <w:tcW w:w="1240" w:type="dxa"/>
            <w:vAlign w:val="bottom"/>
          </w:tcPr>
          <w:p>
            <w:pPr>
              <w:spacing w:after="0"/>
              <w:rPr>
                <w:sz w:val="24"/>
                <w:szCs w:val="24"/>
                <w:color w:val="auto"/>
              </w:rPr>
            </w:pPr>
          </w:p>
        </w:tc>
      </w:tr>
      <w:tr>
        <w:trPr>
          <w:trHeight w:val="432"/>
        </w:trPr>
        <w:tc>
          <w:tcPr>
            <w:tcW w:w="8280" w:type="dxa"/>
            <w:vAlign w:val="bottom"/>
          </w:tcPr>
          <w:p>
            <w:pPr>
              <w:ind w:left="1300"/>
              <w:spacing w:after="0"/>
              <w:rPr>
                <w:sz w:val="20"/>
                <w:szCs w:val="20"/>
                <w:color w:val="auto"/>
              </w:rPr>
            </w:pPr>
            <w:r>
              <w:rPr>
                <w:rFonts w:ascii="Arial" w:cs="Arial" w:eastAsia="Arial" w:hAnsi="Arial"/>
                <w:sz w:val="18"/>
                <w:szCs w:val="18"/>
                <w:color w:val="auto"/>
              </w:rPr>
              <w:t>Class A Common Stock par value $0.01 per share</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w w:val="99"/>
              </w:rPr>
              <w:t>45,975,467</w:t>
            </w:r>
          </w:p>
        </w:tc>
      </w:tr>
      <w:tr>
        <w:trPr>
          <w:trHeight w:val="270"/>
        </w:trPr>
        <w:tc>
          <w:tcPr>
            <w:tcW w:w="8280" w:type="dxa"/>
            <w:vAlign w:val="bottom"/>
          </w:tcPr>
          <w:p>
            <w:pPr>
              <w:ind w:left="1300"/>
              <w:spacing w:after="0"/>
              <w:rPr>
                <w:sz w:val="20"/>
                <w:szCs w:val="20"/>
                <w:color w:val="auto"/>
              </w:rPr>
            </w:pPr>
            <w:r>
              <w:rPr>
                <w:rFonts w:ascii="Arial" w:cs="Arial" w:eastAsia="Arial" w:hAnsi="Arial"/>
                <w:sz w:val="18"/>
                <w:szCs w:val="18"/>
                <w:color w:val="auto"/>
              </w:rPr>
              <w:t>Class B Common Stock par value $0.01 per share</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w w:val="99"/>
              </w:rPr>
              <w:t>11,484,408</w:t>
            </w:r>
          </w:p>
        </w:tc>
      </w:tr>
    </w:tbl>
    <w:p>
      <w:pPr>
        <w:sectPr>
          <w:pgSz w:w="11900" w:h="16838" w:orient="portrait"/>
          <w:cols w:equalWidth="0" w:num="1">
            <w:col w:w="11420"/>
          </w:cols>
          <w:pgMar w:left="240" w:top="517"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AMC NETWORKS INC. AND SUBSIDIARIES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58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7400" w:type="dxa"/>
            <w:vAlign w:val="bottom"/>
            <w:gridSpan w:val="7"/>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708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w:t>
              </w:r>
            </w:hyperlink>
          </w:p>
        </w:tc>
        <w:tc>
          <w:tcPr>
            <w:tcW w:w="6600" w:type="dxa"/>
            <w:vAlign w:val="bottom"/>
            <w:gridSpan w:val="5"/>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544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6300" w:type="dxa"/>
            <w:vAlign w:val="bottom"/>
            <w:gridSpan w:val="4"/>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602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7020" w:type="dxa"/>
            <w:vAlign w:val="bottom"/>
            <w:gridSpan w:val="15"/>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2. Management’s Discussion and Analysis of Financial Condition and Results of Operations</w:t>
              </w:r>
            </w:hyperlink>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900" w:type="dxa"/>
            <w:vAlign w:val="bottom"/>
            <w:gridSpan w:val="14"/>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Item 3. Quantitative and Qualitative Disclosures About Market Risk</w:t>
              </w:r>
            </w:hyperlink>
          </w:p>
        </w:tc>
        <w:tc>
          <w:tcPr>
            <w:tcW w:w="21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544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Item 4.</w:t>
              </w:r>
            </w:hyperlink>
          </w:p>
        </w:tc>
        <w:tc>
          <w:tcPr>
            <w:tcW w:w="4360" w:type="dxa"/>
            <w:vAlign w:val="bottom"/>
            <w:gridSpan w:val="12"/>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1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Item 1.</w:t>
              </w:r>
            </w:hyperlink>
          </w:p>
        </w:tc>
        <w:tc>
          <w:tcPr>
            <w:tcW w:w="19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782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Item 2.</w:t>
              </w:r>
            </w:hyperlink>
          </w:p>
        </w:tc>
        <w:tc>
          <w:tcPr>
            <w:tcW w:w="9800" w:type="dxa"/>
            <w:vAlign w:val="bottom"/>
            <w:gridSpan w:val="14"/>
          </w:tcPr>
          <w:p>
            <w:pPr>
              <w:ind w:left="20"/>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740" w:type="dxa"/>
            <w:vAlign w:val="bottom"/>
            <w:gridSpan w:val="10"/>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Item 6.</w:t>
              </w:r>
            </w:hyperlink>
          </w:p>
        </w:tc>
        <w:tc>
          <w:tcPr>
            <w:tcW w:w="620" w:type="dxa"/>
            <w:vAlign w:val="bottom"/>
            <w:gridSpan w:val="2"/>
          </w:tcPr>
          <w:p>
            <w:pPr>
              <w:ind w:left="20"/>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Exhibits</w:t>
              </w:r>
            </w:hyperlink>
          </w:p>
        </w:tc>
        <w:tc>
          <w:tcPr>
            <w:tcW w:w="3740" w:type="dxa"/>
            <w:vAlign w:val="bottom"/>
            <w:gridSpan w:val="10"/>
          </w:tcPr>
          <w:p>
            <w:pPr>
              <w:spacing w:after="0"/>
              <w:rPr>
                <w:sz w:val="21"/>
                <w:szCs w:val="21"/>
                <w:color w:val="auto"/>
              </w:rPr>
            </w:pPr>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18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EE"/>
                <w:w w:val="96"/>
              </w:rPr>
            </w:pPr>
            <w:hyperlink w:anchor="page45">
              <w:r>
                <w:rPr>
                  <w:rFonts w:ascii="Arial" w:cs="Arial" w:eastAsia="Arial" w:hAnsi="Arial"/>
                  <w:sz w:val="18"/>
                  <w:szCs w:val="18"/>
                  <w:b w:val="1"/>
                  <w:bCs w:val="1"/>
                  <w:color w:val="0000EE"/>
                  <w:w w:val="96"/>
                </w:rPr>
                <w:t>SIGNATURES</w:t>
              </w:r>
            </w:hyperlink>
          </w:p>
        </w:tc>
        <w:tc>
          <w:tcPr>
            <w:tcW w:w="942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63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rPr>
          <w:sz w:val="20"/>
          <w:szCs w:val="20"/>
          <w:color w:val="auto"/>
        </w:rPr>
      </w:pPr>
      <w:r>
        <w:rPr>
          <w:rFonts w:ascii="Arial" w:cs="Arial" w:eastAsia="Arial" w:hAnsi="Arial"/>
          <w:sz w:val="18"/>
          <w:szCs w:val="18"/>
          <w:b w:val="1"/>
          <w:bCs w:val="1"/>
          <w:color w:val="auto"/>
        </w:rPr>
        <w:t>Item 1. Financial Statements.</w:t>
      </w:r>
    </w:p>
    <w:p>
      <w:pPr>
        <w:ind w:left="4040"/>
        <w:spacing w:after="0"/>
        <w:rPr>
          <w:sz w:val="20"/>
          <w:szCs w:val="20"/>
          <w:color w:val="auto"/>
        </w:rPr>
      </w:pPr>
      <w:r>
        <w:rPr>
          <w:rFonts w:ascii="Arial" w:cs="Arial" w:eastAsia="Arial" w:hAnsi="Arial"/>
          <w:sz w:val="16"/>
          <w:szCs w:val="16"/>
          <w:b w:val="1"/>
          <w:bCs w:val="1"/>
          <w:color w:val="auto"/>
        </w:rPr>
        <w:t>AMC NETWORKS INC. AND SUBSIDIARIES</w:t>
      </w:r>
    </w:p>
    <w:p>
      <w:pPr>
        <w:ind w:left="378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12"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Pr>
          <w:p>
            <w:pPr>
              <w:spacing w:after="0"/>
              <w:rPr>
                <w:sz w:val="18"/>
                <w:szCs w:val="18"/>
                <w:color w:val="auto"/>
              </w:rPr>
            </w:pPr>
          </w:p>
        </w:tc>
        <w:tc>
          <w:tcPr>
            <w:tcW w:w="164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558,783</w:t>
            </w: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9"/>
              </w:rPr>
              <w:t>Accounts receivable, trade (including amounts due from related parties, net, less allowance for doubtful</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accounts of $9,687 and $9,691)</w:t>
            </w:r>
          </w:p>
        </w:tc>
        <w:tc>
          <w:tcPr>
            <w:tcW w:w="26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793,275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775,891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program rights,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453,450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102,058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91,726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1,889,454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1,879,850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Property and equipment, net of accumulated depreciation of $271,443 and $259,919</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185,440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183,514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Program rights,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1,279,589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1,319,279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carriage fees,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27,172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29,924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452,395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457,242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707,654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695,158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549,932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447,937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5,113,367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5,032,985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96,816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102,197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263,076</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program rights obligations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326,862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327,549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46,433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4,771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4,847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715,666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744,102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Program rights obligations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491,527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534,980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3,101,138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3,099,257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25,233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26,277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109,698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153,167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136,122</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4,631,890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4,650,436</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220,366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218,604</w:t>
            </w:r>
          </w:p>
        </w:tc>
        <w:tc>
          <w:tcPr>
            <w:tcW w:w="0" w:type="dxa"/>
            <w:vAlign w:val="bottom"/>
          </w:tcPr>
          <w:p>
            <w:pPr>
              <w:spacing w:after="0"/>
              <w:rPr>
                <w:sz w:val="1"/>
                <w:szCs w:val="1"/>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Class A Common Stock, $0.01 par value, 360,000 shares authorized, 63,139 and 62,721 shares issued and 48,372</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and 49,601 shares outstanding,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Paid-in capital</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182,278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191,303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766,725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Treasury stock, at cost (14,767 and 13,120 shares Class A Common Stock, respectively)</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(793,078)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(709,440)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(114,386)</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AMC Networks stockholders' equity</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230,744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134,944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Non-redeemable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29,001</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261,111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163,945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5,113,367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5,032,985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ind w:left="404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STATEMENTS OF INCOME</w:t>
      </w:r>
    </w:p>
    <w:p>
      <w:pPr>
        <w:ind w:left="43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43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r>
      <w:tr>
        <w:trPr>
          <w:trHeight w:val="33"/>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 (including revenues, net from related parties of $1,627 and $1,567, respectively)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740,823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720,189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298,612</w:t>
            </w:r>
          </w:p>
        </w:tc>
      </w:tr>
      <w:tr>
        <w:trPr>
          <w:trHeight w:val="243"/>
        </w:trPr>
        <w:tc>
          <w:tcPr>
            <w:tcW w:w="8120" w:type="dxa"/>
            <w:vAlign w:val="bottom"/>
          </w:tcPr>
          <w:p>
            <w:pPr>
              <w:ind w:left="360"/>
              <w:spacing w:after="0"/>
              <w:rPr>
                <w:sz w:val="20"/>
                <w:szCs w:val="20"/>
                <w:color w:val="auto"/>
              </w:rPr>
            </w:pPr>
            <w:r>
              <w:rPr>
                <w:rFonts w:ascii="Arial" w:cs="Arial" w:eastAsia="Arial" w:hAnsi="Arial"/>
                <w:sz w:val="18"/>
                <w:szCs w:val="18"/>
                <w:color w:val="auto"/>
                <w:w w:val="91"/>
              </w:rPr>
              <w:t>Selling, general and administrative (including charges from related parties of $462 and $575, respectively)</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166,449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163,709</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23,493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2,704</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507,168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488,518</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233,655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231,671</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(38,205)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(30,500)</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16,946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11,049</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217,415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215,713</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(73,082)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160,536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142,631</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AMC Networks' stockholders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156,870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136,217</w:t>
            </w:r>
          </w:p>
        </w:tc>
      </w:tr>
      <w:tr>
        <w:trPr>
          <w:trHeight w:val="217"/>
        </w:trPr>
        <w:tc>
          <w:tcPr>
            <w:tcW w:w="8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8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Weighted average common shares: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Diluted weighted average common shares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61,719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68,764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33"/>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142,631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9,864</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Unrealized gain on interest rate swaps</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available for sale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4,021</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Other comprehensive income, before income taxes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18,805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14,204</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Other comprehensive income, net of income taxes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18,805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12,607</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179,341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(6,805)</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AMC Networks' stockholders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174,778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148,433</w:t>
            </w: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Net income including noncontrolling interests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160,536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142,631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income from operations to net cash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23,493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Share-based compensation expense related to equity classified awards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12,464</w:t>
            </w:r>
          </w:p>
        </w:tc>
        <w:tc>
          <w:tcPr>
            <w:tcW w:w="0" w:type="dxa"/>
            <w:vAlign w:val="bottom"/>
          </w:tcPr>
          <w:p>
            <w:pPr>
              <w:spacing w:after="0"/>
              <w:rPr>
                <w:sz w:val="1"/>
                <w:szCs w:val="1"/>
                <w:color w:val="auto"/>
              </w:rPr>
            </w:pPr>
          </w:p>
        </w:tc>
      </w:tr>
      <w:tr>
        <w:trPr>
          <w:trHeight w:val="243"/>
        </w:trPr>
        <w:tc>
          <w:tcPr>
            <w:tcW w:w="8100" w:type="dxa"/>
            <w:vAlign w:val="bottom"/>
          </w:tcPr>
          <w:p>
            <w:pPr>
              <w:ind w:left="700"/>
              <w:spacing w:after="0"/>
              <w:rPr>
                <w:sz w:val="20"/>
                <w:szCs w:val="20"/>
                <w:color w:val="auto"/>
              </w:rPr>
            </w:pPr>
            <w:r>
              <w:rPr>
                <w:rFonts w:ascii="Arial" w:cs="Arial" w:eastAsia="Arial" w:hAnsi="Arial"/>
                <w:sz w:val="18"/>
                <w:szCs w:val="18"/>
                <w:color w:val="auto"/>
              </w:rPr>
              <w:t>Amortization and write-off of program rights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218,626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199,517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Amortization of deferred carriage fees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324"/>
        </w:trPr>
        <w:tc>
          <w:tcPr>
            <w:tcW w:w="8100" w:type="dxa"/>
            <w:vAlign w:val="bottom"/>
          </w:tcPr>
          <w:p>
            <w:pPr>
              <w:ind w:left="700"/>
              <w:spacing w:after="0"/>
              <w:rPr>
                <w:sz w:val="20"/>
                <w:szCs w:val="20"/>
                <w:color w:val="auto"/>
              </w:rPr>
            </w:pPr>
            <w:r>
              <w:rPr>
                <w:rFonts w:ascii="Arial" w:cs="Arial" w:eastAsia="Arial" w:hAnsi="Arial"/>
                <w:sz w:val="18"/>
                <w:szCs w:val="18"/>
                <w:color w:val="auto"/>
              </w:rPr>
              <w:t>Unrealized foreign currency transaction gain</w:t>
            </w:r>
          </w:p>
        </w:tc>
        <w:tc>
          <w:tcPr>
            <w:tcW w:w="32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gain on derivative contracts, net</w:t>
            </w:r>
          </w:p>
        </w:tc>
        <w:tc>
          <w:tcPr>
            <w:tcW w:w="320" w:type="dxa"/>
            <w:vAlign w:val="bottom"/>
            <w:shd w:val="clear" w:color="auto" w:fill="CCEEFF"/>
          </w:tcPr>
          <w:p>
            <w:pPr>
              <w:spacing w:after="0"/>
              <w:rPr>
                <w:sz w:val="24"/>
                <w:szCs w:val="2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88"/>
        </w:trPr>
        <w:tc>
          <w:tcPr>
            <w:tcW w:w="810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12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8100" w:type="dxa"/>
            <w:vAlign w:val="bottom"/>
          </w:tcPr>
          <w:p>
            <w:pPr>
              <w:ind w:left="700"/>
              <w:spacing w:after="0"/>
              <w:rPr>
                <w:sz w:val="20"/>
                <w:szCs w:val="20"/>
                <w:color w:val="auto"/>
              </w:rPr>
            </w:pPr>
            <w:r>
              <w:rPr>
                <w:rFonts w:ascii="Arial" w:cs="Arial" w:eastAsia="Arial" w:hAnsi="Arial"/>
                <w:sz w:val="18"/>
                <w:szCs w:val="18"/>
                <w:color w:val="auto"/>
              </w:rPr>
              <w:t>Amortization of deferred financing costs and discounts on indebtedness</w:t>
            </w:r>
          </w:p>
        </w:tc>
        <w:tc>
          <w:tcPr>
            <w:tcW w:w="320" w:type="dxa"/>
            <w:vAlign w:val="bottom"/>
          </w:tcPr>
          <w:p>
            <w:pPr>
              <w:spacing w:after="0"/>
              <w:rPr>
                <w:sz w:val="24"/>
                <w:szCs w:val="24"/>
                <w:color w:val="auto"/>
              </w:rPr>
            </w:pP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Bad debt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3"/>
        </w:trPr>
        <w:tc>
          <w:tcPr>
            <w:tcW w:w="810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31,800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trade (including amounts due from related parties, net)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(15,980)</w:t>
            </w:r>
          </w:p>
        </w:tc>
        <w:tc>
          <w:tcPr>
            <w:tcW w:w="0" w:type="dxa"/>
            <w:vAlign w:val="bottom"/>
          </w:tcPr>
          <w:p>
            <w:pPr>
              <w:spacing w:after="0"/>
              <w:rPr>
                <w:sz w:val="1"/>
                <w:szCs w:val="1"/>
                <w:color w:val="auto"/>
              </w:rPr>
            </w:pPr>
          </w:p>
        </w:tc>
      </w:tr>
      <w:tr>
        <w:trPr>
          <w:trHeight w:val="243"/>
        </w:trPr>
        <w:tc>
          <w:tcPr>
            <w:tcW w:w="810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(18,160)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Program rights and obligations, net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(211,280)</w:t>
            </w:r>
          </w:p>
        </w:tc>
        <w:tc>
          <w:tcPr>
            <w:tcW w:w="0" w:type="dxa"/>
            <w:vAlign w:val="bottom"/>
          </w:tcPr>
          <w:p>
            <w:pPr>
              <w:spacing w:after="0"/>
              <w:rPr>
                <w:sz w:val="1"/>
                <w:szCs w:val="1"/>
                <w:color w:val="auto"/>
              </w:rPr>
            </w:pPr>
          </w:p>
        </w:tc>
      </w:tr>
      <w:tr>
        <w:trPr>
          <w:trHeight w:val="243"/>
        </w:trPr>
        <w:tc>
          <w:tcPr>
            <w:tcW w:w="810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15,723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57,627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43"/>
        </w:trPr>
        <w:tc>
          <w:tcPr>
            <w:tcW w:w="8100" w:type="dxa"/>
            <w:vAlign w:val="bottom"/>
          </w:tcPr>
          <w:p>
            <w:pPr>
              <w:ind w:left="700"/>
              <w:spacing w:after="0"/>
              <w:rPr>
                <w:sz w:val="20"/>
                <w:szCs w:val="20"/>
                <w:color w:val="auto"/>
              </w:rPr>
            </w:pPr>
            <w:r>
              <w:rPr>
                <w:rFonts w:ascii="Arial" w:cs="Arial" w:eastAsia="Arial" w:hAnsi="Arial"/>
                <w:sz w:val="18"/>
                <w:szCs w:val="18"/>
                <w:color w:val="auto"/>
              </w:rPr>
              <w:t>Deferred carriage fees, net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 accrued liabilities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(33,651)</w:t>
            </w:r>
          </w:p>
        </w:tc>
        <w:tc>
          <w:tcPr>
            <w:tcW w:w="0" w:type="dxa"/>
            <w:vAlign w:val="bottom"/>
          </w:tcPr>
          <w:p>
            <w:pPr>
              <w:spacing w:after="0"/>
              <w:rPr>
                <w:sz w:val="1"/>
                <w:szCs w:val="1"/>
                <w:color w:val="auto"/>
              </w:rPr>
            </w:pPr>
          </w:p>
        </w:tc>
      </w:tr>
      <w:tr>
        <w:trPr>
          <w:trHeight w:val="237"/>
        </w:trPr>
        <w:tc>
          <w:tcPr>
            <w:tcW w:w="8100" w:type="dxa"/>
            <w:vAlign w:val="bottom"/>
          </w:tcPr>
          <w:p>
            <w:pPr>
              <w:ind w:left="11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116,972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144,870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(20,206)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capital from investees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Investment in and loans to investees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(42,318)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(48,206)</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payments on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Deemed repurchases of restricted stock units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(91,423)</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Principal payments on capital lease obligations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37"/>
        </w:trPr>
        <w:tc>
          <w:tcPr>
            <w:tcW w:w="8100" w:type="dxa"/>
            <w:vAlign w:val="bottom"/>
          </w:tcPr>
          <w:p>
            <w:pPr>
              <w:ind w:left="11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(172,832)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(76,168)</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558,783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481,389</w:t>
            </w:r>
          </w:p>
        </w:tc>
        <w:tc>
          <w:tcPr>
            <w:tcW w:w="0" w:type="dxa"/>
            <w:vAlign w:val="bottom"/>
          </w:tcPr>
          <w:p>
            <w:pPr>
              <w:spacing w:after="0"/>
              <w:rPr>
                <w:sz w:val="1"/>
                <w:szCs w:val="1"/>
                <w:color w:val="auto"/>
              </w:rPr>
            </w:pP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529,200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403,648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60" w:top="369" w:right="23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36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170" w:lineRule="exact"/>
        <w:rPr>
          <w:sz w:val="20"/>
          <w:szCs w:val="20"/>
          <w:color w:val="auto"/>
        </w:rPr>
      </w:pPr>
    </w:p>
    <w:p>
      <w:pPr>
        <w:jc w:val="both"/>
        <w:ind w:left="660" w:hanging="328"/>
        <w:spacing w:after="0" w:line="302"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54" w:lineRule="exact"/>
        <w:rPr>
          <w:rFonts w:ascii="Arial" w:cs="Arial" w:eastAsia="Arial" w:hAnsi="Arial"/>
          <w:sz w:val="16"/>
          <w:szCs w:val="16"/>
          <w:i w:val="1"/>
          <w:iCs w:val="1"/>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International and Other</w:t>
      </w:r>
      <w:r>
        <w:rPr>
          <w:rFonts w:ascii="Arial" w:cs="Arial" w:eastAsia="Arial" w:hAnsi="Arial"/>
          <w:sz w:val="17"/>
          <w:szCs w:val="17"/>
          <w:color w:val="auto"/>
        </w:rPr>
        <w:t>: Principally includes AMC Networks International (AMCNI), the Company's international programming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a portfolio of channels in Europe, Latin America, the Middle East and parts of Asia and Africa; IFC Films, the Company's independent film distribution business; and our subscription streaming services, Sundance Now and Shudder. AMCNI – DMC, the broadcast solutions unit of certain networks of AMCNI and third-party networks is included through the date sold, July 12,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These unaudited condensed consolidated financial statements include the accounts of AMC Networks and its majority owned or controlled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2017 contained in the Company's Annual Report on Form 10-K ("2017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 Rights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periodically reviews the programming usefulness of its licensed and owned original program rights based on a series of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a write-off of the unamortized cost is included in technical and operating expense. Program rights write-offs were $5.2 million and $0.4 million for the three months ended March 31, 2018 and March 31, 2017,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derivative assets and liabilities, certain stock compensation awards, the useful lives and methodologies used to amortize and assess recoverability of program rights, the estimated useful lives of intangible assets, valuation and recoverability of goodwill and intangible assets and income tax assets and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 adopted Accounting Standards Update ("ASU") No. 2016-01 </w:t>
      </w:r>
      <w:r>
        <w:rPr>
          <w:rFonts w:ascii="Arial" w:cs="Arial" w:eastAsia="Arial" w:hAnsi="Arial"/>
          <w:sz w:val="18"/>
          <w:szCs w:val="18"/>
          <w:i w:val="1"/>
          <w:iCs w:val="1"/>
          <w:color w:val="auto"/>
        </w:rPr>
        <w:t>Financial Instruments-Recognition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Financial Liabilities </w:t>
      </w:r>
      <w:r>
        <w:rPr>
          <w:rFonts w:ascii="Arial" w:cs="Arial" w:eastAsia="Arial" w:hAnsi="Arial"/>
          <w:sz w:val="18"/>
          <w:szCs w:val="18"/>
          <w:color w:val="auto"/>
        </w:rPr>
        <w:t>on January 1, 2018, which requires that investments in equity securities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7" w:name="page8"/>
    <w:bookmarkEnd w:id="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(excluding equity method investments) be measured at fair value with changes in fair value recognized in net earnings. Under prior accounting guidance, changes in fair value of available-for-sale equity securities were recorded in other comprehensive income. The adoption did not have a significant impact to these condensed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Revenue Recognition Standard</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on January 1, 2018, using the modified retrospective method for all contracts not completed as of the date of adoption. The reported results as of and for the three-month period ended March 31, 2018 reflect the application of the new standard, while the reported results for 2017 have not been adjusted to reflect the new standard and were prepared under prior revenue recognition accounting guidance.</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adoption of the new standard did not result in significant changes in the way the Company records distribution and advertising revenues. However, as a result of applying the new standard, there are certain components of the Company’s distribution revenues where the new standard generally results in earlier recognition of revenue compared to its historical policies due to: (i) the requirement to estimate and recognize variable consideration prior to such amounts becoming fixed and determinable, (ii) recognition of royalties in the period of usage, and (iii) recognition of certain arrangements with minimum guarantees on a time-based (straight-line) basis. See Note 2 for more information. As a result of adopting Topic 606, the Company recorded an increase to opening retained earnings of approximately $12.8 million, net of tax, as of January 1, 2018.</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changes to the opening balances of current assets, total assets, current liabilities and total liabilities resulting from the adoption of the new guidance.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7"/>
                <w:szCs w:val="17"/>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Impact of</w:t>
            </w:r>
          </w:p>
        </w:tc>
        <w:tc>
          <w:tcPr>
            <w:tcW w:w="300" w:type="dxa"/>
            <w:vAlign w:val="bottom"/>
          </w:tcPr>
          <w:p>
            <w:pPr>
              <w:spacing w:after="0"/>
              <w:rPr>
                <w:sz w:val="17"/>
                <w:szCs w:val="17"/>
                <w:color w:val="auto"/>
              </w:rPr>
            </w:pPr>
          </w:p>
        </w:tc>
        <w:tc>
          <w:tcPr>
            <w:tcW w:w="1400" w:type="dxa"/>
            <w:vAlign w:val="bottom"/>
          </w:tcPr>
          <w:p>
            <w:pPr>
              <w:jc w:val="right"/>
              <w:ind w:right="393"/>
              <w:spacing w:after="0"/>
              <w:rPr>
                <w:sz w:val="20"/>
                <w:szCs w:val="20"/>
                <w:color w:val="auto"/>
              </w:rPr>
            </w:pPr>
            <w:r>
              <w:rPr>
                <w:rFonts w:ascii="Arial" w:cs="Arial" w:eastAsia="Arial" w:hAnsi="Arial"/>
                <w:sz w:val="16"/>
                <w:szCs w:val="16"/>
                <w:b w:val="1"/>
                <w:bCs w:val="1"/>
                <w:color w:val="auto"/>
              </w:rPr>
              <w:t>January 1,</w:t>
            </w:r>
          </w:p>
        </w:tc>
      </w:tr>
      <w:tr>
        <w:trPr>
          <w:trHeight w:val="237"/>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Adoption</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2018</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1,879,850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1,883,508</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5,032,985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5,052,884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744,937</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4,650,436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7,115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4,657,551</w:t>
            </w: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amount by which each financial statement line item has been affected in the current reporting period by the application of Topic 606 compared to historical policies is not material, therefore, comparative disclosures have been omitted.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ASU 2016-02 requires lessees to record most of their leases on the balance sheet, which will be recognized as a right-of-use asset and a lease liability. The Company will be required to classify each separate lease component as an operating or finance lease at the lease commencement date. Initial measurement of the right-of-use asset and lease liability is the same for operating and finance leases, however expense recognition and amortization of the right-of-use asset differs. Operating leases will reflect lease expense on a straight-line basis similar to current operating leases. The straight-line expense will reflect the interest expense on the lease liability (effective interest method) and amortization of the right-of-use asset, which will be presented as a single line item in the operating expense section of the income statement. Finance leases will reflect a front-loaded expense pattern similar to the pattern for current capital leases. ASU 2016-02 is effective for the first quarter of 2019, with early adoption permitted. The Company is currently determining its implementation approach and assessing the impact the adoption will have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("transaction price"). To the extent the transaction price includes variable consideration, the Company estimates the amount of variable consideration that should be included in the transaction price utilizing the most likely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that is reasonably available. Amounts collected on behalf of others (including taxes), where the Company is an agent, are excluded from revenue.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When determining the transaction price of a contract, an adjustment is made if payment from a customer occurs either significantly before or significantly after performance, resulting in a significant financing component. Applying a practical expedient in the new standard, the Company does not assess whether a significant financing component exists if the period between when the Company performs its obligations under the contract and when the customer pays is one year or less.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 pricing guidelines related to the performance obligations.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Contracts may be modified to account for changes in contract specifications and requirements. Contract modifications exist when the modification either creates new or changes existing enforceable rights and obligations. The effect of a contract modification on the transaction price and measure of progress for the performance obligation to which it relates, is recognized as an adjustment to revenue (either as an increase in or a reduction of revenue) on a cumulative catch-up basis.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primarily earns revenue from the distribution of its programming services, including licensing of its programming and other content, and advertising. The Company’s revenue recognition policies that summarize the nature, amount, timing and uncertainty associated with each major source of revenue from contracts with customers is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majority of the Company’s distribution revenues relate to sales-based and usage-based royalties which are recognized the later of (i) when the subsequent sale or usage occurs and (ii) the performance obligation to which some or all of the sales-based or usage-based royalty has been allocated has been satisfied or partially satisfied. Occasionally, the Company incurs costs to obtain a distribution contract and these costs are amortized over the period of the related distribution contract as a reduction of revenue.</w:t>
      </w:r>
    </w:p>
    <w:p>
      <w:pPr>
        <w:spacing w:after="0" w:line="1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Subscription fee revenue: Subscription fees are earned from cable and other multichannel video programming distribution platforms, including direct broadcast satellite ("DBS"), platforms operated by telecommunications providers and virtual multichannel video programming distributors (collectively "distributors"), for the rights to use the Company's network programming under multi-year contracts, commonly referred to as "affiliation agreements." The Company's performance obligations under affiliation agreements are satisfied as the Company provides its programming over the term of the agreement. The transaction price is represented by subscription fees that are generally based upon (i) contractual rates applied to the number of the distributor's subscribers who receive or can receive our programming ("rate-per-subscriber"), or (ii) fixed contractual monthly fees ("fixed fee").</w:t>
      </w:r>
    </w:p>
    <w:p>
      <w:pPr>
        <w:spacing w:after="0" w:line="16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rate-per-subscriber agreements, the Company applies the sales-based or usage-based royalty guidance, and accordingly, recognizes revenue in the period of the distributor’s usage, based on the subscription fee earned during the period.</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Fixed fee affiliation agreements are generally billed in monthly installments, and such amounts may vary over the term of the contract. In cases where the invoice amount corresponds directly with the value to the affiliate of the performance to-date, the Company recognizes revenue based on the invoiced amount. In cases where changes in fees during the contract term do not correspond directly to the value of the performance to-date (for example, if the fees vary over the contract term due to a significant financing or credit risk component), the Company recognizes the total amount of fixed transaction price over the contract period using a time-based (e.g., straight-line) measure of progress.</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Certain of the Company’s fixed fee affiliation agreements contain guaranteed minimum fees that are recoupable during the term of the agreement, and variable fees based on rates-per-subscriber after the guaranteed minimum is recouped. The Company recognizes revenue for the fixed consideration over the minimum guarantee period and recognizes variable fees only when cumulative consideration exceeds the minimum guarantee.</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Subscription revenue from the Company's direct-to-consumer subscription streaming services is recognized as the streaming service is provided to customers.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Content licensing revenue: The Company licenses its original programming content to certain distributors under subscription video on-demand ("SVOD"), pay-per-view ("PPV") and electronic sell-through ("EST") arrangements. Under these arrangements, our performance obligation is to provide the distributor the right to use our programming as it exists at a point in time.</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SVOD arrangements, the Company adjusts the transaction price for the time value of money in cases where license fees are paid over several years. SVOD licensing revenue is recognized at the later of the beginning of the license period, or when we provide the programming to the distributor. The Company recognizes a contract asset for the difference between the revenue recognized and the amount we are permitted to invoice.</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PPV and EST license fee arrangements, the Company applies the sales-based or usage-based royalty guidance and recognizes revenue in the period of end-customer purchases, based on the fees earned during the period.</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also licenses trademarks, logos, brands, derivative character copyrights, etc. under multi-year arrangements. Under these arrangements, the Company may receive a non-refundable minimum guarantee that is recoupable against a volume-based royalty throughout the term of the agreement. The Company adjusts the transaction price for the time value of money in cases where license fees are paid over several years. The Company recognizes revenue for the minimum guarantee on a straight-line basis over the term of the agreement, and recognizes variable fees only when cumulative consideration exceeds the minimum guarantee.</w:t>
      </w:r>
    </w:p>
    <w:p>
      <w:pPr>
        <w:spacing w:after="0" w:line="18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payment terms vary by the type and location of customer. Generally, payment terms are 30-45 days after revenue is earned. In certain limited circumstances, agreements with customers have payment terms in excess of one-year after satisfaction of the performance obligation.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generates revenues from the sale of advertising time on its networks. In such arrangements, the Company generally promises to air a certain number of commercials (spots) and to generate guaranteed viewer ratings for an audience demographic (impressions) over a period that generally does not exceed one year. The promise to deliver impressions by airing spots represents the Company’s performance obligation. Advertising revenues are recognized, net of agency commissions, as commercials are aired, to the extent that guaranteed viewer ratings are achieved. A contract liability is recognized to the extent the guaranteed viewer ratings are not met, and is subsequently recognized as revenue either when the Company provides the required additional advertising or the guarantee obligation contractually expires, which is generally within one year. Generally, payment terms are 30 days after revenue is earned.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new standard requires disclosure of the aggregate amount of transaction price that is allocated to performance obligations that have not yet been satisfied as of March 31, 2018. However, the guidance does not apply to sales-based or usage-based royalty arrangements and also provides certain practical expedients that allow companies to omit this disclosure requirement for (i) contracts with an original expected length of one year or less, (ii) contracts for which revenue is recognized at the amount to which the Company has the right to invoice for services performed and (iii) variable consideration related to a wholly unsatisfied performance obligation.</w:t>
      </w:r>
    </w:p>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2018, other than contracts for which the Company has applied the practical expedients, the aggregate amount of transaction price allocated to remaining performance obligations was not material to our consolidated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receivables, contract assets and contract liabilities on the Consolidated Balance Sheet.</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certain types of contracts with customers, the Company may recognize revenue in advance of the contractual right to invoice the customer, resulting in an amount recorded to contract assets. Once the Company has an unconditional right to consideration under a contract, the contract assets are reclassified to account receivables.</w:t>
      </w:r>
    </w:p>
    <w:p>
      <w:pPr>
        <w:spacing w:after="0" w:line="18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When consideration is received, or such consideration is unconditionally due, from a customer prior to transferring goods or services to the customer under the terms of a contract, a contract liability is recorded. Contract liabilities are recognized as revenue when, or as, control of the products or services is transferred to the customer and all revenue recognition criteria have been met. The primary source of the Company’s contract liabilities relates to advertising sales arrangements and content licensing arrangements. As noted above, the Company’s programming networks generally guarantee viewer ratings for its programming. If these guaranteed viewer ratings are not met, the Company is required to provide additional advertising units to the advertiser. For these types of arrangements, a portion of the related revenue is deferred if the guaranteed ratings are not met, representing a contract liability, and is subsequently recognized either when the Company provides the required additional advertising time or the guarantee obligation contractually expires. In certain content licensing arrangements, payment may be received in advance of a distributor's ability to exhibit a program. Such payments are recorded as a contract liability and subsequently recognized when the program becomes available for exhibition.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1"/>
              </w:rPr>
              <w:t xml:space="preserve">December 31, 2017 </w:t>
            </w:r>
            <w:r>
              <w:rPr>
                <w:rFonts w:ascii="Arial" w:cs="Arial" w:eastAsia="Arial" w:hAnsi="Arial"/>
                <w:sz w:val="21"/>
                <w:szCs w:val="21"/>
                <w:b w:val="1"/>
                <w:bCs w:val="1"/>
                <w:color w:val="auto"/>
                <w:w w:val="91"/>
                <w:vertAlign w:val="superscript"/>
              </w:rPr>
              <w:t>(a)</w:t>
            </w: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from contracts with customers: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Accounts receivable (including long-term, included in Other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981,266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926,089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3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14,646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Contract liabilities (Deferred revenue)</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51,916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46,433</w:t>
            </w:r>
          </w:p>
        </w:tc>
      </w:tr>
      <w:tr>
        <w:trPr>
          <w:trHeight w:val="27"/>
        </w:trPr>
        <w:tc>
          <w:tcPr>
            <w:tcW w:w="7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As noted above, prior period amounts have not been adjusted under the modified retrospective method.</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recognized for the three months ended March 31, 2018 relating to the contract liability at December 31, 2017 was $12.2 million</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72"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60,967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dilution: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61,719</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68,764</w:t>
            </w: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the three months ended March 31, 2018, there were 388,000 stock options and 170,000 restricted stock units that would have been anti-dilutive to the diluted weighted average common shares outstanding. Approximately 195,000 and 175,000 restricted stock units for the three months ended March 31, 2018 and March 31, 2017, respectively, have been excluded from diluted weighted average common shares outstanding since a performance condition for these awards was not met in each of the respective periods. The Company did not include performance restricted stock units in the calculation of diluted EPS, since the performance conditions for these awards were not met.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March 7, 2016, the Company announced that its Board of Directors authorized a program to repurchase up to $500 million of its outstanding shares of common stock (the "2016 Stock Repurchase Program"). On June 6, 2017, the Board of Directors approved an increase of $500 million in the amount authorized for a total of $1.0 billion authorized under the 2016 Stock Repurchase Program. The 2016 Stock Repurchase Program has no pre-established closing date and may be suspended or discontinued at any time. For the three months ended March 31, 2018, the Company repurchased 1.6 million shares of its Class A common stock at an average purchase price of approximately $50.77 per share. As of March 31, 2018, the Company has $258.9 million available for repurchase under the 2016 Stock Repurchase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holds several investments and loans in non-consolidated entities. Equity method investments were $81.4 million at March 31, 2018 and $61.3 million at December 31, 2017. Cost method investments were $71.8 million at March 31, 2018 and $46.8 million at December 31, 2017. Equity and cost method investments are included in Other assets in the condensed consolidated balance sheet.</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RLJE</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5, 2018, a subsidiary of the Company entered into a Stock Purchase Agreement (the "Stock Purchase Agreement") with JH Partners Evergreen Fund, L.P., Forrestal, LLC, JH Investment Partners III, L.P., and JH Investment Partners GP Fund III, LLC (collectively, "JH Partners"). Under the terms of the Stock Purchase Agreement, the Company purchased (i) 678,095 shares of common stock of RLJ Entertainment, Inc., ("RLJE"), (ii) 747,945 warrants to purchase shares of common stock of RLJE with an adjusted exercise price of $1.50 per share issued, and (iii) 7,479.432 shares of Series D-1 preferred stock of RLJE. The total purchase price was $17.2 million.</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February 26, 2018, the Company delivered a letter to RLJE pursuant to which the Company proposed to acquire all of the outstanding shares of RLJE not currently owned by the Company or entities affiliated with Robert L. Johnson for a purchase price of $4.25 per share in cash. Through this offer, the Company intends for RLJE to become a majority-owned subsidiary of the Company, with a minority stake held by Mr. Johnson. The board of directors of RLJE has formed a special committee of independent directors to consider the proposal. There can be no assurance that the proposal made by the Company to RLJE will result in a transaction or the terms upon which any transaction may occur.</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Other Investments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March 5, 2018, the Company made an investment in fuboTV Inc. of $25.0 million, which is accounted for as a cost method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National Networks</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20"/>
                <w:szCs w:val="20"/>
                <w:color w:val="auto"/>
              </w:rPr>
            </w:pPr>
          </w:p>
        </w:tc>
        <w:tc>
          <w:tcPr>
            <w:tcW w:w="1380" w:type="dxa"/>
            <w:vAlign w:val="bottom"/>
          </w:tcPr>
          <w:p>
            <w:pPr>
              <w:jc w:val="right"/>
              <w:ind w:right="632"/>
              <w:spacing w:after="0"/>
              <w:rPr>
                <w:sz w:val="20"/>
                <w:szCs w:val="20"/>
                <w:color w:val="auto"/>
              </w:rPr>
            </w:pPr>
            <w:r>
              <w:rPr>
                <w:rFonts w:ascii="Arial" w:cs="Arial" w:eastAsia="Arial" w:hAnsi="Arial"/>
                <w:sz w:val="16"/>
                <w:szCs w:val="16"/>
                <w:b w:val="1"/>
                <w:bCs w:val="1"/>
                <w:color w:val="auto"/>
              </w:rPr>
              <w:t>Total</w:t>
            </w:r>
          </w:p>
        </w:tc>
      </w:tr>
      <w:tr>
        <w:trPr>
          <w:trHeight w:val="250"/>
        </w:trPr>
        <w:tc>
          <w:tcPr>
            <w:tcW w:w="5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695,158</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Amortization of "second component" goodwill</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12,824</w:t>
            </w:r>
          </w:p>
        </w:tc>
      </w:tr>
      <w:tr>
        <w:trPr>
          <w:trHeight w:val="257"/>
        </w:trPr>
        <w:tc>
          <w:tcPr>
            <w:tcW w:w="5680" w:type="dxa"/>
            <w:vAlign w:val="bottom"/>
          </w:tcPr>
          <w:p>
            <w:pPr>
              <w:ind w:left="40"/>
              <w:spacing w:after="0"/>
              <w:rPr>
                <w:sz w:val="20"/>
                <w:szCs w:val="20"/>
                <w:color w:val="auto"/>
              </w:rPr>
            </w:pPr>
            <w:r>
              <w:rPr>
                <w:rFonts w:ascii="Arial" w:cs="Arial" w:eastAsia="Arial" w:hAnsi="Arial"/>
                <w:sz w:val="18"/>
                <w:szCs w:val="18"/>
                <w:color w:val="auto"/>
              </w:rPr>
              <w:t>March 31,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239,431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468,223</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707,654</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reduction of $0.3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2018</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33"/>
              <w:spacing w:after="0"/>
              <w:rPr>
                <w:sz w:val="20"/>
                <w:szCs w:val="20"/>
                <w:color w:val="auto"/>
              </w:rPr>
            </w:pPr>
            <w:r>
              <w:rPr>
                <w:rFonts w:ascii="Arial" w:cs="Arial" w:eastAsia="Arial" w:hAnsi="Arial"/>
                <w:sz w:val="16"/>
                <w:szCs w:val="16"/>
                <w:b w:val="1"/>
                <w:bCs w:val="1"/>
                <w:color w:val="auto"/>
              </w:rPr>
              <w:t>Estimated Useful</w:t>
            </w: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jc w:val="right"/>
              <w:ind w:right="533"/>
              <w:spacing w:after="0"/>
              <w:rPr>
                <w:sz w:val="20"/>
                <w:szCs w:val="20"/>
                <w:color w:val="auto"/>
              </w:rPr>
            </w:pPr>
            <w:r>
              <w:rPr>
                <w:rFonts w:ascii="Arial" w:cs="Arial" w:eastAsia="Arial" w:hAnsi="Arial"/>
                <w:sz w:val="16"/>
                <w:szCs w:val="16"/>
                <w:b w:val="1"/>
                <w:bCs w:val="1"/>
                <w:color w:val="auto"/>
              </w:rPr>
              <w:t>Lives</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532,555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(177,019)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355,536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to 25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years</w:t>
            </w: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55,201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39,779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to 15 years</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645,742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(213,247)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432,495</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665,642</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(213,247)</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452,395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1"/>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December 31, 2017</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527,713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(167,911)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359,802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32,877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53,761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39,341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639,157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(201,815)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437,342</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659,057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(201,815)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457,242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Aggregate amortization expense for amortizable intangible assets for the three months ended March 31, 2018 and 2017 was $9.3 million and $9.1 million, respectively. Estimated aggregate amortization expense for intangible assets subject to amortization for each of the following five years is: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Years Ending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36,491</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36,102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36,087</w:t>
            </w:r>
          </w:p>
        </w:tc>
        <w:tc>
          <w:tcPr>
            <w:tcW w:w="20" w:type="dxa"/>
            <w:vAlign w:val="bottom"/>
          </w:tcPr>
          <w:p>
            <w:pPr>
              <w:spacing w:after="0"/>
              <w:rPr>
                <w:sz w:val="21"/>
                <w:szCs w:val="21"/>
                <w:color w:val="auto"/>
              </w:rPr>
            </w:pPr>
          </w:p>
        </w:tc>
      </w:tr>
      <w:tr>
        <w:trPr>
          <w:trHeight w:val="405"/>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Note 6. Accrued Liabilities</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Accrued liabilities consist of the following:</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200" w:type="dxa"/>
            <w:vAlign w:val="bottom"/>
          </w:tcPr>
          <w:p>
            <w:pPr>
              <w:spacing w:after="0"/>
              <w:rPr>
                <w:sz w:val="24"/>
                <w:szCs w:val="24"/>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2017</w:t>
            </w:r>
          </w:p>
        </w:tc>
      </w:tr>
      <w:tr>
        <w:trPr>
          <w:trHeight w:val="250"/>
        </w:trPr>
        <w:tc>
          <w:tcPr>
            <w:tcW w:w="20" w:type="dxa"/>
            <w:vAlign w:val="bottom"/>
          </w:tcPr>
          <w:p>
            <w:pPr>
              <w:spacing w:after="0"/>
              <w:rPr>
                <w:sz w:val="21"/>
                <w:szCs w:val="21"/>
                <w:color w:val="auto"/>
              </w:rPr>
            </w:pPr>
          </w:p>
        </w:tc>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Employee related costs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55,181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117,850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105,002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95,406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235,301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263,076</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long-term debt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220" w:type="dxa"/>
            <w:vAlign w:val="bottom"/>
          </w:tcPr>
          <w:p>
            <w:pPr>
              <w:spacing w:after="0"/>
              <w:rPr>
                <w:sz w:val="20"/>
                <w:szCs w:val="20"/>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2017</w:t>
            </w:r>
          </w:p>
        </w:tc>
      </w:tr>
      <w:tr>
        <w:trPr>
          <w:trHeight w:val="270"/>
        </w:trPr>
        <w:tc>
          <w:tcPr>
            <w:tcW w:w="7400" w:type="dxa"/>
            <w:vAlign w:val="bottom"/>
            <w:tcBorders>
              <w:top w:val="single" w:sz="8" w:color="CCEEFF"/>
            </w:tcBorders>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28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4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750,000</w:t>
            </w:r>
          </w:p>
        </w:tc>
      </w:tr>
      <w:tr>
        <w:trPr>
          <w:trHeight w:val="27"/>
        </w:trPr>
        <w:tc>
          <w:tcPr>
            <w:tcW w:w="74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August 2025</w:t>
            </w:r>
          </w:p>
        </w:tc>
        <w:tc>
          <w:tcPr>
            <w:tcW w:w="28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800,000</w:t>
            </w: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28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600,000</w:t>
            </w:r>
          </w:p>
        </w:tc>
      </w:tr>
      <w:tr>
        <w:trPr>
          <w:trHeight w:val="27"/>
        </w:trPr>
        <w:tc>
          <w:tcPr>
            <w:tcW w:w="74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3,150,000</w:t>
            </w: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Unamortized discount</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(33,776)</w:t>
            </w:r>
          </w:p>
        </w:tc>
      </w:tr>
      <w:tr>
        <w:trPr>
          <w:trHeight w:val="27"/>
        </w:trPr>
        <w:tc>
          <w:tcPr>
            <w:tcW w:w="74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deferred financing costs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(16,967)</w:t>
            </w:r>
          </w:p>
        </w:tc>
      </w:tr>
      <w:tr>
        <w:trPr>
          <w:trHeight w:val="257"/>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Long-term debt,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3,101,138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3,099,257</w:t>
            </w: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March 31, 2018. Total undrawn revolver commitments are available to be drawn for general corporate purposes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March 31, 2018 and December 31,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II</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040" w:type="dxa"/>
            <w:vAlign w:val="bottom"/>
            <w:tcBorders>
              <w:top w:val="single" w:sz="8" w:color="CCEEFF"/>
              <w:bottom w:val="single" w:sz="8" w:color="CCEEFF"/>
            </w:tcBorders>
            <w:shd w:val="clear" w:color="auto" w:fill="CCEEFF"/>
          </w:tcPr>
          <w:p>
            <w:pPr>
              <w:ind w:left="1860"/>
              <w:spacing w:after="0"/>
              <w:rPr>
                <w:sz w:val="20"/>
                <w:szCs w:val="20"/>
                <w:color w:val="auto"/>
              </w:rPr>
            </w:pPr>
            <w:r>
              <w:rPr>
                <w:rFonts w:ascii="Arial" w:cs="Arial" w:eastAsia="Arial" w:hAnsi="Arial"/>
                <w:sz w:val="16"/>
                <w:szCs w:val="16"/>
                <w:b w:val="1"/>
                <w:bCs w:val="1"/>
                <w:color w:val="auto"/>
              </w:rPr>
              <w:t>At March 31, 2018: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65,955</w:t>
            </w: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8,457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8,457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31,632</w:t>
            </w: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1,298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9,712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41,097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50,809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Foreign currency derivatives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4,064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b w:val="1"/>
                <w:bCs w:val="1"/>
                <w:color w:val="auto"/>
              </w:rPr>
              <w:t>At December 31, 2017: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100,615</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10,709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10,709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9,948</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37,065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Foreign currency derivatives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4,475</w:t>
            </w:r>
          </w:p>
        </w:tc>
      </w:tr>
    </w:tbl>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interest rate swap contracts, foreign currency derivatives and the embedded derivative for the interest on the RLJE Term Loans to be paid in shares of RLJE common stock (see Note 9) are classified within Level II of the fair value hierarchy and their fair values are determined based on a market approach valuation technique that uses readily observable market parameters and the consideration of counterparty risk.</w:t>
      </w:r>
    </w:p>
    <w:p>
      <w:pPr>
        <w:spacing w:after="0" w:line="16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October 14, 2016, Digital Entertainment Holdings LLC (“DEH”), a wholly-owned subsidiary of the Company, and RLJE entered into a Credit and Guaranty Agreement pursuant to which DEH provided term loans to RLJE (the “RLJE Term Loans”). In connection with the RLJE Credit and Guaranty Agreement, DEH received warrants to purchase at least 20 million shares of RLJE’s common stock, at a price of $3.00 per share (the “RLJE Warrants”). The RLJE Warrants held by the Company are classified within Level III of the fair value hierarchy and the Company determines the value of the RLJE Warrants using a Black Scholes option pricing model. Inputs to the model are stock price volatility, contractual warrant terms (remaining life of the warrants), exercise price, risk-free interest rate, and the RLJE stock price. The equity volatility used is based on the equity volatility of RLJE with an adjustment for the changes in the capital structure of RLJE. In arriving at the concluded value of the warrants, a discount for the lack of marketability (DLOM) of 32% was applied. The DLOM, which is unobservable, is determined using the Finnerty Average-Strike Put Option Marketability Discount Model (Finnerty Model), which was applied with a security-specific volatility for the warrants. For the three months ended March 31, 2018 and 2017, the Company recorded a gain of $8.1 million and $8.9 million, respectively, related to the RLJE Warrants which is included in Miscellaneous, net in the condensed consolidated statement of income.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March 31, 2018, the Company does not have any other assets or liabilities measured at fair value on a recurring basis that would be considered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pacing w:after="0" w:line="2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5"/>
          </w:tcPr>
          <w:p>
            <w:pPr>
              <w:jc w:val="right"/>
              <w:spacing w:after="0"/>
              <w:rPr>
                <w:sz w:val="20"/>
                <w:szCs w:val="20"/>
                <w:color w:val="auto"/>
              </w:rPr>
            </w:pPr>
            <w:r>
              <w:rPr>
                <w:rFonts w:ascii="Arial" w:cs="Arial" w:eastAsia="Arial" w:hAnsi="Arial"/>
                <w:sz w:val="16"/>
                <w:szCs w:val="16"/>
                <w:b w:val="1"/>
                <w:bCs w:val="1"/>
                <w:color w:val="auto"/>
              </w:rPr>
              <w:t>March 31, 2018</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6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ind w:left="8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50"/>
        </w:trPr>
        <w:tc>
          <w:tcPr>
            <w:tcW w:w="7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737,774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748,125</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785,171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771,000</w:t>
            </w:r>
          </w:p>
        </w:tc>
        <w:tc>
          <w:tcPr>
            <w:tcW w:w="20" w:type="dxa"/>
            <w:vAlign w:val="bottom"/>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984,591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988,750</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593,602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604,500</w:t>
            </w:r>
          </w:p>
        </w:tc>
        <w:tc>
          <w:tcPr>
            <w:tcW w:w="20" w:type="dxa"/>
            <w:vAlign w:val="bottom"/>
          </w:tcPr>
          <w:p>
            <w:pPr>
              <w:spacing w:after="0"/>
              <w:rPr>
                <w:sz w:val="23"/>
                <w:szCs w:val="23"/>
                <w:color w:val="auto"/>
              </w:rPr>
            </w:pPr>
          </w:p>
        </w:tc>
      </w:tr>
      <w:tr>
        <w:trPr>
          <w:trHeight w:val="237"/>
        </w:trPr>
        <w:tc>
          <w:tcPr>
            <w:tcW w:w="8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3,101,138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3,112,375</w:t>
            </w:r>
          </w:p>
        </w:tc>
        <w:tc>
          <w:tcPr>
            <w:tcW w:w="2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8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6"/>
          </w:tcPr>
          <w:p>
            <w:pPr>
              <w:jc w:val="right"/>
              <w:ind w:right="1213"/>
              <w:spacing w:after="0"/>
              <w:rPr>
                <w:sz w:val="20"/>
                <w:szCs w:val="20"/>
                <w:color w:val="auto"/>
              </w:rPr>
            </w:pPr>
            <w:r>
              <w:rPr>
                <w:rFonts w:ascii="Arial" w:cs="Arial" w:eastAsia="Arial" w:hAnsi="Arial"/>
                <w:sz w:val="16"/>
                <w:szCs w:val="16"/>
                <w:b w:val="1"/>
                <w:bCs w:val="1"/>
                <w:color w:val="auto"/>
              </w:rPr>
              <w:t>December 31, 2017</w:t>
            </w:r>
          </w:p>
        </w:tc>
        <w:tc>
          <w:tcPr>
            <w:tcW w:w="20" w:type="dxa"/>
            <w:vAlign w:val="bottom"/>
          </w:tcPr>
          <w:p>
            <w:pPr>
              <w:spacing w:after="0"/>
              <w:rPr>
                <w:sz w:val="24"/>
                <w:szCs w:val="24"/>
                <w:color w:val="auto"/>
              </w:rPr>
            </w:pPr>
          </w:p>
        </w:tc>
      </w:tr>
      <w:tr>
        <w:trPr>
          <w:trHeight w:val="33"/>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8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ind w:left="10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50"/>
        </w:trPr>
        <w:tc>
          <w:tcPr>
            <w:tcW w:w="7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737,140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748,125</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784,757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793,000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984,056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1,012,500</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593,304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612,750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8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3,099,257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3,166,375</w:t>
            </w:r>
          </w:p>
        </w:tc>
        <w:tc>
          <w:tcPr>
            <w:tcW w:w="20" w:type="dxa"/>
            <w:vAlign w:val="bottom"/>
            <w:tcBorders>
              <w:top w:val="single" w:sz="8" w:color="auto"/>
            </w:tcBorders>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2018, the Company had interest rate swap contracts outstanding with notional amounts aggregating $200.0 million that are not designated as hedging instruments. The Company's outstanding interest rate swap contracts mature in October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Derivatives</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RLJE Warrants held by the Company meet the definition of a derivative and are included in Other assets in the consolidated balance sheet. In addition, the interest on the RLJE Term Loans to be paid in shares of RLJE common stock is an embedded derivative. Both the RLJE Warrants and the embedded derivative for the future interest to be paid in shares of RLJE common stock are remeasured at the end of each period with changes in fair value recorded in the consolidated statements of income. For the three months ended March 31, 2018 and 2017, the Company recorded a gain of $11.7 million and $11.1 million, respectively, related to these derivatives, which is included in Miscellaneous, net in the condensed consolidated statement of income.</w:t>
      </w:r>
    </w:p>
    <w:p>
      <w:pPr>
        <w:sectPr>
          <w:pgSz w:w="11900" w:h="16838" w:orient="portrait"/>
          <w:cols w:equalWidth="0" w:num="1">
            <w:col w:w="11420"/>
          </w:cols>
          <w:pgMar w:left="240" w:top="125"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4360" w:type="dxa"/>
            <w:vAlign w:val="bottom"/>
            <w:gridSpan w:val="2"/>
          </w:tcPr>
          <w:p>
            <w:pPr>
              <w:ind w:left="1620"/>
              <w:spacing w:after="0"/>
              <w:rPr>
                <w:sz w:val="20"/>
                <w:szCs w:val="20"/>
                <w:color w:val="auto"/>
              </w:rPr>
            </w:pPr>
            <w:r>
              <w:rPr>
                <w:rFonts w:ascii="Arial" w:cs="Arial" w:eastAsia="Arial" w:hAnsi="Arial"/>
                <w:sz w:val="16"/>
                <w:szCs w:val="16"/>
                <w:b w:val="1"/>
                <w:bCs w:val="1"/>
                <w:color w:val="auto"/>
              </w:rPr>
              <w:t>Balance Sheet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360" w:type="dxa"/>
            <w:vAlign w:val="bottom"/>
            <w:gridSpan w:val="2"/>
          </w:tcPr>
          <w:p>
            <w:pPr>
              <w:ind w:left="1820"/>
              <w:spacing w:after="0"/>
              <w:rPr>
                <w:sz w:val="20"/>
                <w:szCs w:val="20"/>
                <w:color w:val="auto"/>
              </w:rPr>
            </w:pPr>
            <w:r>
              <w:rPr>
                <w:rFonts w:ascii="Arial" w:cs="Arial" w:eastAsia="Arial" w:hAnsi="Arial"/>
                <w:sz w:val="16"/>
                <w:szCs w:val="16"/>
                <w:b w:val="1"/>
                <w:bCs w:val="1"/>
                <w:color w:val="auto"/>
              </w:rPr>
              <w:t>Location</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2018</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2017</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4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2,858</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50,809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37,065</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1,223</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3,252</w:t>
            </w:r>
          </w:p>
        </w:tc>
      </w:tr>
      <w:tr>
        <w:trPr>
          <w:trHeight w:val="27"/>
        </w:trPr>
        <w:tc>
          <w:tcPr>
            <w:tcW w:w="400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designated as hedging instruments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Location of Gain or (Loss) in</w:t>
            </w: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920" w:type="dxa"/>
            <w:vAlign w:val="bottom"/>
          </w:tcPr>
          <w:p>
            <w:pPr>
              <w:spacing w:after="0"/>
              <w:rPr>
                <w:sz w:val="18"/>
                <w:szCs w:val="18"/>
                <w:color w:val="auto"/>
              </w:rPr>
            </w:pPr>
          </w:p>
        </w:tc>
        <w:tc>
          <w:tcPr>
            <w:tcW w:w="220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Earnings</w:t>
            </w:r>
          </w:p>
        </w:tc>
        <w:tc>
          <w:tcPr>
            <w:tcW w:w="940" w:type="dxa"/>
            <w:vAlign w:val="bottom"/>
          </w:tcPr>
          <w:p>
            <w:pPr>
              <w:spacing w:after="0"/>
              <w:rPr>
                <w:sz w:val="18"/>
                <w:szCs w:val="18"/>
                <w:color w:val="auto"/>
              </w:rPr>
            </w:pPr>
          </w:p>
        </w:tc>
        <w:tc>
          <w:tcPr>
            <w:tcW w:w="212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w w:val="95"/>
              </w:rPr>
              <w:t>into Earnings (a)</w:t>
            </w:r>
          </w:p>
        </w:tc>
      </w:tr>
      <w:tr>
        <w:trPr>
          <w:trHeight w:val="33"/>
        </w:trPr>
        <w:tc>
          <w:tcPr>
            <w:tcW w:w="31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31"/>
        </w:trPr>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 March 31,</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9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r>
      <w:tr>
        <w:trPr>
          <w:trHeight w:val="231"/>
        </w:trPr>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2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1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2017</w:t>
            </w:r>
          </w:p>
        </w:tc>
      </w:tr>
      <w:tr>
        <w:trPr>
          <w:trHeight w:val="33"/>
        </w:trPr>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-8255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20" w:space="360"/>
            <w:col w:w="8540"/>
          </w:cols>
          <w:pgMar w:left="240" w:top="125" w:right="239" w:bottom="1440" w:gutter="0" w:footer="0" w:header="0"/>
          <w:type w:val="continuous"/>
        </w:sectPr>
      </w:pPr>
    </w:p>
    <w:p>
      <w:pPr>
        <w:ind w:left="40"/>
        <w:spacing w:after="0"/>
        <w:tabs>
          <w:tab w:leader="none" w:pos="2880" w:val="left"/>
          <w:tab w:leader="none" w:pos="4060" w:val="left"/>
          <w:tab w:leader="none" w:pos="4520" w:val="left"/>
          <w:tab w:leader="none" w:pos="5600" w:val="left"/>
          <w:tab w:leader="none" w:pos="6580" w:val="left"/>
          <w:tab w:leader="none" w:pos="8380" w:val="left"/>
          <w:tab w:leader="none" w:pos="9540" w:val="left"/>
          <w:tab w:leader="none" w:pos="9960" w:val="left"/>
          <w:tab w:leader="none" w:pos="1120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31750</wp:posOffset>
            </wp:positionV>
            <wp:extent cx="19380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8020" cy="2603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31750</wp:posOffset>
            </wp:positionV>
            <wp:extent cx="19812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1200" cy="26035"/>
                    </a:xfrm>
                    <a:prstGeom prst="rect">
                      <a:avLst/>
                    </a:prstGeom>
                    <a:noFill/>
                  </pic:spPr>
                </pic:pic>
              </a:graphicData>
            </a:graphic>
          </wp:anchor>
        </w:drawing>
      </w:r>
    </w:p>
    <w:p>
      <w:pPr>
        <w:spacing w:after="0" w:line="273"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hedging relationships or related to any amount excluded from the assessment of hedge effectiveness for the three months ended March 31, 2018 and 2017.</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not designated as hedging instruments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Location of Gain or (Loss)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Recognized in Earnings</w:t>
            </w:r>
          </w:p>
        </w:tc>
        <w:tc>
          <w:tcPr>
            <w:tcW w:w="140" w:type="dxa"/>
            <w:vAlign w:val="bottom"/>
          </w:tcPr>
          <w:p>
            <w:pPr>
              <w:spacing w:after="0"/>
              <w:rPr>
                <w:sz w:val="17"/>
                <w:szCs w:val="17"/>
                <w:color w:val="auto"/>
              </w:rPr>
            </w:pPr>
          </w:p>
        </w:tc>
        <w:tc>
          <w:tcPr>
            <w:tcW w:w="2920" w:type="dxa"/>
            <w:vAlign w:val="bottom"/>
            <w:gridSpan w:val="4"/>
          </w:tcPr>
          <w:p>
            <w:pPr>
              <w:jc w:val="center"/>
              <w:ind w:right="12"/>
              <w:spacing w:after="0"/>
              <w:rPr>
                <w:sz w:val="20"/>
                <w:szCs w:val="20"/>
                <w:color w:val="auto"/>
              </w:rPr>
            </w:pPr>
            <w:r>
              <w:rPr>
                <w:rFonts w:ascii="Arial" w:cs="Arial" w:eastAsia="Arial" w:hAnsi="Arial"/>
                <w:sz w:val="16"/>
                <w:szCs w:val="16"/>
                <w:b w:val="1"/>
                <w:bCs w:val="1"/>
                <w:color w:val="auto"/>
                <w:w w:val="90"/>
              </w:rPr>
              <w:t>Amount of Gain or (Loss) Recognized in</w:t>
            </w:r>
          </w:p>
        </w:tc>
      </w:tr>
      <w:tr>
        <w:trPr>
          <w:trHeight w:val="210"/>
        </w:trPr>
        <w:tc>
          <w:tcPr>
            <w:tcW w:w="562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on Derivatives</w:t>
            </w:r>
          </w:p>
        </w:tc>
        <w:tc>
          <w:tcPr>
            <w:tcW w:w="140" w:type="dxa"/>
            <w:vAlign w:val="bottom"/>
          </w:tcPr>
          <w:p>
            <w:pPr>
              <w:spacing w:after="0"/>
              <w:rPr>
                <w:sz w:val="18"/>
                <w:szCs w:val="18"/>
                <w:color w:val="auto"/>
              </w:rPr>
            </w:pPr>
          </w:p>
        </w:tc>
        <w:tc>
          <w:tcPr>
            <w:tcW w:w="2920" w:type="dxa"/>
            <w:vAlign w:val="bottom"/>
            <w:gridSpan w:val="4"/>
          </w:tcPr>
          <w:p>
            <w:pPr>
              <w:jc w:val="center"/>
              <w:ind w:right="12"/>
              <w:spacing w:after="0"/>
              <w:rPr>
                <w:sz w:val="20"/>
                <w:szCs w:val="20"/>
                <w:color w:val="auto"/>
              </w:rPr>
            </w:pPr>
            <w:r>
              <w:rPr>
                <w:rFonts w:ascii="Arial" w:cs="Arial" w:eastAsia="Arial" w:hAnsi="Arial"/>
                <w:sz w:val="16"/>
                <w:szCs w:val="16"/>
                <w:b w:val="1"/>
                <w:bCs w:val="1"/>
                <w:color w:val="auto"/>
                <w:w w:val="91"/>
              </w:rPr>
              <w:t>Earnings on Derivatives</w:t>
            </w:r>
          </w:p>
        </w:tc>
      </w:tr>
      <w:tr>
        <w:trPr>
          <w:trHeight w:val="33"/>
        </w:trPr>
        <w:tc>
          <w:tcPr>
            <w:tcW w:w="56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center"/>
              <w:ind w:right="12"/>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relationships:</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Interest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2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Miscellaneous,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derivatives</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Miscellaneous, net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11,117</w:t>
            </w:r>
          </w:p>
        </w:tc>
      </w:tr>
      <w:tr>
        <w:trPr>
          <w:trHeight w:val="27"/>
        </w:trPr>
        <w:tc>
          <w:tcPr>
            <w:tcW w:w="56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10,852</w:t>
            </w: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For the three months ended March 31, 2018, income tax expense was $56.9 million, representing an effective tax rate of 26%. The effective tax rate differs from the federal statutory rate of 21% due primarily to tax expense of $16.4 million for an increase in valuation allowances for foreign taxes and U.S. foreign tax credits, tax benefit of $8.3 million for the one-time rate change on deferred tax assets and liabilities that resulted from the extension of certain television production cost deductions included in the Bipartisan Budget Act of 2018 (enacted February 9, 2018), tax benefit from foreign subsidiary earnings indefinitely reinvested outside the U.S. of $4.9 million and state income tax expense of $3.8 million.</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months ended March 31, 2017, income tax expense was $73.1 million, representing an effective tax rate of 34%. The effective tax rate differs from the federal statutory rate of 35% due primarily to tax benefit from domestic production activities deduction of $5.9 million, tax benefit from foreign subsidiary earnings indefinitely reinvested outside the U.S. of $4.1</w:t>
      </w:r>
    </w:p>
    <w:p>
      <w:pPr>
        <w:sectPr>
          <w:pgSz w:w="11900" w:h="16838" w:orient="portrait"/>
          <w:cols w:equalWidth="0" w:num="1">
            <w:col w:w="11420"/>
          </w:cols>
          <w:pgMar w:left="240" w:top="125" w:right="239" w:bottom="1440" w:gutter="0" w:footer="0" w:header="0"/>
          <w:type w:val="continuous"/>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million, state income tax expense of $3.4 million and tax expense of $2.3 million for an increase in valuation allowances for foreign taxes.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March 31, 2018, the Company had foreign tax credit carry forwards of approximately $15.6 million, expiring on various dates from 2024 through 2025. These carryforwards have been reduced by a valuation allowance of $15.6 million as it is more likely than not that these carry forwards will not be realized. For the three months ended March 31, 2018, $0.3 million relating to amortization of tax deductible second component goodwill was realized as a reduction in tax liability (as determined on a 'with-and-without' approach).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2018, the Company's contractual obligations not reflected on the Company's condensed consolidated balance sheet decreased $154.7 million to $1.2 billion. The decrease relates primarily to the expiration of payment guarantees to a production service company for certain production related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$280 million The parties each filed motions for summary judgment. Oral arguments of the summary judgment motions took place on September 15, 2017. On April 19, the Court granted the Company’s motion for leave to submit supplemental summary judgment briefing, which will be fully submitted by May 21, 2018. A hearing on the supplemental summary judgment submissions will be held on June 13, 2018. The Company has opposed Plaintiffs' claims. The Company believes that the asserted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6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On January 18, 2018, the 2013 Plaintiffs filed a second action in New York Supreme Court in connection with Darabont’s services on </w:t>
      </w:r>
      <w:r>
        <w:rPr>
          <w:rFonts w:ascii="Arial" w:cs="Arial" w:eastAsia="Arial" w:hAnsi="Arial"/>
          <w:sz w:val="17"/>
          <w:szCs w:val="17"/>
          <w:i w:val="1"/>
          <w:iCs w:val="1"/>
          <w:color w:val="auto"/>
        </w:rPr>
        <w:t>The Walking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Dead </w:t>
      </w:r>
      <w:r>
        <w:rPr>
          <w:rFonts w:ascii="Arial" w:cs="Arial" w:eastAsia="Arial" w:hAnsi="Arial"/>
          <w:sz w:val="17"/>
          <w:szCs w:val="17"/>
          <w:color w:val="auto"/>
        </w:rPr>
        <w:t>television series and agreements between the parties related thereto. The claims in the action allegedly arise from Plaintiffs' audit of their participation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covering the accounting period from inception of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through September 30, 2014. Plaintiffs seek no less than $20 million in damages on claims for breach of contract, breach of the covenant of good faith and fair dealing, and declaratory relief. Plaintiffs also seek a judicial determination that their contracts with the Company entitle them to an "actual fair market license fee" in connection with AMC Networks telecasting of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Walking Dead</w:t>
      </w:r>
      <w:r>
        <w:rPr>
          <w:rFonts w:ascii="Arial" w:cs="Arial" w:eastAsia="Arial" w:hAnsi="Arial"/>
          <w:sz w:val="17"/>
          <w:szCs w:val="17"/>
          <w:color w:val="auto"/>
        </w:rPr>
        <w:t>, which they allege is "substantially better than" what they received. The Company file an Answer to the Complaint on April 16, and the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have agreed to consolidate this action for a joint trial with the action Plaintiffs filed in the New York Supreme Court on December 17, 2013.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18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as well as </w:t>
      </w:r>
      <w:r>
        <w:rPr>
          <w:rFonts w:ascii="Arial" w:cs="Arial" w:eastAsia="Arial" w:hAnsi="Arial"/>
          <w:sz w:val="17"/>
          <w:szCs w:val="17"/>
          <w:i w:val="1"/>
          <w:iCs w:val="1"/>
          <w:color w:val="auto"/>
        </w:rPr>
        <w:t>Fear the Walking Dead</w:t>
      </w:r>
      <w:r>
        <w:rPr>
          <w:rFonts w:ascii="Arial" w:cs="Arial" w:eastAsia="Arial" w:hAnsi="Arial"/>
          <w:sz w:val="17"/>
          <w:szCs w:val="17"/>
          <w:color w:val="auto"/>
        </w:rPr>
        <w:t xml:space="preserve"> and/or </w:t>
      </w:r>
      <w:r>
        <w:rPr>
          <w:rFonts w:ascii="Arial" w:cs="Arial" w:eastAsia="Arial" w:hAnsi="Arial"/>
          <w:sz w:val="17"/>
          <w:szCs w:val="17"/>
          <w:i w:val="1"/>
          <w:iCs w:val="1"/>
          <w:color w:val="auto"/>
        </w:rPr>
        <w:t>Talking Dead</w:t>
      </w:r>
      <w:r>
        <w:rPr>
          <w:rFonts w:ascii="Arial" w:cs="Arial" w:eastAsia="Arial" w:hAnsi="Arial"/>
          <w:sz w:val="17"/>
          <w:szCs w:val="17"/>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production companies), along with Charles Eglee and his production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30, 2018 and believes that the asserted claims are without merit and will vigorously defend against them. At this time, no determination can be made as to the ultimate outcome of this litigation or the potential liability, if any, on the part of the Company.</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Plans</w:t>
      </w:r>
    </w:p>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March 2018, AMC Networks granted 684,737 restricted stock units ("RSUs") and 537,403 performance restricted stock units ("PRSUs") to certain executive officers and employees under the AMC Networks Inc. 2016 Employee Stock Plan. The RSUs vest ratably over a three-year period and the vesting criteria for 195,028 RSUs include the achievement of certain performance targets by the Company. The PRSUs vest on the third anniversary of the grant date.</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three-year period. The number of shares issuable at the end of the applicable measurement period ranges from 0% to 200% of the target PRSU award.</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three months ended March 31, 2018, 707,624 RSUs of AMC Networks Class A Common Stock previously issued to employees of the Company vested. On the vesting date, 289,555 RSUs were surrendered to the Company to cover the required statutory tax withholding obligations and 418,069 new shares of AMC Networks Class A Common Stock were issued in respect of the remaining RSUs. The units surrendered to satisfy the employees' statutory minimum tax withholding obligations for the applicable income and other employment tax had an aggregate value of $15.4 million, which has been reflected as a financing activity in the condensed consolidated statement of cash flows for the three months ended March 31, 2018.</w:t>
      </w:r>
    </w:p>
    <w:p>
      <w:pPr>
        <w:spacing w:after="0" w:line="17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Share-based compensation expense included in selling, general and administrative expense, for the three months ended March 31, 2018 and March 31, 2017 was $15.3 million and $12.5 million, respectively.</w:t>
      </w:r>
    </w:p>
    <w:p>
      <w:pPr>
        <w:spacing w:after="0" w:line="170"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of March 31, 2018, there was $133.8 million of total unrecognized share-based compensation cost related to outstanding unvested share-based awards. The unrecognized compensation cost is expected to be recognized over a weighted-average remaining period of approximately 2.7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Redeemable Noncontrolling Interests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three months ended March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Three Months Ended March</w:t>
            </w:r>
          </w:p>
        </w:tc>
      </w:tr>
      <w:tr>
        <w:trPr>
          <w:trHeight w:val="237"/>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31, 2018</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218,604</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4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3,197</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March 31, 2018</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220,366</w:t>
            </w:r>
          </w:p>
        </w:tc>
      </w:tr>
      <w:tr>
        <w:trPr>
          <w:trHeight w:val="20"/>
        </w:trPr>
        <w:tc>
          <w:tcPr>
            <w:tcW w:w="9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Members of the Dolan Family, for purposes of Section 13(d) of the Securities Exchange Act of 1934, as amended, including trusts for the benefit of the Dolan Family, collectively beneficially own all of the AMC Networks outstanding Class B Common Stock and own approximately 2% of the AMC Networks' outstanding Class A Common Stock. Such shares of the AMC Networks Class A Common Stock and Class B Common Stock, collectively, represent approximately 71% of the aggregate voting power of AMC Networks' outstanding common stock. Members of the Dolan Family are also the controlling stockholders of The Madison Square Garden Company ("MSG") and MSG Networks Inc. ("MSG Networks").</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and its related parties routinely enter into transactions with each other in the ordinary course of business. Revenues, net from related parties amounted to $1.6 million for the three months ended March 31, 2018 and 2017, respectively. Amounts charged to the Company, included in selling, general and administrative expenses, pursuant to transactions with its related parties amounted to $0.5 million and $0.6 million for the three months ended March 31, 2018 and 2017, respectively.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June 16, 2016, AMC Networks entered into an arrangement with the Dolan Family Office, LLC ("DFO"), MSG and MSG Networks providing for the sharing of certain expenses associated with executive office space which will be available to Charles F. Dolan (the Executive Chairman and a director of the Company and a director of MSG and MSG Networks), James L. Dolan (the Executive Chairman and a director of MSG and MSG Networks and a director of the Company), and the DFO which is controlled by Charles F. Dolan. The Company's share of office expenses is not material.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Cash Flows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280"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not yet settled</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9,980</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5,988</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incurred but not yet paid</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Supplemental Data:</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interest paid</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25,634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Income taxes paid, net</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7,498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a non-GAAP measure, defined as operating income (loss) before depreciation and amortization, share-based compensation expense or benefit, impairment and related charges (including gains or losses on sales or dispositions of businesses), and restructuring expense or credit. The Company has presented the components that reconcile adjusted operating income to operating income, an accepted GAAP measure, and other information as to the continuing operations of the Company's operating segments below.</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 2018</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National</w:t>
            </w:r>
          </w:p>
        </w:tc>
        <w:tc>
          <w:tcPr>
            <w:tcW w:w="2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Networks</w:t>
            </w:r>
          </w:p>
        </w:tc>
        <w:tc>
          <w:tcPr>
            <w:tcW w:w="24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225,730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22,510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248,240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407,298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492,583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633,028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111,390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740,823</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249,852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15,319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20,354</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operating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270,874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269,328</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11,942</w:t>
            </w:r>
          </w:p>
        </w:tc>
      </w:tr>
      <w:tr>
        <w:trPr>
          <w:trHeight w:val="567"/>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 2017</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247,542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20,070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267,612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367,605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452,577</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615,147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106,797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720,189</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249,607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231,671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9,908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12,464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23,493</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267,973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270,332</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15,071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20,206</w:t>
            </w: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236"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National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20"/>
              <w:spacing w:after="0"/>
              <w:rPr>
                <w:sz w:val="20"/>
                <w:szCs w:val="20"/>
                <w:color w:val="auto"/>
              </w:rPr>
            </w:pPr>
            <w:r>
              <w:rPr>
                <w:rFonts w:ascii="Arial" w:cs="Arial" w:eastAsia="Arial" w:hAnsi="Arial"/>
                <w:sz w:val="18"/>
                <w:szCs w:val="18"/>
                <w:color w:val="auto"/>
              </w:rPr>
              <w:t>The table below summarizes revenues based on customer location:</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586,568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600,055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78,675</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67,991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41,459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740,823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720,189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Pr>
          <w:p>
            <w:pPr>
              <w:spacing w:after="0"/>
              <w:rPr>
                <w:sz w:val="24"/>
                <w:szCs w:val="24"/>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2017</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138,912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136,203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28,261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18,079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19,050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183,514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Condensed Consolidating Financial Statements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Debt of AMC Networks includes $600 million of 4.75% senior notes due December 2022, $1 billion of 5.00% senior notes due April 2024 and $800 million of 4.75% senior notes due August 2025. All outstanding senior notes issued by AMC Networks (for purposes of this Note 18, "Parent Company")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 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basis in all subsidiaries, including goodwill and identified intangible assets, have been allocated to the applicable subsidiaries.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354,419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174,597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529,200</w:t>
            </w:r>
          </w:p>
        </w:tc>
        <w:tc>
          <w:tcPr>
            <w:tcW w:w="0" w:type="dxa"/>
            <w:vAlign w:val="bottom"/>
          </w:tcPr>
          <w:p>
            <w:pPr>
              <w:spacing w:after="0"/>
              <w:rPr>
                <w:sz w:val="1"/>
                <w:szCs w:val="1"/>
                <w:color w:val="auto"/>
              </w:rPr>
            </w:pPr>
          </w:p>
        </w:tc>
      </w:tr>
      <w:tr>
        <w:trPr>
          <w:trHeight w:val="157"/>
        </w:trPr>
        <w:tc>
          <w:tcPr>
            <w:tcW w:w="4700" w:type="dxa"/>
            <w:vAlign w:val="bottom"/>
          </w:tcPr>
          <w:p>
            <w:pPr>
              <w:ind w:left="380"/>
              <w:spacing w:after="0" w:line="157" w:lineRule="exact"/>
              <w:rPr>
                <w:sz w:val="20"/>
                <w:szCs w:val="20"/>
                <w:color w:val="auto"/>
              </w:rPr>
            </w:pPr>
            <w:r>
              <w:rPr>
                <w:rFonts w:ascii="Arial" w:cs="Arial" w:eastAsia="Arial" w:hAnsi="Arial"/>
                <w:sz w:val="14"/>
                <w:szCs w:val="14"/>
                <w:color w:val="auto"/>
                <w:w w:val="97"/>
              </w:rPr>
              <w:t>Accounts receivable, trade (including amounts due from related parties,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720"/>
              <w:spacing w:after="0" w:line="149" w:lineRule="exact"/>
              <w:rPr>
                <w:sz w:val="20"/>
                <w:szCs w:val="20"/>
                <w:color w:val="auto"/>
              </w:rPr>
            </w:pPr>
            <w:r>
              <w:rPr>
                <w:rFonts w:ascii="Arial" w:cs="Arial" w:eastAsia="Arial" w:hAnsi="Arial"/>
                <w:sz w:val="14"/>
                <w:szCs w:val="14"/>
                <w:color w:val="auto"/>
              </w:rPr>
              <w:t>net,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720"/>
              <w:spacing w:after="0"/>
              <w:rPr>
                <w:sz w:val="20"/>
                <w:szCs w:val="20"/>
                <w:color w:val="auto"/>
              </w:rPr>
            </w:pPr>
            <w:r>
              <w:rPr>
                <w:rFonts w:ascii="Arial" w:cs="Arial" w:eastAsia="Arial" w:hAnsi="Arial"/>
                <w:sz w:val="14"/>
                <w:szCs w:val="14"/>
                <w:color w:val="auto"/>
              </w:rPr>
              <w:t>less allowance for doubtful accounts)</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588,633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204,642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793,275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315,628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149,293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464,921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212,382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10,592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(122,335)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102,058</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1,471,062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539,124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1,889,454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138,866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46,574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185,440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3,616,931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1,013,078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(4,630,009)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1,092,691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186,898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1,279,589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490,380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(490,723)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26,008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27,172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284,278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452,395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66,282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641,372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707,654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21,731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173,988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375,944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549,932</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3,618,534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4,640,472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2,097,428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(5,243,067)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5,113,367</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47,245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49,539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96,816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121,433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149,703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235,301</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255,744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71,118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326,862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51,916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4,771</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86,532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462,161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289,308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(122,335)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715,666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470,626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20,901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491,527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3,101,138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3,101,138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22,270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25,233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150,247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145,159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49,873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87,791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506,226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(490,723)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153,167</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3,387,790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1,023,541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833,617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(613,058)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4,631,890</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220,366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220,366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230,744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3,616,931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1,013,078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(4,630,009)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230,744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30,367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30,367</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230,744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3,616,931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1,043,445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(4,630,009)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261,111</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3,618,534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4,640,472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2,097,428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(5,243,067)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5,113,367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157"/>
        </w:trPr>
        <w:tc>
          <w:tcPr>
            <w:tcW w:w="4700" w:type="dxa"/>
            <w:vAlign w:val="bottom"/>
          </w:tcPr>
          <w:p>
            <w:pPr>
              <w:ind w:left="380"/>
              <w:spacing w:after="0" w:line="157" w:lineRule="exact"/>
              <w:rPr>
                <w:sz w:val="20"/>
                <w:szCs w:val="20"/>
                <w:color w:val="auto"/>
              </w:rPr>
            </w:pPr>
            <w:r>
              <w:rPr>
                <w:rFonts w:ascii="Arial" w:cs="Arial" w:eastAsia="Arial" w:hAnsi="Arial"/>
                <w:sz w:val="14"/>
                <w:szCs w:val="14"/>
                <w:color w:val="auto"/>
                <w:w w:val="97"/>
              </w:rPr>
              <w:t>Accounts receivable, trade (including amounts due from related parties,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720"/>
              <w:spacing w:after="0" w:line="149" w:lineRule="exact"/>
              <w:rPr>
                <w:sz w:val="20"/>
                <w:szCs w:val="20"/>
                <w:color w:val="auto"/>
              </w:rPr>
            </w:pPr>
            <w:r>
              <w:rPr>
                <w:rFonts w:ascii="Arial" w:cs="Arial" w:eastAsia="Arial" w:hAnsi="Arial"/>
                <w:sz w:val="14"/>
                <w:szCs w:val="14"/>
                <w:color w:val="auto"/>
              </w:rPr>
              <w:t>net,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720"/>
              <w:spacing w:after="0"/>
              <w:rPr>
                <w:sz w:val="20"/>
                <w:szCs w:val="20"/>
                <w:color w:val="auto"/>
              </w:rPr>
            </w:pPr>
            <w:r>
              <w:rPr>
                <w:rFonts w:ascii="Arial" w:cs="Arial" w:eastAsia="Arial" w:hAnsi="Arial"/>
                <w:sz w:val="14"/>
                <w:szCs w:val="14"/>
                <w:color w:val="auto"/>
              </w:rPr>
              <w:t>less allowance for doubtful accounts)</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581,270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194,621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775,891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304,149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453,450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183,815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91,726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1,460,482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519,677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1,879,850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136,032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47,482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183,514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3,443,013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934,612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1,128,021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191,258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1,319,279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489,939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29,346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29,924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170,554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457,242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66,609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628,549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695,158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142,115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305,822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447,937</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3,447,093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4,557,710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2,000,571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5,032,985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50,282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51,565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102,197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136,770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263,076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65,545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327,549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46,433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4,847</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52,042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521,758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274,691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744,102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511,996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534,980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3,099,257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3,099,257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26,277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114,717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109,698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77,198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503,166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(490,375)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136,122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3,312,149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1,114,697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818,354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(594,764)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4,650,436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218,604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218,604</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134,944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3,443,013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934,612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134,944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134,944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3,443,013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963,613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163,945</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3,447,093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4,557,710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2,000,571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5,032,985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574,917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740,823</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222,621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320,365</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122,059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48,089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166,449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10,804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9,550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20,354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355,484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156,161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507,168</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219,433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233,655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(33,186)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247,482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(264,980)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16,946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210,369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30,129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8,239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(264,977)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(16,240)</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210,369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249,562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217,415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(53,499)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(56,879)</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156,870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247,482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21,164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(264,980)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160,536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(3,666)</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Parent Company's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156,870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579,382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143,132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720,189</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221,754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298,612</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119,681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45,479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163,709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23,493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354,343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136,385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488,518</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225,039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231,671</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(29,412)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(27,007)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235,774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11,049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206,250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13,399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(238,804)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(15,958)</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206,250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238,438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(238,919)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215,713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(73,082)</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136,217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235,774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9,559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(238,919)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142,631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Parent Company's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136,217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235,774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3,145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(238,919)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136,217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156,870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247,482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21,164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(264,980)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160,536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18,805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18,805</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18,805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(18,805)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18,805</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175,675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247,482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39,969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(283,785)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179,341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Parent Company's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(283,785)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174,778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136,217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235,774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9,559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(238,919)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142,631</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9,864</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gain on interest rate swaps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4,021</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14,204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14,204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12,607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12,607</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148,824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235,774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19,423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(248,783)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155,238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(6,805)</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Parent Company's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148,824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235,774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148,433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234,947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154,495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(264,998)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116,972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(11,942)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Investment in investees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(42,318)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(42,318)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to investment in affiliates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(141,109)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(129,821)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67,191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203,739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(141,109)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(140,861)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203,739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(54,088)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(15,354)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(15,354)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(83,637)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250"/>
        </w:trPr>
        <w:tc>
          <w:tcPr>
            <w:tcW w:w="470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(98,991)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(101,832)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(5,153)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12,911</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14,553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(61,259)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(38,948)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5,017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(49,740)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61,259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9,365</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354,419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174,597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529,200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224,091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138,889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(239,207)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144,870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(15,645)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(20,206)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and loans to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Increase to investment in affiliates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(57,926)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(36,982)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94,908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(57,926)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(52,627)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(32,561)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94,908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(48,206)</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long-term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(12,796)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(12,796)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(91,423)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(91,423)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(11,712)</w:t>
            </w:r>
          </w:p>
        </w:tc>
        <w:tc>
          <w:tcPr>
            <w:tcW w:w="0" w:type="dxa"/>
            <w:vAlign w:val="bottom"/>
          </w:tcPr>
          <w:p>
            <w:pPr>
              <w:spacing w:after="0"/>
              <w:rPr>
                <w:sz w:val="1"/>
                <w:szCs w:val="1"/>
                <w:color w:val="auto"/>
              </w:rPr>
            </w:pPr>
          </w:p>
        </w:tc>
      </w:tr>
      <w:tr>
        <w:trPr>
          <w:trHeight w:val="250"/>
        </w:trPr>
        <w:tc>
          <w:tcPr>
            <w:tcW w:w="470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(159,719)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(172,832)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6,446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85,605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(23,920)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(144,299)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(76,168)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(6,488)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(144,299)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144,299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(1,573)</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320,950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159,874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481,389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262,256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140,869</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403,648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April 20, 2018, the Company acquired a majority ownership interest in Levity Entertainment Group LLC ("Levity"), a vertically integrated media company that owns and operates comedy venues as well as produces original content for distribution on multiple platforms, including live, digital and linear, for a total purchase price of $48.5 million.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13" w:lineRule="exact"/>
        <w:rPr>
          <w:sz w:val="20"/>
          <w:szCs w:val="20"/>
          <w:color w:val="auto"/>
        </w:rPr>
      </w:pPr>
    </w:p>
    <w:p>
      <w:pPr>
        <w:ind w:left="58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level of our revenues;</w:t>
      </w:r>
    </w:p>
    <w:p>
      <w:pPr>
        <w:spacing w:after="0" w:line="117" w:lineRule="exact"/>
        <w:rPr>
          <w:sz w:val="20"/>
          <w:szCs w:val="20"/>
          <w:color w:val="auto"/>
        </w:rPr>
      </w:pPr>
    </w:p>
    <w:p>
      <w:pPr>
        <w:ind w:left="880" w:right="20" w:hanging="310"/>
        <w:spacing w:after="0" w:line="277" w:lineRule="auto"/>
        <w:rPr>
          <w:sz w:val="20"/>
          <w:szCs w:val="20"/>
          <w:color w:val="auto"/>
        </w:rPr>
      </w:pPr>
      <w:r>
        <w:rPr>
          <w:rFonts w:ascii="Arial" w:cs="Arial" w:eastAsia="Arial" w:hAnsi="Arial"/>
          <w:sz w:val="18"/>
          <w:szCs w:val="18"/>
          <w:color w:val="auto"/>
        </w:rPr>
        <w:t>•market demand, including changes in viewer consumption patterns, for our programming networks, our subscription streaming services, and our programming;</w:t>
      </w:r>
    </w:p>
    <w:p>
      <w:pPr>
        <w:spacing w:after="0" w:line="62" w:lineRule="exact"/>
        <w:rPr>
          <w:sz w:val="20"/>
          <w:szCs w:val="20"/>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programming industries;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117"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30"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 including the impact of the Tax Cuts and Jobs Act and the Bipartisan Budget Act of 2018;</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140" w:lineRule="exact"/>
        <w:rPr>
          <w:rFonts w:ascii="Arial" w:cs="Arial" w:eastAsia="Arial" w:hAnsi="Arial"/>
          <w:sz w:val="16"/>
          <w:szCs w:val="16"/>
          <w:color w:val="auto"/>
        </w:rPr>
      </w:pPr>
    </w:p>
    <w:p>
      <w:pPr>
        <w:ind w:left="820" w:hanging="245"/>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62"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regarding the financial results of equity method investees and changes in the nature of key strategic relationships with partners and joint ventures;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128" w:lineRule="exact"/>
        <w:rPr>
          <w:rFonts w:ascii="Arial" w:cs="Arial" w:eastAsia="Arial" w:hAnsi="Arial"/>
          <w:sz w:val="17"/>
          <w:szCs w:val="17"/>
          <w:color w:val="auto"/>
        </w:rPr>
      </w:pPr>
    </w:p>
    <w:p>
      <w:pPr>
        <w:ind w:left="820" w:hanging="245"/>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140" w:lineRule="exact"/>
        <w:rPr>
          <w:rFonts w:ascii="Arial" w:cs="Arial" w:eastAsia="Arial" w:hAnsi="Arial"/>
          <w:sz w:val="16"/>
          <w:szCs w:val="16"/>
          <w:color w:val="auto"/>
        </w:rPr>
      </w:pPr>
    </w:p>
    <w:p>
      <w:pPr>
        <w:ind w:left="1060" w:hanging="485"/>
        <w:spacing w:after="0" w:line="277" w:lineRule="auto"/>
        <w:tabs>
          <w:tab w:leader="none" w:pos="81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2017 Annual Report on Form 10-K (the "2017 Form 10-K"), as filed with the Securities and Exchange Commission ("SEC").</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ectPr>
          <w:pgSz w:w="11900" w:h="16838" w:orient="portrait"/>
          <w:cols w:equalWidth="0" w:num="1">
            <w:col w:w="11420"/>
          </w:cols>
          <w:pgMar w:left="240" w:top="47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72"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2017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 understanding our results of operations and financial condition and in anticipating future trends.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months ended March 31, 2018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March 31, 2017. Our discussion is presented on both a consolidated and operating segment basis. Our two operating segments are: (i) National Networks and (ii) International and Other.</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March 31, 2018, as well as an analysis of our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for the three months ended March 31, 2018 and 2017. The discussion of our financial condition and liquidity includes summaries of (i) our primary sources of liquidity and (ii) our contractual obligations that existed at March 31, 2018 as compared to December 31, 2017.</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225" w:lineRule="exact"/>
        <w:rPr>
          <w:sz w:val="20"/>
          <w:szCs w:val="20"/>
          <w:color w:val="auto"/>
        </w:rPr>
      </w:pPr>
    </w:p>
    <w:p>
      <w:pPr>
        <w:jc w:val="both"/>
        <w:ind w:left="660" w:hanging="328"/>
        <w:spacing w:after="0" w:line="302" w:lineRule="auto"/>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54" w:lineRule="exact"/>
        <w:rPr>
          <w:rFonts w:ascii="Arial" w:cs="Arial" w:eastAsia="Arial" w:hAnsi="Arial"/>
          <w:sz w:val="16"/>
          <w:szCs w:val="16"/>
          <w:i w:val="1"/>
          <w:iCs w:val="1"/>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International and Other</w:t>
      </w:r>
      <w:r>
        <w:rPr>
          <w:rFonts w:ascii="Arial" w:cs="Arial" w:eastAsia="Arial" w:hAnsi="Arial"/>
          <w:sz w:val="17"/>
          <w:szCs w:val="17"/>
          <w:color w:val="auto"/>
        </w:rPr>
        <w:t>: Principally includes AMC Networks International (AMCNI), the Company's international programming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a portfolio of channels in Europe, Latin America, the Middle East and parts of Asia and Africa; IFC Films, the Company's independent film distribution business; and our subscription streaming services, Sundance Now and Shudder. AMCNI – DMC, the broadcast solutions unit of certain networks of AMCNI and third-party networks is included through the date sold, July 12,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333"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02"/>
        </w:trPr>
        <w:tc>
          <w:tcPr>
            <w:tcW w:w="81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Revenues, net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633,028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615,147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106,797</w:t>
            </w: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740,823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720,189</w:t>
            </w:r>
          </w:p>
        </w:tc>
        <w:tc>
          <w:tcPr>
            <w:tcW w:w="0" w:type="dxa"/>
            <w:vAlign w:val="bottom"/>
          </w:tcPr>
          <w:p>
            <w:pPr>
              <w:spacing w:after="0"/>
              <w:rPr>
                <w:sz w:val="1"/>
                <w:szCs w:val="1"/>
                <w:color w:val="auto"/>
              </w:rPr>
            </w:pPr>
          </w:p>
        </w:tc>
      </w:tr>
      <w:tr>
        <w:trPr>
          <w:trHeight w:val="20"/>
        </w:trPr>
        <w:tc>
          <w:tcPr>
            <w:tcW w:w="81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20" w:type="dxa"/>
            <w:vAlign w:val="bottom"/>
            <w:gridSpan w:val="5"/>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249,607</w:t>
            </w: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Consolidated operating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233,655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231,671</w:t>
            </w:r>
          </w:p>
        </w:tc>
        <w:tc>
          <w:tcPr>
            <w:tcW w:w="0" w:type="dxa"/>
            <w:vAlign w:val="bottom"/>
          </w:tcPr>
          <w:p>
            <w:pPr>
              <w:spacing w:after="0"/>
              <w:rPr>
                <w:sz w:val="1"/>
                <w:szCs w:val="1"/>
                <w:color w:val="auto"/>
              </w:rPr>
            </w:pPr>
          </w:p>
        </w:tc>
      </w:tr>
      <w:tr>
        <w:trPr>
          <w:trHeight w:val="190"/>
        </w:trPr>
        <w:tc>
          <w:tcPr>
            <w:tcW w:w="812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AOI</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270,874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267,973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AOI</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269,328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270,332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and related charges (including gains or losses on sales or dispositions of businesses), and restructuring expense or credit.</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388"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231,671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15,319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12,464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23,493</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269,328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270,332</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our National Networks segment, which accounted for 85% of our consolidated revenues for the three months ended March 31, 2018, we earn revenue principally from the distribution of our programming and the sale of advertising. Distribution revenue primarily includes subscription fees paid by distributors to carry our programming networks and license fees paid to us for the licensing of original programming for digital, foreign and home video distribution. Subscription fees paid by distributors</w:t>
      </w:r>
    </w:p>
    <w:p>
      <w:pPr>
        <w:sectPr>
          <w:pgSz w:w="11900" w:h="16838" w:orient="portrait"/>
          <w:cols w:equalWidth="0" w:num="1">
            <w:col w:w="11420"/>
          </w:cols>
          <w:pgMar w:left="240" w:top="47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76" w:right="239" w:bottom="1440" w:gutter="0" w:footer="0" w:header="0"/>
          <w:type w:val="continuous"/>
        </w:sectPr>
      </w:pPr>
    </w:p>
    <w:bookmarkStart w:id="31" w:name="page32"/>
    <w:bookmarkEnd w:id="31"/>
    <w:p>
      <w:pPr>
        <w:jc w:val="both"/>
        <w:spacing w:after="0" w:line="255" w:lineRule="auto"/>
        <w:rPr>
          <w:sz w:val="20"/>
          <w:szCs w:val="20"/>
          <w:color w:val="auto"/>
        </w:rPr>
      </w:pPr>
      <w:r>
        <w:rPr>
          <w:rFonts w:ascii="Arial" w:cs="Arial" w:eastAsia="Arial" w:hAnsi="Arial"/>
          <w:sz w:val="18"/>
          <w:szCs w:val="18"/>
          <w:color w:val="auto"/>
        </w:rPr>
        <w:t>represent the largest component of distribution revenue. Our subscription revenues are generally based on a per subscriber fee under multi-year contracts, commonly referred to as "affiliation agreements," which generally provide for annual rate increases. The specific subscription revenues we earn vary from period to period, distributor to distributor and also vary among our networks, but are generally based upon the number of each distributor’s subscribers who receive our programming, referred to as viewing subscribers. The terms of certain other affiliation agreements provide that the subscription fee revenues we earn are a fixed contractual monthly fee, which could be adjusted for acquisitions and dispositions of multichannel video programming systems by the distributor. Content licensing revenue from the licensing of original programming for digital and foreign distribution is recognized upon availability or distribution by the licensee.</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advertising arrangements with advertisers provide for a set number of advertising units to air over a specific period of time at a negotiated price per unit for which our programming networks generally guarantee specified viewer ratings for their programming.</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expand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such as origination, transmission, uplinking and encryption.</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The timing of exhibition and distribution of original programming varies from period to period, which results in greater variability in our revenues, earnings and cash flows from operating activities. We will continue to increase our investment in programming across all of our channels.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w:t>
      </w:r>
    </w:p>
    <w:p>
      <w:pPr>
        <w:spacing w:after="0" w:line="17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no future programming usefulness based on actual demand or market conditions, a write-off of the unamortized cost is recorded in technical and operating expense. Program rights write-offs of $4.6 million and $0.4 million were recorded for the three months ended March 31, 2018 and March 31, 2017,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International and Other segment primarily includes the operations of AMCNI, IFC Films and our subscription streaming services (i.e. Sundance Now and Shudder). The AMCNI – DMC business was sold on July 12, 2017.</w:t>
      </w:r>
    </w:p>
    <w:p>
      <w:pPr>
        <w:spacing w:after="0" w:line="17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our International and Other segment, which accounted for 15% of our consolidated revenues for the three months ended March 31, 2018,we earn revenue principally from the international distribution of programming and, to a lesser extent, the sale of advertising. Distribution revenue primarily includes subscription fees paid by distributors to carry our programming networks. Our subscription revenues are generally based on either a per-subscriber fee or a fixed contractual annual fee, under multi-year affiliation agreements, which may provide for annual rate increases. For the three months ended March 31, 2018, distribution revenues represented 80% of the revenues of the International and Other segment. Most of these revenues are derived from the distribution of our programming networks primarily in Europe and to a lesser extent, Latin America, the Middle East and parts of Asia and Africa. The International and Other segment also includes IFC Films, our independent film distribution business where revenues are derived principally from theatrical, digital and licensing distribution. Our subscription streaming services are available in the United States, Canada and parts of Europe.</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Programming and program operating costs, included in technical and operating expense, represents the largest expense of the International and Other segment and primarily consists of amortization of acquired content, costs of dubbing and sub-titling of programs, and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6"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If it is determined that programming rights have limited, or no, future programming usefulness based on actual demand or market conditions, a write-off of the unamortized cost is recorded in technical and operating expense.</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view our investments in international expansion and our various developing on-line content distribution initiatives as important long-term strategies. We may experience an adverse impact to the International and Other segment's operating results and cash flows in periods of increased investment by the Company in these aforementioned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to Three Months Ended March 31,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1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740,823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720,189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20,634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320,365</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298,612</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21,753</w:t>
            </w:r>
          </w:p>
        </w:tc>
        <w:tc>
          <w:tcPr>
            <w:tcW w:w="12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166,449</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163,709</w:t>
            </w:r>
          </w:p>
        </w:tc>
        <w:tc>
          <w:tcPr>
            <w:tcW w:w="1380" w:type="dxa"/>
            <w:vAlign w:val="bottom"/>
            <w:gridSpan w:val="3"/>
          </w:tcPr>
          <w:p>
            <w:pPr>
              <w:jc w:val="right"/>
              <w:ind w:right="148"/>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2,740</w:t>
            </w: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20,354</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23,493</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2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2,704</w:t>
            </w:r>
          </w:p>
        </w:tc>
        <w:tc>
          <w:tcPr>
            <w:tcW w:w="1380" w:type="dxa"/>
            <w:vAlign w:val="bottom"/>
            <w:gridSpan w:val="3"/>
          </w:tcPr>
          <w:p>
            <w:pPr>
              <w:jc w:val="right"/>
              <w:ind w:right="148"/>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1"/>
                <w:szCs w:val="21"/>
                <w:color w:val="auto"/>
              </w:rPr>
            </w:pPr>
          </w:p>
        </w:tc>
        <w:tc>
          <w:tcPr>
            <w:tcW w:w="112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507,168</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488,518</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18,650</w:t>
            </w:r>
          </w:p>
        </w:tc>
        <w:tc>
          <w:tcPr>
            <w:tcW w:w="12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233,655</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4"/>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231,671</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1,984</w:t>
            </w: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(33,186)</w:t>
            </w:r>
          </w:p>
        </w:tc>
        <w:tc>
          <w:tcPr>
            <w:tcW w:w="1380" w:type="dxa"/>
            <w:vAlign w:val="bottom"/>
            <w:gridSpan w:val="3"/>
          </w:tcPr>
          <w:p>
            <w:pPr>
              <w:jc w:val="right"/>
              <w:ind w:right="10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(27,007)</w:t>
            </w:r>
          </w:p>
        </w:tc>
        <w:tc>
          <w:tcPr>
            <w:tcW w:w="1380" w:type="dxa"/>
            <w:vAlign w:val="bottom"/>
            <w:gridSpan w:val="3"/>
          </w:tcPr>
          <w:p>
            <w:pPr>
              <w:jc w:val="right"/>
              <w:ind w:right="8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(6,179)</w:t>
            </w: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16,946</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5,897</w:t>
            </w:r>
          </w:p>
        </w:tc>
        <w:tc>
          <w:tcPr>
            <w:tcW w:w="12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7"/>
        </w:trPr>
        <w:tc>
          <w:tcPr>
            <w:tcW w:w="39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(16,240)</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(15,958)</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Net income from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217,415</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215,713</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1,702</w:t>
            </w:r>
          </w:p>
        </w:tc>
        <w:tc>
          <w:tcPr>
            <w:tcW w:w="12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(56,879)</w:t>
            </w:r>
          </w:p>
        </w:tc>
        <w:tc>
          <w:tcPr>
            <w:tcW w:w="1380" w:type="dxa"/>
            <w:vAlign w:val="bottom"/>
            <w:gridSpan w:val="3"/>
          </w:tcPr>
          <w:p>
            <w:pPr>
              <w:jc w:val="right"/>
              <w:ind w:right="104"/>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(73,082)</w:t>
            </w:r>
          </w:p>
        </w:tc>
        <w:tc>
          <w:tcPr>
            <w:tcW w:w="1380" w:type="dxa"/>
            <w:vAlign w:val="bottom"/>
            <w:gridSpan w:val="3"/>
          </w:tcPr>
          <w:p>
            <w:pPr>
              <w:jc w:val="right"/>
              <w:ind w:right="88"/>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16,203</w:t>
            </w:r>
          </w:p>
        </w:tc>
        <w:tc>
          <w:tcPr>
            <w:tcW w:w="1220" w:type="dxa"/>
            <w:vAlign w:val="bottom"/>
            <w:gridSpan w:val="2"/>
          </w:tcPr>
          <w:p>
            <w:pPr>
              <w:jc w:val="right"/>
              <w:ind w:right="99"/>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160,536</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142,631</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17,905</w:t>
            </w:r>
          </w:p>
        </w:tc>
        <w:tc>
          <w:tcPr>
            <w:tcW w:w="12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w w:val="98"/>
              </w:rPr>
              <w:t>Net income attributable to noncontrolling interests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(3,666)</w:t>
            </w:r>
          </w:p>
        </w:tc>
        <w:tc>
          <w:tcPr>
            <w:tcW w:w="1380" w:type="dxa"/>
            <w:vAlign w:val="bottom"/>
            <w:gridSpan w:val="3"/>
          </w:tcPr>
          <w:p>
            <w:pPr>
              <w:jc w:val="right"/>
              <w:ind w:right="10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(6,414)</w:t>
            </w:r>
          </w:p>
        </w:tc>
        <w:tc>
          <w:tcPr>
            <w:tcW w:w="1380" w:type="dxa"/>
            <w:vAlign w:val="bottom"/>
            <w:gridSpan w:val="3"/>
          </w:tcPr>
          <w:p>
            <w:pPr>
              <w:jc w:val="right"/>
              <w:ind w:right="88"/>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2,748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156,870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136,217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20,653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72" w:right="239" w:bottom="1440" w:gutter="0" w:footer="0" w:header="0"/>
        </w:sectPr>
      </w:pPr>
    </w:p>
    <w:bookmarkStart w:id="34" w:name="page35"/>
    <w:bookmarkEnd w:id="34"/>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Revenues,</w:t>
            </w:r>
          </w:p>
        </w:tc>
        <w:tc>
          <w:tcPr>
            <w:tcW w:w="200" w:type="dxa"/>
            <w:vAlign w:val="bottom"/>
          </w:tcPr>
          <w:p>
            <w:pPr>
              <w:spacing w:after="0"/>
              <w:rPr>
                <w:sz w:val="12"/>
                <w:szCs w:val="12"/>
                <w:color w:val="auto"/>
              </w:rPr>
            </w:pPr>
          </w:p>
        </w:tc>
        <w:tc>
          <w:tcPr>
            <w:tcW w:w="9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12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633,028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615,147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17,881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249,786</w:t>
            </w:r>
          </w:p>
        </w:tc>
        <w:tc>
          <w:tcPr>
            <w:tcW w:w="1380" w:type="dxa"/>
            <w:vAlign w:val="bottom"/>
            <w:tcBorders>
              <w:bottom w:val="single" w:sz="8" w:color="CCEEFF"/>
            </w:tcBorders>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233,808</w:t>
            </w:r>
          </w:p>
        </w:tc>
        <w:tc>
          <w:tcPr>
            <w:tcW w:w="138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15,978</w:t>
            </w:r>
          </w:p>
        </w:tc>
        <w:tc>
          <w:tcPr>
            <w:tcW w:w="130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124,895</w:t>
            </w:r>
          </w:p>
        </w:tc>
        <w:tc>
          <w:tcPr>
            <w:tcW w:w="1380" w:type="dxa"/>
            <w:vAlign w:val="bottom"/>
            <w:gridSpan w:val="3"/>
          </w:tcPr>
          <w:p>
            <w:pPr>
              <w:jc w:val="right"/>
              <w:ind w:right="12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123,274</w:t>
            </w: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1,621</w:t>
            </w:r>
          </w:p>
        </w:tc>
        <w:tc>
          <w:tcPr>
            <w:tcW w:w="1300" w:type="dxa"/>
            <w:vAlign w:val="bottom"/>
            <w:gridSpan w:val="2"/>
          </w:tcPr>
          <w:p>
            <w:pPr>
              <w:jc w:val="right"/>
              <w:ind w:right="1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380" w:type="dxa"/>
            <w:vAlign w:val="bottom"/>
            <w:tcBorders>
              <w:bottom w:val="single" w:sz="8" w:color="CCEEFF"/>
            </w:tcBorders>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138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30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249,852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249,607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12,527</w:t>
            </w:r>
          </w:p>
        </w:tc>
        <w:tc>
          <w:tcPr>
            <w:tcW w:w="1380" w:type="dxa"/>
            <w:vAlign w:val="bottom"/>
            <w:gridSpan w:val="3"/>
          </w:tcPr>
          <w:p>
            <w:pPr>
              <w:jc w:val="right"/>
              <w:ind w:right="12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9,908</w:t>
            </w: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2,619</w:t>
            </w:r>
          </w:p>
        </w:tc>
        <w:tc>
          <w:tcPr>
            <w:tcW w:w="1300" w:type="dxa"/>
            <w:vAlign w:val="bottom"/>
            <w:gridSpan w:val="2"/>
          </w:tcPr>
          <w:p>
            <w:pPr>
              <w:jc w:val="right"/>
              <w:ind w:right="116"/>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8,495</w:t>
            </w:r>
          </w:p>
        </w:tc>
        <w:tc>
          <w:tcPr>
            <w:tcW w:w="1380" w:type="dxa"/>
            <w:vAlign w:val="bottom"/>
            <w:gridSpan w:val="3"/>
          </w:tcPr>
          <w:p>
            <w:pPr>
              <w:jc w:val="right"/>
              <w:ind w:right="12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8,404</w:t>
            </w: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300" w:type="dxa"/>
            <w:vAlign w:val="bottom"/>
            <w:gridSpan w:val="2"/>
          </w:tcPr>
          <w:p>
            <w:pPr>
              <w:jc w:val="right"/>
              <w:ind w:right="1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270,874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267,973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2,901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3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111,390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106,797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74,763</w:t>
            </w:r>
          </w:p>
        </w:tc>
        <w:tc>
          <w:tcPr>
            <w:tcW w:w="136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67,838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6,925</w:t>
            </w:r>
          </w:p>
        </w:tc>
        <w:tc>
          <w:tcPr>
            <w:tcW w:w="146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41,582</w:t>
            </w:r>
          </w:p>
        </w:tc>
        <w:tc>
          <w:tcPr>
            <w:tcW w:w="1360" w:type="dxa"/>
            <w:vAlign w:val="bottom"/>
            <w:gridSpan w:val="3"/>
          </w:tcPr>
          <w:p>
            <w:pPr>
              <w:jc w:val="right"/>
              <w:ind w:right="162"/>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40,437</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1,145</w:t>
            </w:r>
          </w:p>
        </w:tc>
        <w:tc>
          <w:tcPr>
            <w:tcW w:w="1460" w:type="dxa"/>
            <w:vAlign w:val="bottom"/>
            <w:gridSpan w:val="2"/>
          </w:tcPr>
          <w:p>
            <w:pPr>
              <w:jc w:val="right"/>
              <w:ind w:right="15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136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15,089</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4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2,650</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1"/>
                <w:szCs w:val="21"/>
                <w:color w:val="auto"/>
              </w:rPr>
            </w:pPr>
          </w:p>
        </w:tc>
        <w:tc>
          <w:tcPr>
            <w:tcW w:w="136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(16,814)</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2,792</w:t>
            </w:r>
          </w:p>
        </w:tc>
        <w:tc>
          <w:tcPr>
            <w:tcW w:w="1360" w:type="dxa"/>
            <w:vAlign w:val="bottom"/>
            <w:gridSpan w:val="3"/>
          </w:tcPr>
          <w:p>
            <w:pPr>
              <w:jc w:val="right"/>
              <w:ind w:right="16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2,556</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1460" w:type="dxa"/>
            <w:vAlign w:val="bottom"/>
            <w:gridSpan w:val="2"/>
          </w:tcPr>
          <w:p>
            <w:pPr>
              <w:jc w:val="right"/>
              <w:ind w:right="156"/>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11,859</w:t>
            </w:r>
          </w:p>
        </w:tc>
        <w:tc>
          <w:tcPr>
            <w:tcW w:w="1360" w:type="dxa"/>
            <w:vAlign w:val="bottom"/>
            <w:gridSpan w:val="3"/>
          </w:tcPr>
          <w:p>
            <w:pPr>
              <w:jc w:val="right"/>
              <w:ind w:right="16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15,089</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(3,230)</w:t>
            </w:r>
          </w:p>
        </w:tc>
        <w:tc>
          <w:tcPr>
            <w:tcW w:w="1460" w:type="dxa"/>
            <w:vAlign w:val="bottom"/>
            <w:gridSpan w:val="2"/>
          </w:tcPr>
          <w:p>
            <w:pPr>
              <w:jc w:val="right"/>
              <w:ind w:right="96"/>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28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Revenues, net increased $20.6 million to $740.8 million for the three months ended March 31, 2018 as compared to the three months ended March 31, 2017. The net change by segment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34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3"/>
                <w:szCs w:val="13"/>
                <w:color w:val="auto"/>
              </w:rPr>
            </w:pPr>
          </w:p>
        </w:tc>
        <w:tc>
          <w:tcPr>
            <w:tcW w:w="12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633,028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615,147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17,881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111,390</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106,797</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4,593</w:t>
            </w: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3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740,823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720,189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20,634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28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2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225,730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247,542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407,298</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367,605</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39,693</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633,028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615,147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17,881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300" w:hanging="644"/>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decrease of $21.8 million in advertising revenues was driven by a decrease of $26.7 million at AMC due to lower ratings, partially offset by pricing. The decrease at AMC was partially offset by increases at our other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186"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 revenues increased $39.7 million due to an increase in content licensing revenues of $31.7 million primarily from digital distribution revenues derived from our original programming, principally at AMC, due to certain programming that became available for distribution in the first quarter of 2018 as compared to the second quarter in 2017. Subscription revenues increased $8.0 million across all of our networks resulting from an increase in rates. Distribution revenues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12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22,510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20,070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88,880</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86,727</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2,153</w:t>
            </w: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111,390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106,797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4,593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firstLine="405"/>
        <w:spacing w:after="0" w:line="257" w:lineRule="auto"/>
        <w:rPr>
          <w:sz w:val="20"/>
          <w:szCs w:val="20"/>
          <w:color w:val="auto"/>
        </w:rPr>
      </w:pPr>
      <w:r>
        <w:rPr>
          <w:rFonts w:ascii="Arial" w:cs="Arial" w:eastAsia="Arial" w:hAnsi="Arial"/>
          <w:sz w:val="18"/>
          <w:szCs w:val="18"/>
          <w:color w:val="auto"/>
        </w:rPr>
        <w:t>The increase in advertising revenues was principally due to the favorable impact of foreign currency translation of $2.3 million. The increase in distribution revenue was principally due to an increase of $2.7 million in revenues from our subscription streaming services. Foreign currency translation had a favorable impact to distribution revenue of $9.3 million which was offset by a decrease of $5.3 million due to the absence of revenue from the sale of AMCNI – DMC (sold in July 2017), a decrease at IFC Films of $1.3 million due to the timing of release of certain films and a decrease in distribution revenues at AMCNI.</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ectPr>
          <w:pgSz w:w="11900" w:h="16838" w:orient="portrait"/>
          <w:cols w:equalWidth="0" w:num="1">
            <w:col w:w="11420"/>
          </w:cols>
          <w:pgMar w:left="240" w:top="47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72" w:right="239" w:bottom="1440" w:gutter="0" w:footer="0" w:header="0"/>
          <w:type w:val="continuous"/>
        </w:sectPr>
      </w:pPr>
    </w:p>
    <w:bookmarkStart w:id="36" w:name="page37"/>
    <w:bookmarkEnd w:id="36"/>
    <w:p>
      <w:pPr>
        <w:ind w:left="440"/>
        <w:spacing w:after="0"/>
        <w:rPr>
          <w:sz w:val="20"/>
          <w:szCs w:val="20"/>
          <w:color w:val="auto"/>
        </w:rPr>
      </w:pPr>
      <w:r>
        <w:rPr>
          <w:rFonts w:ascii="Arial" w:cs="Arial" w:eastAsia="Arial" w:hAnsi="Arial"/>
          <w:sz w:val="17"/>
          <w:szCs w:val="17"/>
          <w:color w:val="auto"/>
        </w:rPr>
        <w:t>Technical and operating expense (excluding depreciation and amortization) increased $21.8 million to $320.4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as compared to the three months ended March 31, 2017. The net change by segment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249,786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233,808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15,978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74,763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67,838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6,925</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10.2</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(4,184)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37.9</w:t>
            </w:r>
          </w:p>
        </w:tc>
      </w:tr>
      <w:tr>
        <w:trPr>
          <w:trHeight w:val="297"/>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320,365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298,612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21,753</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
        </w:trPr>
        <w:tc>
          <w:tcPr>
            <w:tcW w:w="5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increase in technical and operating expense was primarily attributable to an increase of $12.4 million in program rights amortization expense and an increase of $3.6 million in other direct programming costs. Program rights amortization expense includes write-offs of $4.6 million for the three months ended March 31, 2018 primarily based on management's assessment of programming usefulness of certain scripted series and development costs at AMC, as compared to program rights write-offs of $0.4 million for the three months ended March 31, 2017.</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technical and operating expense was primarily due to an increased investment in programming and other direct programming costs, including transmission, at AMCNI of $8.8 million as well as an increase of $2.1 million at our subscription streaming services, partially offset by the absence of $4.2 million in costs related to AMCNI – DMC (sold in July 2017). Foreign currency translation had an unfavorable impact to the change in technical and operating expense of $6.5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facilities.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increased $2.7 million to $166.4 million for the three months ended March 31, 2018, as compared to the three months ended March 31, 2017.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124,895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123,274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1,621</w:t>
            </w:r>
          </w:p>
        </w:tc>
        <w:tc>
          <w:tcPr>
            <w:tcW w:w="16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w w:val="97"/>
              </w:rPr>
              <w:t>1.3%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41,582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40,437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1,145</w:t>
            </w:r>
          </w:p>
        </w:tc>
        <w:tc>
          <w:tcPr>
            <w:tcW w:w="1640" w:type="dxa"/>
            <w:vAlign w:val="bottom"/>
            <w:gridSpan w:val="2"/>
          </w:tcPr>
          <w:p>
            <w:pPr>
              <w:ind w:left="1220"/>
              <w:spacing w:after="0"/>
              <w:rPr>
                <w:sz w:val="20"/>
                <w:szCs w:val="20"/>
                <w:color w:val="auto"/>
              </w:rPr>
            </w:pPr>
            <w:r>
              <w:rPr>
                <w:rFonts w:ascii="Arial" w:cs="Arial" w:eastAsia="Arial" w:hAnsi="Arial"/>
                <w:sz w:val="18"/>
                <w:szCs w:val="18"/>
                <w:color w:val="auto"/>
              </w:rPr>
              <w:t>2.8</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n/m</w:t>
            </w:r>
          </w:p>
        </w:tc>
      </w:tr>
      <w:tr>
        <w:trPr>
          <w:trHeight w:val="297"/>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166,449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163,709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2,740</w:t>
            </w:r>
          </w:p>
        </w:tc>
        <w:tc>
          <w:tcPr>
            <w:tcW w:w="1640" w:type="dxa"/>
            <w:vAlign w:val="bottom"/>
            <w:tcBorders>
              <w:bottom w:val="single" w:sz="8" w:color="CCEEFF"/>
            </w:tcBorders>
            <w:gridSpan w:val="2"/>
          </w:tcPr>
          <w:p>
            <w:pPr>
              <w:ind w:left="1220"/>
              <w:spacing w:after="0"/>
              <w:rPr>
                <w:sz w:val="20"/>
                <w:szCs w:val="20"/>
                <w:color w:val="auto"/>
              </w:rPr>
            </w:pPr>
            <w:r>
              <w:rPr>
                <w:rFonts w:ascii="Arial" w:cs="Arial" w:eastAsia="Arial" w:hAnsi="Arial"/>
                <w:sz w:val="18"/>
                <w:szCs w:val="18"/>
                <w:color w:val="auto"/>
                <w:w w:val="97"/>
              </w:rPr>
              <w:t>1.7%</w:t>
            </w: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
        </w:trPr>
        <w:tc>
          <w:tcPr>
            <w:tcW w:w="5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 increased $1.6 million principally as a result of a $4.9 million increase in general and administrative costs, including a $1.9 million increase in long-term incentive compensation expense, partially offset by a decrease in sales and marketing related costs of $3.3 million related to timing of the promotion and marketing of original programming.</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76" w:right="239" w:bottom="1440" w:gutter="0" w:footer="0" w:header="0"/>
          <w:type w:val="continuous"/>
        </w:sectPr>
      </w:pPr>
    </w:p>
    <w:bookmarkStart w:id="37" w:name="page38"/>
    <w:bookmarkEnd w:id="37"/>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Selling, general and administrative expense increased $1.1 million primarily related to an increase in marketing costs at IFC Films of $2.4 million due to the promotion of certain films, partially offset by a decrease at AMCNI due to the absence of costs related to AMCNI – DMC (sold in July 2017). Foreign currency translation had an unfavorable impact to the change in selling, general and administrative expense of $2.5 million.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decreased $3.1 million to $20.4 million for the three months ended March 31, 2018, as compared to the three months ended March 31, 2017.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11,859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15,089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(3,230)</w:t>
            </w:r>
          </w:p>
        </w:tc>
        <w:tc>
          <w:tcPr>
            <w:tcW w:w="1720" w:type="dxa"/>
            <w:vAlign w:val="bottom"/>
            <w:gridSpan w:val="2"/>
          </w:tcPr>
          <w:p>
            <w:pPr>
              <w:jc w:val="right"/>
              <w:ind w:right="108"/>
              <w:spacing w:after="0"/>
              <w:rPr>
                <w:sz w:val="20"/>
                <w:szCs w:val="20"/>
                <w:color w:val="auto"/>
              </w:rPr>
            </w:pPr>
            <w:r>
              <w:rPr>
                <w:rFonts w:ascii="Arial" w:cs="Arial" w:eastAsia="Arial" w:hAnsi="Arial"/>
                <w:sz w:val="18"/>
                <w:szCs w:val="18"/>
                <w:color w:val="auto"/>
              </w:rPr>
              <w:t>(21.4)</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20,354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23,493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decrease in depreciation and amortization expense in the International and Other segment was attributable to the absence of AMCNI – DMC (sold in July 2017).</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Restructuring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Restructuring expense of $2.7 million for the three months ended March 31, 2017 related to corporate headquarter severance charges in connection with the restructuring initiative launched during the second half of 2016.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249,852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2,403</w:t>
            </w:r>
          </w:p>
        </w:tc>
        <w:tc>
          <w:tcPr>
            <w:tcW w:w="1700" w:type="dxa"/>
            <w:vAlign w:val="bottom"/>
            <w:gridSpan w:val="2"/>
          </w:tcPr>
          <w:p>
            <w:pPr>
              <w:jc w:val="right"/>
              <w:ind w:right="88"/>
              <w:spacing w:after="0"/>
              <w:rPr>
                <w:sz w:val="20"/>
                <w:szCs w:val="20"/>
                <w:color w:val="auto"/>
              </w:rPr>
            </w:pPr>
            <w:r>
              <w:rPr>
                <w:rFonts w:ascii="Arial" w:cs="Arial" w:eastAsia="Arial" w:hAnsi="Arial"/>
                <w:sz w:val="18"/>
                <w:szCs w:val="18"/>
                <w:color w:val="auto"/>
              </w:rPr>
              <w:t>(12.5)</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7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(51.8)</w:t>
            </w:r>
          </w:p>
        </w:tc>
      </w:tr>
      <w:tr>
        <w:trPr>
          <w:trHeight w:val="257"/>
        </w:trPr>
        <w:tc>
          <w:tcPr>
            <w:tcW w:w="50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233,655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231,671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1,984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0.9 %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increase in operating income at the National Networks segment was primarily attributable to an increase in revenues of $17.9 million, partially offset by an increase in technical and operating expense of $16.0 million and an increase in selling, general and administrative expense of $1.6 million. The decrease in operating losses in the International and Other segment was primarily attributable to an increase in revenues of $4.6 million, a decrease in depreciation and amortization of $3.2 million, a decrease in restructuring expense of $2.7 million, partially offset by an increase in technical and operating expense of $6.9 million and an increase in selling, general and administrative expense of $1.1 million. Foreign currency translation had a favorable impact to the change in operating income of $1.3 million.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233,655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231,671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15,319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12,464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2,855</w:t>
            </w:r>
          </w:p>
        </w:tc>
        <w:tc>
          <w:tcPr>
            <w:tcW w:w="1720" w:type="dxa"/>
            <w:vAlign w:val="bottom"/>
            <w:gridSpan w:val="2"/>
          </w:tcPr>
          <w:p>
            <w:pPr>
              <w:jc w:val="right"/>
              <w:ind w:right="159"/>
              <w:spacing w:after="0"/>
              <w:rPr>
                <w:sz w:val="20"/>
                <w:szCs w:val="20"/>
                <w:color w:val="auto"/>
              </w:rPr>
            </w:pPr>
            <w:r>
              <w:rPr>
                <w:rFonts w:ascii="Arial" w:cs="Arial" w:eastAsia="Arial" w:hAnsi="Arial"/>
                <w:sz w:val="18"/>
                <w:szCs w:val="18"/>
                <w:color w:val="auto"/>
              </w:rPr>
              <w:t>22.9</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n/m</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20,354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23,493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(3,139)</w:t>
            </w:r>
          </w:p>
        </w:tc>
        <w:tc>
          <w:tcPr>
            <w:tcW w:w="1720" w:type="dxa"/>
            <w:vAlign w:val="bottom"/>
            <w:gridSpan w:val="2"/>
          </w:tcPr>
          <w:p>
            <w:pPr>
              <w:jc w:val="right"/>
              <w:ind w:right="99"/>
              <w:spacing w:after="0"/>
              <w:rPr>
                <w:sz w:val="20"/>
                <w:szCs w:val="20"/>
                <w:color w:val="auto"/>
              </w:rPr>
            </w:pPr>
            <w:r>
              <w:rPr>
                <w:rFonts w:ascii="Arial" w:cs="Arial" w:eastAsia="Arial" w:hAnsi="Arial"/>
                <w:sz w:val="18"/>
                <w:szCs w:val="18"/>
                <w:color w:val="auto"/>
              </w:rPr>
              <w:t>(13.4)</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270,332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76" w:right="239" w:bottom="1440" w:gutter="0" w:footer="0" w:header="0"/>
          <w:type w:val="continuous"/>
        </w:sectPr>
      </w:pPr>
    </w:p>
    <w:bookmarkStart w:id="38" w:name="page39"/>
    <w:bookmarkEnd w:id="38"/>
    <w:p>
      <w:pPr>
        <w:jc w:val="both"/>
        <w:ind w:firstLine="432"/>
        <w:spacing w:after="0" w:line="277" w:lineRule="auto"/>
        <w:rPr>
          <w:sz w:val="20"/>
          <w:szCs w:val="20"/>
          <w:color w:val="auto"/>
        </w:rPr>
      </w:pPr>
      <w:r>
        <w:rPr>
          <w:rFonts w:ascii="Arial" w:cs="Arial" w:eastAsia="Arial" w:hAnsi="Arial"/>
          <w:sz w:val="18"/>
          <w:szCs w:val="18"/>
          <w:color w:val="auto"/>
        </w:rPr>
        <w:t>AOI decreased $1.0 million for the three months ended March 31, 2018 as compared to the three months ended March 31, 2017.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270,874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267,973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(3,241)</w:t>
            </w:r>
          </w:p>
        </w:tc>
        <w:tc>
          <w:tcPr>
            <w:tcW w:w="1720" w:type="dxa"/>
            <w:vAlign w:val="bottom"/>
            <w:gridSpan w:val="2"/>
          </w:tcPr>
          <w:p>
            <w:pPr>
              <w:jc w:val="right"/>
              <w:ind w:right="108"/>
              <w:spacing w:after="0"/>
              <w:rPr>
                <w:sz w:val="20"/>
                <w:szCs w:val="20"/>
                <w:color w:val="auto"/>
              </w:rPr>
            </w:pPr>
            <w:r>
              <w:rPr>
                <w:rFonts w:ascii="Arial" w:cs="Arial" w:eastAsia="Arial" w:hAnsi="Arial"/>
                <w:sz w:val="18"/>
                <w:szCs w:val="18"/>
                <w:color w:val="auto"/>
              </w:rPr>
              <w:t>(300.6)</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7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(51.8)</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269,328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270,332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National Networks AOI increased principally due to an increase in revenues of $17.9 million and a decrease in selling, general and administrative expenses (excluding stock based compensation) of $1.0 million, partially offset by an increase in technical and operating expenses of $16.0 million resulting primarily from an increase in program rights amortization.</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International and Other AOI decreased primarily due to an increase in technical and operating expenses of $6.9 million primarily due to an increase in programming and transmission related costs at AMCNI and an increase in selling, general and administrative expenses (excluding stock based compensation) of $0.9 million, partially offset by an increase in revenues of $4.6 million. Foreign currency translation had a favorable impact in the change in AOI of $2.7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 result of the factors discussed above impacting the variability in revenues and operating expenses, we expect AOI to vary from quarter to quarter.</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increase in interest expense, net of $6.2 million is driven by an increase in interest expense of $7.7 million primarily as a result of the issuance of our $800 million aggregate principal amounts of 4.75% Senior Notes due 2025 on July 28, 2017, partially offset by an increase in interest income of $1.5 million recorded for the three months ended March 31, 2018, in connection with increased cash balances for the three months ended March 31, 2018 versus the same period in 2017 as well as interest income earned on term loans entered into with RLJ Entertainment, Inc. ("RLJE") in October 2016.</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increase in miscellaneous, net of $5.9 million for the three months ended March 31, 2018 as compared to the three months ended March 31, 2017 is primarily driven by $3.0 million in a favorable variance in the foreign currency remeasurement of monetary assets and liabilities (principally intercompany loans) that are denominated in currencies other than the underlying functional currency of the applicable entity and $3.2 million in gains driven by an increase in the fair market value of RLJE common shares held by the Company which started to be recognized during the second quarter 2017 upon meeting the criteria to be accounted for as an equity method investment following the exercise of warrants, for which we have elected the fair value option.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For the three months ended March 31, 2018, income tax expense was $56.9 million, representing an effective tax rate of 26%. The effective tax rate differs from the federal statutory rate of 21% due primarily to tax expense of $16.4 million for an increase in valuation allowances for foreign taxes and U.S. foreign tax credits, tax benefit of $8.3 million for the one-time rate change on deferred tax assets and liabilities that resulted from the extension of certain television production cost deductions included in the Bipartisan Budget Act of 2018 (enacted February 9, 2018), tax benefit from foreign subsidiary earnings indefinitely reinvested outside the U.S. of $4.9 million and state income tax expense of $3.8 million.</w:t>
      </w:r>
    </w:p>
    <w:p>
      <w:pPr>
        <w:spacing w:after="0" w:line="64"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The Tax Cuts and Jobs Act ("TCJA") was enacted on December 22, 2017. The TCJA introduces significant changes in tax law, with certain provisions being effective for the year ended December 31, 2017, however most are effective for tax years beginning after December 31, 2017. Companies are required to recognize the effect of tax law changes in the period of enactment, however, due to the complexities involved in accounting for the enactment of TCJA, SEC Staff Accounting Bulletin ("SAB") 118 allows us to record provisional amounts to reflect the impacts of the TCJA during a one year "measurement period". The Company has recorded a provisional amount related to the one-time transition tax in the year ended December 31, 2017 and there has been no change to this amount as of March 31, 2018. .</w:t>
      </w:r>
    </w:p>
    <w:p>
      <w:pPr>
        <w:spacing w:after="0" w:line="193"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7"/>
          <w:szCs w:val="17"/>
          <w:color w:val="auto"/>
        </w:rPr>
        <w:t>In continuing our analysis of the impact of the TCJA on deferred tax amounts, we have recorded a discrete tax expense of $15.6 million in the period ended March 31, 2018, resulting from an updated assessment in response to guidance contained in a recently issued IRS notice. This expense relates to a valuation allowance against foreign tax credit carry forwards. This is a provisional amount that will continue to be evaluated based on the consideration of other aspects of the TCJA as well as the issuance of additional guidance. Since the Company has recorded other provisional amounts related to the TCJA, any corresponding determination of the need for or change to the valuation allowance is also provisional.</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22" w:right="239" w:bottom="1440" w:gutter="0" w:footer="0" w:header="0"/>
        </w:sectPr>
      </w:pPr>
    </w:p>
    <w:bookmarkStart w:id="39" w:name="page40"/>
    <w:bookmarkEnd w:id="39"/>
    <w:p>
      <w:pPr>
        <w:jc w:val="both"/>
        <w:ind w:firstLine="378"/>
        <w:spacing w:after="0" w:line="277" w:lineRule="auto"/>
        <w:rPr>
          <w:sz w:val="20"/>
          <w:szCs w:val="20"/>
          <w:color w:val="auto"/>
        </w:rPr>
      </w:pPr>
      <w:r>
        <w:rPr>
          <w:rFonts w:ascii="Arial" w:cs="Arial" w:eastAsia="Arial" w:hAnsi="Arial"/>
          <w:sz w:val="18"/>
          <w:szCs w:val="18"/>
          <w:color w:val="auto"/>
        </w:rPr>
        <w:t>The Company will continue to analyze the effects of the TCJA on its financial statements and operations. Additional impacts from the enactment of the TCJA will be recorded as they are identified during the measurement period as provided for in SAB 118.</w:t>
      </w:r>
    </w:p>
    <w:p>
      <w:pPr>
        <w:spacing w:after="0" w:line="170"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Judgment is required in determining the provision for income taxes and related accruals, deferred tax assets and liabilities. Consequently, changes in our estimates regarding uncertain tax positions and the realization of deferred tax assets will impact our results of operations and financial position. Deferred tax assets are evaluated quarterly for expected future realization and reduced by a valuation allowance to the extent management believes it is more likely than not that a portion will not be realized. See Note 10 to the accompanying consolidated financial statements for further discussion of the Company's income taxes.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three months ended March 31, 2017, income tax expense was $73.1 million, representing an effective tax rate of 34%. The effective tax rate differs from the federal statutory rate of 35% due primarily to tax benefit from domestic production activities deduction of $5.9 million, tax benefit from foreign subsidiary earnings indefinitely reinvested outside the U.S. of $4.1 million, state income tax expense of $3.4 million and tax expense of $2.3 million for an increase in valuation allowances for foreign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other sources of capital such as the public bond markets.</w:t>
      </w:r>
    </w:p>
    <w:p>
      <w:pPr>
        <w:spacing w:after="0" w:line="17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March 7, 2016, the Company announced that its Board of Directors authorized a program to repurchase up to $500 million of its outstanding shares of common stock (the "2016 Stock Repurchase Program"). On June 6, 2017, the Board of Directors approved an increase of $500 million in the amount authorized for a total of $1.0 billion authorized under the 2016 Stock Repurchase Program. The Company determines the timing and the amount of any repurchases based on its evaluation of market conditions, share price, and other factors. The 2016 Stock Repurchase Program has no pre-established closing date and may be suspended or discontinued at any time. For the three months ended March 31, 2018, the Company repurchased 1.6 million shares of its Class A common stock at an average purchase price of approximately $50.77 per share. As of March 31, 2018, the Company has $258.9 million available for repurchase under the 2016 Stock Repurchase Program. For the period April 1, 2018 through May 4, 2018, we repurchased approximately 2.4 million additional shares for $124.8 million.</w:t>
      </w:r>
    </w:p>
    <w:p>
      <w:pPr>
        <w:spacing w:after="0" w:line="17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We continue to increase our investment in original programming, the funding of which generally occurs six to nine months in advance of a program's airing. We expect this increased investment to continue in 2018.</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March 31, 2018, our consolidated cash and cash equivalents balance includes approximately $119.8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 The Company is still evaluating whether to change its indefinite reinvestment assertion due to certain provisions of the TCJA. Any potential changes to the assertion would be made within the measurement period and accounted for as part of the change in tax law.</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6" w:right="2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to our outstanding debt obligations, refer to Item 7, "Management's Discussion and Analysis of Financial Condition and Results of Operations - Debt Financing Agreements" of our 2017 Form 10-K.</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revolving credit facility was not drawn upon at March 31, 2018. The total undrawn revolver commitment is available to be drawn for our general corporate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AMC Networks was in compliance with all of its debt covenants as of March 31, 2018.</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February 26, 2018, the Company delivered a letter to RLJ Entertainment, Inc. ("RLJE") pursuant to which the Company proposed to acquire the outstanding shares of RLJE not currently owned by the Company or entities affiliated with Robert L. Johnson for a purchase price of $4.25 per share in cash. Through this offer, the Company intends for RLJE to become a majority-owned subsidiary of the Company, with a minority stake held by Mr. Johnson. The board of directors of RLJE has formed a special committee of independent directors to consider the proposal. There can be no assurance that the proposal made by the Company to RLJE will result in a transaction or the terms upon which any transaction may occur.</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April 20, 2018, the Company acquired a majority ownership interest in Levity Entertainment Group LLC ("Levity"), a vertically integrated media company that owns and operates comedy venues as well as produces original content for distribution on multiple platforms, including live, digital and linear, for a total purchase price of $48.5 million.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 Flow Discussion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three months ended March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157"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37465</wp:posOffset>
            </wp:positionV>
            <wp:extent cx="2315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2017</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116,972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144,870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(48,206)</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(172,832)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(76,168)</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Net cash provided by operating activities amounted to $117.0 million for the three months ended March 31, 2018 as compared to $144.9 million for the three months ended March 31, 2017. Net cash provided by operating activities for the three months ended March 31, 2018 primarily resulted from $432.9 million of net income before amortization of program rights, depreciation and amortization, and other non-cash items, as well as an increase in taxes payable of $15.7 million, which was partially offset by payments for program rights of $248.6 million, a decrease in accounts payable, accrued expenses and other liabilities of $63.0 million primarily related to lower employee related liabilities and an increase in receivables of $17.9 million primarily related to timing of cash receipts. Changes in all other assets and liabilities resulted in a decrease of $2.1 million.</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Net cash provided by operating activities amounted to $144.9 million for the three months ended March 31, 2017 and primarily resulted from $377.8 million of net income before amortization of program rights, depreciation and amortization, and other non-cash items, which was partially offset by payments for program rights of $211.3 million, a decrease in accounts payable, accrued expenses and other liabilities of $33.7 million primarily related to lower employee related liabilities, an increase in prepaid expense and other assets of $18.2 million, an increase in accounts receivable, trade of $16.0 million primarily related to timing of cash receipts and a decrease in deferred revenue of $11.1 million. Additionally, net cash provided by operating activities increased due to an increase in taxes payable of $57.6 million.</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Net cash used in investing activities for the three months ended March 31, 2018 and 2017 was $54.1 million and $48.2 million, respectively. For the three months ended March 31, 2018, cash used in investing activities included investments of $42.3 million and capital expenditures of $11.9 million. For the three months ended March 31, 2017, cash used in investing activities included investments of $28.0 million and capital expenditures of $20.2 million.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cash used in financing activities amounted to $101.8 million for the three months ended March 31, 2018 as compared to $172.8 million for the three months ended March 31, 2017. For the three months ended March 31, 2018, financing activities</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76" w:right="239" w:bottom="1440" w:gutter="0" w:footer="0" w:header="0"/>
          <w:type w:val="continuous"/>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t>primarily consisted of purchases of our common stock of $83.6 million under our 2016 Stock Repurchase Program. In addition, net cash used in financing activities for the three months ended March 31, 2018 includes taxes paid in lieu of shares issued for equity-based compensation of $15.4 million and distributions to noncontrolling interests of $1.4 million.</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cash used in financing activities amounted to $172.8 million for the three months ended March 31, 2017 and primarily consisted of purchases of our common stock of $91.4 million under our 2016 Stock Repurchase Program and scheduled repayments of principal on the Company’s loan facility of $55.5 million. In addition, net cash used in financing activities for the three months ended March 31, 2017 includes taxes paid in lieu of shares issued for equity-based compensation of $12.8 million and distributions to noncontrolling interests of $11.7 million.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2018, our contractual obligations not reflected on the condensed consolidated balance sheet decreased $154.7 million to $1.2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relates primarily to the expiration of payment guarantees to a production service company for certain production related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describe our significant accounting policies in Note 2 to the Company's Consolidated Financial Statements included in our 2017 Form 10-K. We discuss our critical accounting estimates in Item 7, "Management's Discussion and Analysis of Financial Condition and Results of Operations," in the same 2017 Form 10-K. Other than certain judgments and estimates related to the new revenue recognition standard as described in Note 2 to the accompanying Condensed Consolidated Financial Statements of the Company included herein, there have been no significant changes in our significant accounting policies or critical accounting estimates since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1 to the accompanying Condensed Consolidated Financial Statements of the Company for a discussion of recently issued accounting pronouncements.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the level of interest rates prevailing at March 31, 2018, the fair value of our fixed rate debt of $2.36 billion was equal to its carrying value. The fair value of these financial instruments is estimated based on reference to quoted market prices for these or comparable securities. A hypothetical 100 basis point decrease in interest rates prevailing at March 31, 2018 would increase the estimated fair value of our fixed rate debt by approximately $115.6 million to approximately $2.5 billion.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9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2018, we had $3.1 billion of debt outstanding (excluding capital leases), of which $0.7 billion is outstanding under our loan facility and is subject to variable interest rates (before consideration of the interest rate swaps contracts described below).</w:t>
      </w: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31, 2018, we had interest rate swap contracts outstanding with notional amounts aggregating $200.0 million. The aggregate fair value of interest rate swap contracts at March 31, 2018 was a net asset of $1.3 million. As a result of these transactions, the interest rate paid on approximately 83% of our debt (excluding capital leases) as of March 31, 2018 is effectively fixed (76% being fixed rate obligations and 7% effectively fixed through utilization of these interest rate swap contracts).</w:t>
      </w:r>
    </w:p>
    <w:p>
      <w:pPr>
        <w:spacing w:after="0" w:line="106" w:lineRule="exact"/>
        <w:rPr>
          <w:sz w:val="20"/>
          <w:szCs w:val="20"/>
          <w:color w:val="auto"/>
        </w:rPr>
      </w:pPr>
    </w:p>
    <w:p>
      <w:pPr>
        <w:ind w:right="140" w:firstLine="432"/>
        <w:spacing w:after="0" w:line="430" w:lineRule="auto"/>
        <w:rPr>
          <w:sz w:val="20"/>
          <w:szCs w:val="20"/>
          <w:color w:val="auto"/>
        </w:rPr>
      </w:pPr>
      <w:r>
        <w:rPr>
          <w:rFonts w:ascii="Arial" w:cs="Arial" w:eastAsia="Arial" w:hAnsi="Arial"/>
          <w:sz w:val="18"/>
          <w:szCs w:val="18"/>
          <w:color w:val="auto"/>
        </w:rPr>
        <w:t xml:space="preserve">A hypothetical 100 basis point increase in interest rates prevailing at March 31, 2018 would not have a material impact on our annual interest expense. </w:t>
      </w:r>
      <w:r>
        <w:rPr>
          <w:rFonts w:ascii="Arial" w:cs="Arial" w:eastAsia="Arial" w:hAnsi="Arial"/>
          <w:sz w:val="18"/>
          <w:szCs w:val="18"/>
          <w:b w:val="1"/>
          <w:bCs w:val="1"/>
          <w:color w:val="auto"/>
        </w:rPr>
        <w:t>Managing our Foreign Currency Exchange Rate Risk</w:t>
      </w:r>
    </w:p>
    <w:p>
      <w:pPr>
        <w:spacing w:after="0" w:line="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76" w:right="239" w:bottom="1440" w:gutter="0" w:footer="0" w:header="0"/>
        </w:sectPr>
      </w:pPr>
    </w:p>
    <w:bookmarkStart w:id="42" w:name="page43"/>
    <w:bookmarkEnd w:id="42"/>
    <w:p>
      <w:pPr>
        <w:jc w:val="both"/>
        <w:spacing w:after="0" w:line="286" w:lineRule="auto"/>
        <w:rPr>
          <w:sz w:val="20"/>
          <w:szCs w:val="20"/>
          <w:color w:val="auto"/>
        </w:rPr>
      </w:pPr>
      <w:r>
        <w:rPr>
          <w:rFonts w:ascii="Arial" w:cs="Arial" w:eastAsia="Arial" w:hAnsi="Arial"/>
          <w:sz w:val="17"/>
          <w:szCs w:val="17"/>
          <w:color w:val="auto"/>
        </w:rPr>
        <w:t>denominated in currencies other than our respective functional currencies, we will experience fluctuations in our revenue, costs and expenses solely as a result of changes in foreign currency exchange rates. The Company recognized $3.4 million of foreign currency transaction gains, net for the three months ended March 31, 2018. Such amount is included in miscellaneous, net in the condensed consolidated statement of income.</w:t>
      </w:r>
    </w:p>
    <w:p>
      <w:pPr>
        <w:spacing w:after="0" w:line="1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6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March 31, 2018, the Company's Chief Executive Officer and Chief Financial Officer concluded that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March 31, 2018, there were no changes in the Company's internal control over financial reporting, that have materially affected, or are reasonably likely to materially affect, the Company's internal control over financial reporting.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76" w:right="239" w:bottom="1440" w:gutter="0" w:footer="0" w:header="0"/>
        </w:sectPr>
      </w:pPr>
    </w:p>
    <w:bookmarkStart w:id="43" w:name="page44"/>
    <w:bookmarkEnd w:id="43"/>
    <w:p>
      <w:pPr>
        <w:spacing w:after="0" w:line="209" w:lineRule="auto"/>
        <w:framePr w:w="2040" w:h="160" w:wrap="auto" w:vAnchor="page" w:hAnchor="page" w:x="1380" w:y="9096"/>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209" w:lineRule="auto"/>
        <w:framePr w:w="3600" w:h="160" w:wrap="auto" w:vAnchor="page" w:hAnchor="page" w:x="1380" w:y="9487"/>
        <w:rPr>
          <w:rFonts w:ascii="Arial" w:cs="Arial" w:eastAsia="Arial" w:hAnsi="Arial"/>
          <w:sz w:val="16"/>
          <w:szCs w:val="16"/>
          <w:color w:val="auto"/>
        </w:rPr>
      </w:pPr>
      <w:r>
        <w:rPr>
          <w:rFonts w:ascii="Arial" w:cs="Arial" w:eastAsia="Arial" w:hAnsi="Arial"/>
          <w:sz w:val="16"/>
          <w:szCs w:val="16"/>
          <w:color w:val="auto"/>
        </w:rPr>
        <w:t>XBRL Taxonomy Extension Schema Document.</w:t>
      </w:r>
    </w:p>
    <w:p>
      <w:pPr>
        <w:spacing w:after="0" w:line="338" w:lineRule="auto"/>
        <w:framePr w:w="4560" w:h="552" w:wrap="auto" w:vAnchor="page" w:hAnchor="page" w:x="1380" w:y="9879"/>
        <w:rPr>
          <w:rFonts w:ascii="Arial" w:cs="Arial" w:eastAsia="Arial" w:hAnsi="Arial"/>
          <w:sz w:val="17"/>
          <w:szCs w:val="17"/>
          <w:color w:val="auto"/>
        </w:rPr>
      </w:pPr>
      <w:r>
        <w:rPr>
          <w:rFonts w:ascii="Arial" w:cs="Arial" w:eastAsia="Arial" w:hAnsi="Arial"/>
          <w:sz w:val="17"/>
          <w:szCs w:val="17"/>
          <w:color w:val="auto"/>
        </w:rPr>
        <w:t>XBRL Taxonomy Extension Calculation Linkbase Document. XBRL Taxonomy Extension Definition Linkbase.</w:t>
      </w:r>
    </w:p>
    <w:p>
      <w:pPr>
        <w:spacing w:after="0" w:line="360" w:lineRule="auto"/>
        <w:framePr w:w="4620" w:h="552" w:wrap="auto" w:vAnchor="page" w:hAnchor="page" w:x="1380" w:y="10662"/>
        <w:rPr>
          <w:rFonts w:ascii="Arial" w:cs="Arial" w:eastAsia="Arial" w:hAnsi="Arial"/>
          <w:sz w:val="16"/>
          <w:szCs w:val="16"/>
          <w:color w:val="auto"/>
        </w:rPr>
      </w:pPr>
      <w:r>
        <w:rPr>
          <w:rFonts w:ascii="Arial" w:cs="Arial" w:eastAsia="Arial" w:hAnsi="Arial"/>
          <w:sz w:val="16"/>
          <w:szCs w:val="16"/>
          <w:color w:val="auto"/>
        </w:rPr>
        <w:t>XBRL Taxonomy Extension Label Linkbase Document. XBRL Taxonomy Extension Presentation Linkbase Document.</w:t>
      </w: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rFonts w:ascii="Arial" w:cs="Arial" w:eastAsia="Arial" w:hAnsi="Arial"/>
          <w:sz w:val="16"/>
          <w:szCs w:val="16"/>
          <w:color w:val="auto"/>
        </w:rPr>
      </w:pPr>
    </w:p>
    <w:p>
      <w:pPr>
        <w:ind w:right="280" w:firstLine="324"/>
        <w:spacing w:after="0" w:line="277" w:lineRule="auto"/>
        <w:rPr>
          <w:sz w:val="20"/>
          <w:szCs w:val="20"/>
          <w:color w:val="auto"/>
        </w:rPr>
      </w:pPr>
      <w:r>
        <w:rPr>
          <w:rFonts w:ascii="Arial" w:cs="Arial" w:eastAsia="Arial" w:hAnsi="Arial"/>
          <w:sz w:val="18"/>
          <w:szCs w:val="18"/>
          <w:color w:val="auto"/>
        </w:rPr>
        <w:t>Since our 2017 Form 10-K, there have been no material developments in legal proceedings in which we are involved. See Note 11, Commitments and Contingencies to the condensed consolidated financial statements included in this Quarterly Report on Form 10-Q.</w:t>
      </w:r>
    </w:p>
    <w:p>
      <w:pPr>
        <w:spacing w:after="0" w:line="13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rFonts w:ascii="Arial" w:cs="Arial" w:eastAsia="Arial" w:hAnsi="Arial"/>
          <w:sz w:val="16"/>
          <w:szCs w:val="16"/>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7, 2016, the Company announced that its Board of Directors authorized a program to repurchase up to $500 million of its outstanding shares of common stock (the "2016 Stock Repurchase Program"). On June 6, 2017, the Board of Directors approved an increase of $500 million in the amount authorized for a total of $1.0 billion authorized under the 2016 Stock Repurchase Program. The 2016 Stock Repurchase Program has no pre-established closing date and may be suspended or discontinued at any time.</w:t>
      </w:r>
    </w:p>
    <w:p>
      <w:pPr>
        <w:spacing w:after="0" w:line="187" w:lineRule="exact"/>
        <w:rPr>
          <w:rFonts w:ascii="Arial" w:cs="Arial" w:eastAsia="Arial" w:hAnsi="Arial"/>
          <w:sz w:val="16"/>
          <w:szCs w:val="16"/>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Set forth below is information concerning acquisitions of AMC Networks Class A Common Stock by the Company during the three months ended March 31, 2018.</w:t>
      </w:r>
    </w:p>
    <w:p>
      <w:pPr>
        <w:spacing w:after="0" w:line="225"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jc w:val="center"/>
              <w:ind w:right="154"/>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Paid per Share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41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(or Units) Purchased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(or Unit)</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3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2018 to January 31, 2018</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196,265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52.89</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196,265</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332,171,914</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February 1, 2018 to February 28, 2018</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221,520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221,520</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320,785,352</w:t>
            </w: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2018 to March 31, 2018</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1,229,672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1,229,672</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258,915,269</w:t>
            </w:r>
          </w:p>
        </w:tc>
      </w:tr>
      <w:tr>
        <w:trPr>
          <w:trHeight w:val="257"/>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1,647,457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1,647,457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62"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of Chief Executive Officer pursuant to Section 302 of the Sarbanes-Oxley Act of 2002.</w:t>
              </w:r>
            </w:hyperlink>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31.2</w:t>
            </w:r>
          </w:p>
        </w:tc>
        <w:tc>
          <w:tcPr>
            <w:tcW w:w="7240" w:type="dxa"/>
            <w:vAlign w:val="bottom"/>
            <w:gridSpan w:val="2"/>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Certification of Chief Financial Officer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80" w:right="40" w:hanging="1145"/>
        <w:spacing w:after="0" w:line="277" w:lineRule="auto"/>
        <w:tabs>
          <w:tab w:leader="none" w:pos="1180" w:val="left"/>
        </w:tabs>
        <w:numPr>
          <w:ilvl w:val="0"/>
          <w:numId w:val="11"/>
        </w:numPr>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Certifications of Chief Executive Officer and Chief Financial Officer pursuant to Section 906 of the Sarbanes-Oxley Act of 2002, 18 U.S.C.</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Section 1350.</w:t>
        </w:r>
      </w:hyperlink>
    </w:p>
    <w:p>
      <w:pPr>
        <w:spacing w:after="0" w:line="130"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101.SCH</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101.DEF</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72"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0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AMC Networks Inc.</w:t>
      </w:r>
    </w:p>
    <w:p>
      <w:pPr>
        <w:spacing w:after="0" w:line="252" w:lineRule="exact"/>
        <w:rPr>
          <w:sz w:val="20"/>
          <w:szCs w:val="20"/>
          <w:color w:val="auto"/>
        </w:rPr>
      </w:pPr>
    </w:p>
    <w:p>
      <w:pPr>
        <w:ind w:left="280"/>
        <w:spacing w:after="0"/>
        <w:tabs>
          <w:tab w:leader="none" w:pos="56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464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8"/>
        <w:spacing w:after="0" w:line="277" w:lineRule="auto"/>
        <w:tabs>
          <w:tab w:leader="none" w:pos="2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7220" w:val="left"/>
          <w:tab w:leader="none" w:pos="7680" w:val="left"/>
        </w:tabs>
        <w:rPr>
          <w:sz w:val="20"/>
          <w:szCs w:val="20"/>
          <w:color w:val="auto"/>
        </w:rPr>
      </w:pPr>
      <w:r>
        <w:rPr>
          <w:rFonts w:ascii="Arial" w:cs="Arial" w:eastAsia="Arial" w:hAnsi="Arial"/>
          <w:sz w:val="18"/>
          <w:szCs w:val="18"/>
          <w:color w:val="auto"/>
        </w:rPr>
        <w:t>Date:</w:t>
        <w:tab/>
        <w:t>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March 31, 2018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32"/>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2019-12-28T21:58:43Z</dcterms:created>
  <dcterms:modified xsi:type="dcterms:W3CDTF">2019-12-28T21:58:43Z</dcterms:modified>
</cp:coreProperties>
</file>