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205105</wp:posOffset>
            </wp:positionV>
            <wp:extent cx="72497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979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229870</wp:posOffset>
            </wp:positionV>
            <wp:extent cx="72497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pacing w:after="0" w:line="36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2863215</wp:posOffset>
            </wp:positionH>
            <wp:positionV relativeFrom="paragraph">
              <wp:posOffset>107950</wp:posOffset>
            </wp:positionV>
            <wp:extent cx="15303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0350" cy="8255"/>
                    </a:xfrm>
                    <a:prstGeom prst="rect">
                      <a:avLst/>
                    </a:prstGeom>
                    <a:noFill/>
                  </pic:spPr>
                </pic:pic>
              </a:graphicData>
            </a:graphic>
          </wp:anchor>
        </w:drawing>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2863215</wp:posOffset>
            </wp:positionH>
            <wp:positionV relativeFrom="paragraph">
              <wp:posOffset>118745</wp:posOffset>
            </wp:positionV>
            <wp:extent cx="15303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30350" cy="8255"/>
                    </a:xfrm>
                    <a:prstGeom prst="rect">
                      <a:avLst/>
                    </a:prstGeom>
                    <a:noFill/>
                  </pic:spPr>
                </pic:pic>
              </a:graphicData>
            </a:graphic>
          </wp:anchor>
        </w:drawing>
      </w:r>
    </w:p>
    <w:p>
      <w:pPr>
        <w:spacing w:after="0" w:line="250" w:lineRule="exact"/>
        <w:rPr>
          <w:sz w:val="24"/>
          <w:szCs w:val="24"/>
          <w:color w:val="auto"/>
        </w:rPr>
      </w:pPr>
    </w:p>
    <w:p>
      <w:pPr>
        <w:spacing w:after="0"/>
        <w:rPr>
          <w:sz w:val="20"/>
          <w:szCs w:val="20"/>
          <w:color w:val="auto"/>
        </w:rPr>
      </w:pPr>
      <w:r>
        <w:rPr>
          <w:rFonts w:ascii="Arial" w:cs="Arial" w:eastAsia="Arial" w:hAnsi="Arial"/>
          <w:sz w:val="13"/>
          <w:szCs w:val="13"/>
          <w:color w:val="auto"/>
        </w:rPr>
        <w:t>(Mark One)</w:t>
      </w:r>
    </w:p>
    <w:p>
      <w:pPr>
        <w:spacing w:after="0" w:line="1" w:lineRule="exact"/>
        <w:rPr>
          <w:sz w:val="24"/>
          <w:szCs w:val="24"/>
          <w:color w:val="auto"/>
        </w:rPr>
      </w:pPr>
    </w:p>
    <w:p>
      <w:pPr>
        <w:ind w:left="460" w:hanging="455"/>
        <w:spacing w:after="0"/>
        <w:tabs>
          <w:tab w:leader="none" w:pos="46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Quarterly report pursuant to Section 13 or 15(d) of the Securities Exchange Act of 1934</w:t>
      </w:r>
    </w:p>
    <w:p>
      <w:pPr>
        <w:spacing w:after="0" w:line="156"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For the quarterly period ended March 31, 2012</w:t>
      </w:r>
    </w:p>
    <w:p>
      <w:pPr>
        <w:spacing w:after="0" w:line="173"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or</w:t>
      </w:r>
    </w:p>
    <w:p>
      <w:pPr>
        <w:spacing w:after="0" w:line="200" w:lineRule="exact"/>
        <w:rPr>
          <w:sz w:val="24"/>
          <w:szCs w:val="24"/>
          <w:color w:val="auto"/>
        </w:rPr>
      </w:pPr>
    </w:p>
    <w:p>
      <w:pPr>
        <w:ind w:left="460" w:hanging="455"/>
        <w:spacing w:after="0"/>
        <w:tabs>
          <w:tab w:leader="none" w:pos="46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pursuant to Section 13 or 15(d) of the Securities Exchange Act of 1934</w:t>
      </w:r>
    </w:p>
    <w:p>
      <w:pPr>
        <w:spacing w:after="0" w:line="180" w:lineRule="exact"/>
        <w:rPr>
          <w:sz w:val="24"/>
          <w:szCs w:val="24"/>
          <w:color w:val="auto"/>
        </w:rPr>
      </w:pPr>
    </w:p>
    <w:p>
      <w:pPr>
        <w:ind w:left="3960"/>
        <w:spacing w:after="0"/>
        <w:tabs>
          <w:tab w:leader="none" w:pos="6760" w:val="left"/>
        </w:tabs>
        <w:rPr>
          <w:sz w:val="20"/>
          <w:szCs w:val="20"/>
          <w:color w:val="auto"/>
        </w:rPr>
      </w:pPr>
      <w:r>
        <w:rPr>
          <w:rFonts w:ascii="Arial" w:cs="Arial" w:eastAsia="Arial" w:hAnsi="Arial"/>
          <w:sz w:val="17"/>
          <w:szCs w:val="17"/>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73"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Commission File Number: 1-35106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2863215</wp:posOffset>
            </wp:positionH>
            <wp:positionV relativeFrom="paragraph">
              <wp:posOffset>119380</wp:posOffset>
            </wp:positionV>
            <wp:extent cx="15303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30350" cy="8255"/>
                    </a:xfrm>
                    <a:prstGeom prst="rect">
                      <a:avLst/>
                    </a:prstGeom>
                    <a:noFill/>
                  </pic:spPr>
                </pic:pic>
              </a:graphicData>
            </a:graphic>
          </wp:anchor>
        </w:drawing>
      </w:r>
    </w:p>
    <w:p>
      <w:pPr>
        <w:spacing w:after="0" w:line="218" w:lineRule="exact"/>
        <w:rPr>
          <w:sz w:val="24"/>
          <w:szCs w:val="24"/>
          <w:color w:val="auto"/>
        </w:rPr>
      </w:pPr>
    </w:p>
    <w:p>
      <w:pPr>
        <w:jc w:val="center"/>
        <w:spacing w:after="0"/>
        <w:rPr>
          <w:sz w:val="20"/>
          <w:szCs w:val="20"/>
          <w:color w:val="auto"/>
        </w:rPr>
      </w:pPr>
      <w:r>
        <w:rPr>
          <w:rFonts w:ascii="Arial" w:cs="Arial" w:eastAsia="Arial" w:hAnsi="Arial"/>
          <w:sz w:val="42"/>
          <w:szCs w:val="42"/>
          <w:b w:val="1"/>
          <w:bCs w:val="1"/>
          <w:color w:val="auto"/>
        </w:rPr>
        <w:t>AMC Networks Inc.</w:t>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2863215</wp:posOffset>
            </wp:positionH>
            <wp:positionV relativeFrom="paragraph">
              <wp:posOffset>114935</wp:posOffset>
            </wp:positionV>
            <wp:extent cx="15303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30350" cy="8255"/>
                    </a:xfrm>
                    <a:prstGeom prst="rect">
                      <a:avLst/>
                    </a:prstGeom>
                    <a:noFill/>
                  </pic:spPr>
                </pic:pic>
              </a:graphicData>
            </a:graphic>
          </wp:anchor>
        </w:drawing>
      </w:r>
    </w:p>
    <w:p>
      <w:pPr>
        <w:spacing w:after="0" w:line="265" w:lineRule="exact"/>
        <w:rPr>
          <w:sz w:val="24"/>
          <w:szCs w:val="24"/>
          <w:color w:val="auto"/>
        </w:rPr>
      </w:pPr>
    </w:p>
    <w:tbl>
      <w:tblPr>
        <w:tblLayout w:type="fixed"/>
        <w:tblInd w:w="1780" w:type="dxa"/>
        <w:tblCellMar>
          <w:top w:w="0" w:type="dxa"/>
          <w:left w:w="0" w:type="dxa"/>
          <w:bottom w:w="0" w:type="dxa"/>
          <w:right w:w="0" w:type="dxa"/>
        </w:tblCellMar>
      </w:tblPr>
      <w:tr>
        <w:trPr>
          <w:trHeight w:val="212"/>
        </w:trPr>
        <w:tc>
          <w:tcPr>
            <w:tcW w:w="2300" w:type="dxa"/>
            <w:vAlign w:val="bottom"/>
          </w:tcPr>
          <w:p>
            <w:pPr>
              <w:jc w:val="center"/>
              <w:ind w:right="66"/>
              <w:spacing w:after="0"/>
              <w:rPr>
                <w:sz w:val="20"/>
                <w:szCs w:val="20"/>
                <w:color w:val="auto"/>
              </w:rPr>
            </w:pPr>
            <w:r>
              <w:rPr>
                <w:rFonts w:ascii="Arial" w:cs="Arial" w:eastAsia="Arial" w:hAnsi="Arial"/>
                <w:sz w:val="17"/>
                <w:szCs w:val="17"/>
                <w:b w:val="1"/>
                <w:bCs w:val="1"/>
                <w:color w:val="auto"/>
                <w:w w:val="91"/>
              </w:rPr>
              <w:t>Delaware</w:t>
            </w:r>
          </w:p>
        </w:tc>
        <w:tc>
          <w:tcPr>
            <w:tcW w:w="5120" w:type="dxa"/>
            <w:vAlign w:val="bottom"/>
          </w:tcPr>
          <w:p>
            <w:pPr>
              <w:jc w:val="right"/>
              <w:ind w:right="26"/>
              <w:spacing w:after="0"/>
              <w:rPr>
                <w:sz w:val="20"/>
                <w:szCs w:val="20"/>
                <w:color w:val="auto"/>
              </w:rPr>
            </w:pPr>
            <w:r>
              <w:rPr>
                <w:rFonts w:ascii="Arial" w:cs="Arial" w:eastAsia="Arial" w:hAnsi="Arial"/>
                <w:sz w:val="17"/>
                <w:szCs w:val="17"/>
                <w:b w:val="1"/>
                <w:bCs w:val="1"/>
                <w:color w:val="auto"/>
              </w:rPr>
              <w:t>27-5403694</w:t>
            </w:r>
          </w:p>
        </w:tc>
      </w:tr>
      <w:tr>
        <w:trPr>
          <w:trHeight w:val="145"/>
        </w:trPr>
        <w:tc>
          <w:tcPr>
            <w:tcW w:w="2300" w:type="dxa"/>
            <w:vAlign w:val="bottom"/>
          </w:tcPr>
          <w:p>
            <w:pPr>
              <w:jc w:val="center"/>
              <w:ind w:right="66"/>
              <w:spacing w:after="0" w:line="145" w:lineRule="exact"/>
              <w:rPr>
                <w:sz w:val="20"/>
                <w:szCs w:val="20"/>
                <w:color w:val="auto"/>
              </w:rPr>
            </w:pPr>
            <w:r>
              <w:rPr>
                <w:rFonts w:ascii="Arial" w:cs="Arial" w:eastAsia="Arial" w:hAnsi="Arial"/>
                <w:sz w:val="13"/>
                <w:szCs w:val="13"/>
                <w:b w:val="1"/>
                <w:bCs w:val="1"/>
                <w:color w:val="auto"/>
                <w:w w:val="91"/>
              </w:rPr>
              <w:t>(State or other jurisdiction of</w:t>
            </w:r>
          </w:p>
        </w:tc>
        <w:tc>
          <w:tcPr>
            <w:tcW w:w="5120" w:type="dxa"/>
            <w:vAlign w:val="bottom"/>
          </w:tcPr>
          <w:p>
            <w:pPr>
              <w:jc w:val="center"/>
              <w:ind w:left="4006"/>
              <w:spacing w:after="0" w:line="145" w:lineRule="exact"/>
              <w:rPr>
                <w:sz w:val="20"/>
                <w:szCs w:val="20"/>
                <w:color w:val="auto"/>
              </w:rPr>
            </w:pPr>
            <w:r>
              <w:rPr>
                <w:rFonts w:ascii="Arial" w:cs="Arial" w:eastAsia="Arial" w:hAnsi="Arial"/>
                <w:sz w:val="13"/>
                <w:szCs w:val="13"/>
                <w:b w:val="1"/>
                <w:bCs w:val="1"/>
                <w:color w:val="auto"/>
                <w:w w:val="96"/>
              </w:rPr>
              <w:t>(I.R.S. Employer</w:t>
            </w:r>
          </w:p>
        </w:tc>
      </w:tr>
      <w:tr>
        <w:trPr>
          <w:trHeight w:val="169"/>
        </w:trPr>
        <w:tc>
          <w:tcPr>
            <w:tcW w:w="2300" w:type="dxa"/>
            <w:vAlign w:val="bottom"/>
          </w:tcPr>
          <w:p>
            <w:pPr>
              <w:jc w:val="center"/>
              <w:ind w:right="66"/>
              <w:spacing w:after="0"/>
              <w:rPr>
                <w:sz w:val="20"/>
                <w:szCs w:val="20"/>
                <w:color w:val="auto"/>
              </w:rPr>
            </w:pPr>
            <w:r>
              <w:rPr>
                <w:rFonts w:ascii="Arial" w:cs="Arial" w:eastAsia="Arial" w:hAnsi="Arial"/>
                <w:sz w:val="13"/>
                <w:szCs w:val="13"/>
                <w:b w:val="1"/>
                <w:bCs w:val="1"/>
                <w:color w:val="auto"/>
                <w:w w:val="92"/>
              </w:rPr>
              <w:t>incorporation or organization)</w:t>
            </w:r>
          </w:p>
        </w:tc>
        <w:tc>
          <w:tcPr>
            <w:tcW w:w="5120" w:type="dxa"/>
            <w:vAlign w:val="bottom"/>
          </w:tcPr>
          <w:p>
            <w:pPr>
              <w:jc w:val="center"/>
              <w:ind w:left="4006"/>
              <w:spacing w:after="0"/>
              <w:rPr>
                <w:sz w:val="20"/>
                <w:szCs w:val="20"/>
                <w:color w:val="auto"/>
              </w:rPr>
            </w:pPr>
            <w:r>
              <w:rPr>
                <w:rFonts w:ascii="Arial" w:cs="Arial" w:eastAsia="Arial" w:hAnsi="Arial"/>
                <w:sz w:val="13"/>
                <w:szCs w:val="13"/>
                <w:b w:val="1"/>
                <w:bCs w:val="1"/>
                <w:color w:val="auto"/>
                <w:w w:val="94"/>
              </w:rPr>
              <w:t>Identification No.)</w:t>
            </w:r>
          </w:p>
        </w:tc>
      </w:tr>
      <w:tr>
        <w:trPr>
          <w:trHeight w:val="410"/>
        </w:trPr>
        <w:tc>
          <w:tcPr>
            <w:tcW w:w="2300" w:type="dxa"/>
            <w:vAlign w:val="bottom"/>
          </w:tcPr>
          <w:p>
            <w:pPr>
              <w:jc w:val="center"/>
              <w:ind w:right="66"/>
              <w:spacing w:after="0"/>
              <w:rPr>
                <w:sz w:val="20"/>
                <w:szCs w:val="20"/>
                <w:color w:val="auto"/>
              </w:rPr>
            </w:pPr>
            <w:r>
              <w:rPr>
                <w:rFonts w:ascii="Arial" w:cs="Arial" w:eastAsia="Arial" w:hAnsi="Arial"/>
                <w:sz w:val="17"/>
                <w:szCs w:val="17"/>
                <w:b w:val="1"/>
                <w:bCs w:val="1"/>
                <w:color w:val="auto"/>
                <w:w w:val="92"/>
              </w:rPr>
              <w:t>11 Penn Plaza, New York, NY</w:t>
            </w:r>
          </w:p>
        </w:tc>
        <w:tc>
          <w:tcPr>
            <w:tcW w:w="5120" w:type="dxa"/>
            <w:vAlign w:val="bottom"/>
          </w:tcPr>
          <w:p>
            <w:pPr>
              <w:jc w:val="right"/>
              <w:ind w:right="226"/>
              <w:spacing w:after="0"/>
              <w:rPr>
                <w:sz w:val="20"/>
                <w:szCs w:val="20"/>
                <w:color w:val="auto"/>
              </w:rPr>
            </w:pPr>
            <w:r>
              <w:rPr>
                <w:rFonts w:ascii="Arial" w:cs="Arial" w:eastAsia="Arial" w:hAnsi="Arial"/>
                <w:sz w:val="17"/>
                <w:szCs w:val="17"/>
                <w:b w:val="1"/>
                <w:bCs w:val="1"/>
                <w:color w:val="auto"/>
              </w:rPr>
              <w:t>10001</w:t>
            </w:r>
          </w:p>
        </w:tc>
      </w:tr>
      <w:tr>
        <w:trPr>
          <w:trHeight w:val="169"/>
        </w:trPr>
        <w:tc>
          <w:tcPr>
            <w:tcW w:w="2300" w:type="dxa"/>
            <w:vAlign w:val="bottom"/>
          </w:tcPr>
          <w:p>
            <w:pPr>
              <w:jc w:val="center"/>
              <w:ind w:right="46"/>
              <w:spacing w:after="0"/>
              <w:rPr>
                <w:sz w:val="20"/>
                <w:szCs w:val="20"/>
                <w:color w:val="auto"/>
              </w:rPr>
            </w:pPr>
            <w:r>
              <w:rPr>
                <w:rFonts w:ascii="Arial" w:cs="Arial" w:eastAsia="Arial" w:hAnsi="Arial"/>
                <w:sz w:val="13"/>
                <w:szCs w:val="13"/>
                <w:b w:val="1"/>
                <w:bCs w:val="1"/>
                <w:color w:val="auto"/>
                <w:w w:val="89"/>
              </w:rPr>
              <w:t>(Address of principal executive offices)</w:t>
            </w:r>
          </w:p>
        </w:tc>
        <w:tc>
          <w:tcPr>
            <w:tcW w:w="5120" w:type="dxa"/>
            <w:vAlign w:val="bottom"/>
          </w:tcPr>
          <w:p>
            <w:pPr>
              <w:jc w:val="center"/>
              <w:ind w:left="4006"/>
              <w:spacing w:after="0"/>
              <w:rPr>
                <w:sz w:val="20"/>
                <w:szCs w:val="20"/>
                <w:color w:val="auto"/>
              </w:rPr>
            </w:pPr>
            <w:r>
              <w:rPr>
                <w:rFonts w:ascii="Arial" w:cs="Arial" w:eastAsia="Arial" w:hAnsi="Arial"/>
                <w:sz w:val="13"/>
                <w:szCs w:val="13"/>
                <w:b w:val="1"/>
                <w:bCs w:val="1"/>
                <w:color w:val="auto"/>
                <w:w w:val="93"/>
              </w:rPr>
              <w:t>(Zip Code)</w:t>
            </w:r>
          </w:p>
        </w:tc>
      </w:tr>
      <w:tr>
        <w:trPr>
          <w:trHeight w:val="344"/>
        </w:trPr>
        <w:tc>
          <w:tcPr>
            <w:tcW w:w="2300" w:type="dxa"/>
            <w:vAlign w:val="bottom"/>
          </w:tcPr>
          <w:p>
            <w:pPr>
              <w:spacing w:after="0"/>
              <w:rPr>
                <w:sz w:val="24"/>
                <w:szCs w:val="24"/>
                <w:color w:val="auto"/>
              </w:rPr>
            </w:pPr>
          </w:p>
        </w:tc>
        <w:tc>
          <w:tcPr>
            <w:tcW w:w="5120" w:type="dxa"/>
            <w:vAlign w:val="bottom"/>
          </w:tcPr>
          <w:p>
            <w:pPr>
              <w:jc w:val="right"/>
              <w:ind w:right="2886"/>
              <w:spacing w:after="0"/>
              <w:rPr>
                <w:sz w:val="20"/>
                <w:szCs w:val="20"/>
                <w:color w:val="auto"/>
              </w:rPr>
            </w:pPr>
            <w:r>
              <w:rPr>
                <w:rFonts w:ascii="Arial" w:cs="Arial" w:eastAsia="Arial" w:hAnsi="Arial"/>
                <w:sz w:val="17"/>
                <w:szCs w:val="17"/>
                <w:b w:val="1"/>
                <w:bCs w:val="1"/>
                <w:color w:val="auto"/>
              </w:rPr>
              <w:t>(212) 324-8500</w:t>
            </w:r>
          </w:p>
        </w:tc>
      </w:tr>
      <w:tr>
        <w:trPr>
          <w:trHeight w:val="169"/>
        </w:trPr>
        <w:tc>
          <w:tcPr>
            <w:tcW w:w="2300" w:type="dxa"/>
            <w:vAlign w:val="bottom"/>
          </w:tcPr>
          <w:p>
            <w:pPr>
              <w:spacing w:after="0"/>
              <w:rPr>
                <w:sz w:val="14"/>
                <w:szCs w:val="14"/>
                <w:color w:val="auto"/>
              </w:rPr>
            </w:pPr>
          </w:p>
        </w:tc>
        <w:tc>
          <w:tcPr>
            <w:tcW w:w="5120" w:type="dxa"/>
            <w:vAlign w:val="bottom"/>
          </w:tcPr>
          <w:p>
            <w:pPr>
              <w:jc w:val="center"/>
              <w:ind w:right="1786"/>
              <w:spacing w:after="0"/>
              <w:rPr>
                <w:sz w:val="20"/>
                <w:szCs w:val="20"/>
                <w:color w:val="auto"/>
              </w:rPr>
            </w:pPr>
            <w:r>
              <w:rPr>
                <w:rFonts w:ascii="Arial" w:cs="Arial" w:eastAsia="Arial" w:hAnsi="Arial"/>
                <w:sz w:val="13"/>
                <w:szCs w:val="13"/>
                <w:b w:val="1"/>
                <w:bCs w:val="1"/>
                <w:color w:val="auto"/>
                <w:w w:val="90"/>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2863215</wp:posOffset>
            </wp:positionH>
            <wp:positionV relativeFrom="paragraph">
              <wp:posOffset>92710</wp:posOffset>
            </wp:positionV>
            <wp:extent cx="15303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30350" cy="8255"/>
                    </a:xfrm>
                    <a:prstGeom prst="rect">
                      <a:avLst/>
                    </a:prstGeom>
                    <a:noFill/>
                  </pic:spPr>
                </pic:pic>
              </a:graphicData>
            </a:graphic>
          </wp:anchor>
        </w:drawing>
      </w:r>
    </w:p>
    <w:p>
      <w:pPr>
        <w:spacing w:after="0" w:line="210" w:lineRule="exact"/>
        <w:rPr>
          <w:sz w:val="24"/>
          <w:szCs w:val="24"/>
          <w:color w:val="auto"/>
        </w:rPr>
      </w:pPr>
    </w:p>
    <w:p>
      <w:pPr>
        <w:ind w:right="160"/>
        <w:spacing w:after="0" w:line="220"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33" w:lineRule="exact"/>
        <w:rPr>
          <w:sz w:val="24"/>
          <w:szCs w:val="24"/>
          <w:color w:val="auto"/>
        </w:rPr>
      </w:pPr>
    </w:p>
    <w:p>
      <w:pPr>
        <w:ind w:right="80"/>
        <w:spacing w:after="0" w:line="220" w:lineRule="exact"/>
        <w:rPr>
          <w:sz w:val="20"/>
          <w:szCs w:val="20"/>
          <w:color w:val="auto"/>
        </w:rPr>
      </w:pPr>
      <w:r>
        <w:rPr>
          <w:rFonts w:ascii="Arial" w:cs="Arial" w:eastAsia="Arial" w:hAnsi="Arial"/>
          <w:sz w:val="17"/>
          <w:szCs w:val="17"/>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33" w:lineRule="exact"/>
        <w:rPr>
          <w:sz w:val="24"/>
          <w:szCs w:val="24"/>
          <w:color w:val="auto"/>
        </w:rPr>
      </w:pPr>
    </w:p>
    <w:p>
      <w:pPr>
        <w:ind w:right="280"/>
        <w:spacing w:after="0" w:line="284"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(as defined in Exchange Act Rule 12b-2).</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269"/>
        </w:trPr>
        <w:tc>
          <w:tcPr>
            <w:tcW w:w="1680" w:type="dxa"/>
            <w:vAlign w:val="bottom"/>
          </w:tcPr>
          <w:p>
            <w:pPr>
              <w:spacing w:after="0"/>
              <w:rPr>
                <w:sz w:val="20"/>
                <w:szCs w:val="20"/>
                <w:color w:val="auto"/>
              </w:rPr>
            </w:pPr>
            <w:r>
              <w:rPr>
                <w:rFonts w:ascii="Arial" w:cs="Arial" w:eastAsia="Arial" w:hAnsi="Arial"/>
                <w:sz w:val="17"/>
                <w:szCs w:val="17"/>
                <w:color w:val="auto"/>
                <w:w w:val="98"/>
              </w:rPr>
              <w:t>Large accelerated filer</w:t>
            </w:r>
          </w:p>
        </w:tc>
        <w:tc>
          <w:tcPr>
            <w:tcW w:w="6840" w:type="dxa"/>
            <w:vAlign w:val="bottom"/>
          </w:tcPr>
          <w:p>
            <w:pPr>
              <w:ind w:left="240"/>
              <w:spacing w:after="0" w:line="171" w:lineRule="exact"/>
              <w:rPr>
                <w:sz w:val="20"/>
                <w:szCs w:val="20"/>
                <w:color w:val="auto"/>
              </w:rPr>
            </w:pPr>
            <w:r>
              <w:rPr>
                <w:rFonts w:ascii="MS PGothic" w:cs="MS PGothic" w:eastAsia="MS PGothic" w:hAnsi="MS PGothic"/>
                <w:sz w:val="17"/>
                <w:szCs w:val="17"/>
                <w:color w:val="auto"/>
              </w:rPr>
              <w:t>☐</w:t>
            </w:r>
          </w:p>
        </w:tc>
        <w:tc>
          <w:tcPr>
            <w:tcW w:w="2480" w:type="dxa"/>
            <w:vAlign w:val="bottom"/>
          </w:tcPr>
          <w:p>
            <w:pPr>
              <w:ind w:left="360"/>
              <w:spacing w:after="0"/>
              <w:rPr>
                <w:sz w:val="20"/>
                <w:szCs w:val="20"/>
                <w:color w:val="auto"/>
              </w:rPr>
            </w:pPr>
            <w:r>
              <w:rPr>
                <w:rFonts w:ascii="Arial" w:cs="Arial" w:eastAsia="Arial" w:hAnsi="Arial"/>
                <w:sz w:val="17"/>
                <w:szCs w:val="17"/>
                <w:color w:val="auto"/>
              </w:rPr>
              <w:t>Accelerated filer</w:t>
            </w:r>
          </w:p>
        </w:tc>
        <w:tc>
          <w:tcPr>
            <w:tcW w:w="420" w:type="dxa"/>
            <w:vAlign w:val="bottom"/>
          </w:tcPr>
          <w:p>
            <w:pPr>
              <w:ind w:left="26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16"/>
        </w:trPr>
        <w:tc>
          <w:tcPr>
            <w:tcW w:w="1680" w:type="dxa"/>
            <w:vAlign w:val="bottom"/>
          </w:tcPr>
          <w:p>
            <w:pPr>
              <w:spacing w:after="0"/>
              <w:rPr>
                <w:sz w:val="20"/>
                <w:szCs w:val="20"/>
                <w:color w:val="auto"/>
              </w:rPr>
            </w:pPr>
            <w:r>
              <w:rPr>
                <w:rFonts w:ascii="Arial" w:cs="Arial" w:eastAsia="Arial" w:hAnsi="Arial"/>
                <w:sz w:val="17"/>
                <w:szCs w:val="17"/>
                <w:color w:val="auto"/>
              </w:rPr>
              <w:t>Non-accelerated filer</w:t>
            </w:r>
          </w:p>
        </w:tc>
        <w:tc>
          <w:tcPr>
            <w:tcW w:w="6840" w:type="dxa"/>
            <w:vAlign w:val="bottom"/>
          </w:tcPr>
          <w:p>
            <w:pPr>
              <w:ind w:left="240"/>
              <w:spacing w:after="0" w:line="171" w:lineRule="exact"/>
              <w:rPr>
                <w:sz w:val="20"/>
                <w:szCs w:val="20"/>
                <w:color w:val="auto"/>
              </w:rPr>
            </w:pPr>
            <w:r>
              <w:rPr>
                <w:rFonts w:ascii="MS PGothic" w:cs="MS PGothic" w:eastAsia="MS PGothic" w:hAnsi="MS PGothic"/>
                <w:sz w:val="17"/>
                <w:szCs w:val="17"/>
                <w:color w:val="auto"/>
              </w:rPr>
              <w:t>☒</w:t>
            </w:r>
          </w:p>
        </w:tc>
        <w:tc>
          <w:tcPr>
            <w:tcW w:w="2480" w:type="dxa"/>
            <w:vAlign w:val="bottom"/>
          </w:tcPr>
          <w:p>
            <w:pPr>
              <w:ind w:left="360"/>
              <w:spacing w:after="0"/>
              <w:rPr>
                <w:sz w:val="20"/>
                <w:szCs w:val="20"/>
                <w:color w:val="auto"/>
              </w:rPr>
            </w:pPr>
            <w:r>
              <w:rPr>
                <w:rFonts w:ascii="Arial" w:cs="Arial" w:eastAsia="Arial" w:hAnsi="Arial"/>
                <w:sz w:val="17"/>
                <w:szCs w:val="17"/>
                <w:color w:val="auto"/>
              </w:rPr>
              <w:t>Smaller reporting company</w:t>
            </w:r>
          </w:p>
        </w:tc>
        <w:tc>
          <w:tcPr>
            <w:tcW w:w="420" w:type="dxa"/>
            <w:vAlign w:val="bottom"/>
          </w:tcPr>
          <w:p>
            <w:pPr>
              <w:ind w:left="26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69"/>
        </w:trPr>
        <w:tc>
          <w:tcPr>
            <w:tcW w:w="8520" w:type="dxa"/>
            <w:vAlign w:val="bottom"/>
            <w:gridSpan w:val="2"/>
          </w:tcPr>
          <w:p>
            <w:pPr>
              <w:spacing w:after="0" w:line="196" w:lineRule="exact"/>
              <w:rPr>
                <w:sz w:val="20"/>
                <w:szCs w:val="20"/>
                <w:color w:val="auto"/>
              </w:rPr>
            </w:pPr>
            <w:r>
              <w:rPr>
                <w:rFonts w:ascii="Arial" w:cs="Arial" w:eastAsia="Arial" w:hAnsi="Arial"/>
                <w:sz w:val="17"/>
                <w:szCs w:val="17"/>
                <w:color w:val="auto"/>
                <w:w w:val="93"/>
              </w:rPr>
              <w:t xml:space="preserve">Indicate by check mark whether the registrant is a shell company (as defined in Rule 12b-2 of the Exchange Act).  Yes </w:t>
            </w:r>
            <w:r>
              <w:rPr>
                <w:rFonts w:ascii="MS PGothic" w:cs="MS PGothic" w:eastAsia="MS PGothic" w:hAnsi="MS PGothic"/>
                <w:sz w:val="17"/>
                <w:szCs w:val="17"/>
                <w:color w:val="auto"/>
                <w:w w:val="93"/>
              </w:rPr>
              <w:t>☐</w:t>
            </w:r>
          </w:p>
        </w:tc>
        <w:tc>
          <w:tcPr>
            <w:tcW w:w="2480" w:type="dxa"/>
            <w:vAlign w:val="bottom"/>
          </w:tcPr>
          <w:p>
            <w:pPr>
              <w:ind w:left="80"/>
              <w:spacing w:after="0" w:line="196" w:lineRule="exact"/>
              <w:rPr>
                <w:sz w:val="20"/>
                <w:szCs w:val="20"/>
                <w:color w:val="auto"/>
              </w:rPr>
            </w:pP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tc>
        <w:tc>
          <w:tcPr>
            <w:tcW w:w="420" w:type="dxa"/>
            <w:vAlign w:val="bottom"/>
          </w:tcPr>
          <w:p>
            <w:pPr>
              <w:spacing w:after="0"/>
              <w:rPr>
                <w:sz w:val="24"/>
                <w:szCs w:val="24"/>
                <w:color w:val="auto"/>
              </w:rPr>
            </w:pPr>
          </w:p>
        </w:tc>
      </w:tr>
      <w:tr>
        <w:trPr>
          <w:trHeight w:val="349"/>
        </w:trPr>
        <w:tc>
          <w:tcPr>
            <w:tcW w:w="8520" w:type="dxa"/>
            <w:vAlign w:val="bottom"/>
            <w:gridSpan w:val="2"/>
          </w:tcPr>
          <w:p>
            <w:pPr>
              <w:spacing w:after="0"/>
              <w:rPr>
                <w:sz w:val="20"/>
                <w:szCs w:val="20"/>
                <w:color w:val="auto"/>
              </w:rPr>
            </w:pPr>
            <w:r>
              <w:rPr>
                <w:rFonts w:ascii="Arial" w:cs="Arial" w:eastAsia="Arial" w:hAnsi="Arial"/>
                <w:sz w:val="17"/>
                <w:szCs w:val="17"/>
                <w:color w:val="auto"/>
              </w:rPr>
              <w:t>The number of shares of common stock outstanding as of April 30, 2012:</w:t>
            </w:r>
          </w:p>
        </w:tc>
        <w:tc>
          <w:tcPr>
            <w:tcW w:w="248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02"/>
        </w:trPr>
        <w:tc>
          <w:tcPr>
            <w:tcW w:w="1680" w:type="dxa"/>
            <w:vAlign w:val="bottom"/>
          </w:tcPr>
          <w:p>
            <w:pPr>
              <w:spacing w:after="0"/>
              <w:rPr>
                <w:sz w:val="24"/>
                <w:szCs w:val="24"/>
                <w:color w:val="auto"/>
              </w:rPr>
            </w:pPr>
          </w:p>
        </w:tc>
        <w:tc>
          <w:tcPr>
            <w:tcW w:w="6840" w:type="dxa"/>
            <w:vAlign w:val="bottom"/>
          </w:tcPr>
          <w:p>
            <w:pPr>
              <w:ind w:left="160"/>
              <w:spacing w:after="0"/>
              <w:rPr>
                <w:sz w:val="20"/>
                <w:szCs w:val="20"/>
                <w:color w:val="auto"/>
              </w:rPr>
            </w:pPr>
            <w:r>
              <w:rPr>
                <w:rFonts w:ascii="Arial" w:cs="Arial" w:eastAsia="Arial" w:hAnsi="Arial"/>
                <w:sz w:val="17"/>
                <w:szCs w:val="17"/>
                <w:color w:val="auto"/>
              </w:rPr>
              <w:t>Class A Common Stock par value $0.01 per share</w:t>
            </w:r>
          </w:p>
        </w:tc>
        <w:tc>
          <w:tcPr>
            <w:tcW w:w="2480" w:type="dxa"/>
            <w:vAlign w:val="bottom"/>
          </w:tcPr>
          <w:p>
            <w:pPr>
              <w:jc w:val="right"/>
              <w:ind w:right="1414"/>
              <w:spacing w:after="0"/>
              <w:rPr>
                <w:sz w:val="20"/>
                <w:szCs w:val="20"/>
                <w:color w:val="auto"/>
              </w:rPr>
            </w:pPr>
            <w:r>
              <w:rPr>
                <w:rFonts w:ascii="Arial" w:cs="Arial" w:eastAsia="Arial" w:hAnsi="Arial"/>
                <w:sz w:val="17"/>
                <w:szCs w:val="17"/>
                <w:color w:val="auto"/>
              </w:rPr>
              <w:t>58,203,913</w:t>
            </w:r>
          </w:p>
        </w:tc>
        <w:tc>
          <w:tcPr>
            <w:tcW w:w="420" w:type="dxa"/>
            <w:vAlign w:val="bottom"/>
          </w:tcPr>
          <w:p>
            <w:pPr>
              <w:spacing w:after="0"/>
              <w:rPr>
                <w:sz w:val="24"/>
                <w:szCs w:val="24"/>
                <w:color w:val="auto"/>
              </w:rPr>
            </w:pPr>
          </w:p>
        </w:tc>
      </w:tr>
      <w:tr>
        <w:trPr>
          <w:trHeight w:val="217"/>
        </w:trPr>
        <w:tc>
          <w:tcPr>
            <w:tcW w:w="1680" w:type="dxa"/>
            <w:vAlign w:val="bottom"/>
          </w:tcPr>
          <w:p>
            <w:pPr>
              <w:spacing w:after="0"/>
              <w:rPr>
                <w:sz w:val="18"/>
                <w:szCs w:val="18"/>
                <w:color w:val="auto"/>
              </w:rPr>
            </w:pPr>
          </w:p>
        </w:tc>
        <w:tc>
          <w:tcPr>
            <w:tcW w:w="6840" w:type="dxa"/>
            <w:vAlign w:val="bottom"/>
          </w:tcPr>
          <w:p>
            <w:pPr>
              <w:ind w:left="160"/>
              <w:spacing w:after="0"/>
              <w:rPr>
                <w:sz w:val="20"/>
                <w:szCs w:val="20"/>
                <w:color w:val="auto"/>
              </w:rPr>
            </w:pPr>
            <w:r>
              <w:rPr>
                <w:rFonts w:ascii="Arial" w:cs="Arial" w:eastAsia="Arial" w:hAnsi="Arial"/>
                <w:sz w:val="17"/>
                <w:szCs w:val="17"/>
                <w:color w:val="auto"/>
              </w:rPr>
              <w:t>Class B Common Stock par value $0.01 per share</w:t>
            </w:r>
          </w:p>
        </w:tc>
        <w:tc>
          <w:tcPr>
            <w:tcW w:w="2480" w:type="dxa"/>
            <w:vAlign w:val="bottom"/>
          </w:tcPr>
          <w:p>
            <w:pPr>
              <w:jc w:val="right"/>
              <w:ind w:right="1414"/>
              <w:spacing w:after="0"/>
              <w:rPr>
                <w:sz w:val="20"/>
                <w:szCs w:val="20"/>
                <w:color w:val="auto"/>
              </w:rPr>
            </w:pPr>
            <w:r>
              <w:rPr>
                <w:rFonts w:ascii="Arial" w:cs="Arial" w:eastAsia="Arial" w:hAnsi="Arial"/>
                <w:sz w:val="17"/>
                <w:szCs w:val="17"/>
                <w:color w:val="auto"/>
              </w:rPr>
              <w:t>13,534,408</w:t>
            </w:r>
          </w:p>
        </w:tc>
        <w:tc>
          <w:tcPr>
            <w:tcW w:w="420" w:type="dxa"/>
            <w:vAlign w:val="bottom"/>
          </w:tcPr>
          <w:p>
            <w:pPr>
              <w:spacing w:after="0"/>
              <w:rPr>
                <w:sz w:val="18"/>
                <w:szCs w:val="18"/>
                <w:color w:val="auto"/>
              </w:rPr>
            </w:pPr>
          </w:p>
        </w:tc>
      </w:tr>
      <w:tr>
        <w:trPr>
          <w:trHeight w:val="121"/>
        </w:trPr>
        <w:tc>
          <w:tcPr>
            <w:tcW w:w="1680" w:type="dxa"/>
            <w:vAlign w:val="bottom"/>
            <w:tcBorders>
              <w:bottom w:val="single" w:sz="8" w:color="auto"/>
            </w:tcBorders>
          </w:tcPr>
          <w:p>
            <w:pPr>
              <w:spacing w:after="0"/>
              <w:rPr>
                <w:sz w:val="10"/>
                <w:szCs w:val="10"/>
                <w:color w:val="auto"/>
              </w:rPr>
            </w:pPr>
          </w:p>
        </w:tc>
        <w:tc>
          <w:tcPr>
            <w:tcW w:w="6840" w:type="dxa"/>
            <w:vAlign w:val="bottom"/>
            <w:tcBorders>
              <w:bottom w:val="single" w:sz="8" w:color="auto"/>
            </w:tcBorders>
          </w:tcPr>
          <w:p>
            <w:pPr>
              <w:spacing w:after="0"/>
              <w:rPr>
                <w:sz w:val="10"/>
                <w:szCs w:val="10"/>
                <w:color w:val="auto"/>
              </w:rPr>
            </w:pPr>
          </w:p>
        </w:tc>
        <w:tc>
          <w:tcPr>
            <w:tcW w:w="24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r>
      <w:tr>
        <w:trPr>
          <w:trHeight w:val="20"/>
        </w:trPr>
        <w:tc>
          <w:tcPr>
            <w:tcW w:w="1680" w:type="dxa"/>
            <w:vAlign w:val="bottom"/>
            <w:tcBorders>
              <w:bottom w:val="single" w:sz="8" w:color="auto"/>
            </w:tcBorders>
          </w:tcPr>
          <w:p>
            <w:pPr>
              <w:spacing w:after="0" w:line="20" w:lineRule="exact"/>
              <w:rPr>
                <w:sz w:val="1"/>
                <w:szCs w:val="1"/>
                <w:color w:val="auto"/>
              </w:rPr>
            </w:pPr>
          </w:p>
        </w:tc>
        <w:tc>
          <w:tcPr>
            <w:tcW w:w="684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227" w:right="239" w:bottom="1440" w:gutter="0" w:footer="0" w:header="0"/>
        </w:sectPr>
      </w:pPr>
    </w:p>
    <w:bookmarkStart w:id="1" w:name="page2"/>
    <w:bookmarkEnd w:id="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2340" cy="3810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AMC NETWORKS INC. AND SUBSIDIARIES</w:t>
      </w:r>
    </w:p>
    <w:p>
      <w:pPr>
        <w:spacing w:after="0" w:line="94"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FORM 10-Q</w:t>
      </w:r>
    </w:p>
    <w:p>
      <w:pPr>
        <w:spacing w:after="0" w:line="94"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TABLE OF CONTENTS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1000" w:type="dxa"/>
            <w:vAlign w:val="bottom"/>
            <w:vMerge w:val="restart"/>
          </w:tcPr>
          <w:p>
            <w:pPr>
              <w:spacing w:after="0"/>
              <w:rPr>
                <w:sz w:val="20"/>
                <w:szCs w:val="20"/>
                <w:color w:val="auto"/>
              </w:rPr>
            </w:pPr>
            <w:r>
              <w:rPr>
                <w:rFonts w:ascii="Arial" w:cs="Arial" w:eastAsia="Arial" w:hAnsi="Arial"/>
                <w:sz w:val="17"/>
                <w:szCs w:val="17"/>
                <w:b w:val="1"/>
                <w:bCs w:val="1"/>
                <w:color w:val="auto"/>
              </w:rPr>
              <w:t>PART I.</w:t>
            </w:r>
          </w:p>
        </w:tc>
        <w:tc>
          <w:tcPr>
            <w:tcW w:w="10060" w:type="dxa"/>
            <w:vAlign w:val="bottom"/>
            <w:gridSpan w:val="17"/>
            <w:vMerge w:val="restart"/>
          </w:tcPr>
          <w:p>
            <w:pPr>
              <w:spacing w:after="0"/>
              <w:rPr>
                <w:rFonts w:ascii="Arial" w:cs="Arial" w:eastAsia="Arial" w:hAnsi="Arial"/>
                <w:sz w:val="17"/>
                <w:szCs w:val="17"/>
                <w:b w:val="1"/>
                <w:bCs w:val="1"/>
                <w:color w:val="0000EE"/>
              </w:rPr>
            </w:pPr>
            <w:hyperlink w:anchor="page3">
              <w:r>
                <w:rPr>
                  <w:rFonts w:ascii="Arial" w:cs="Arial" w:eastAsia="Arial" w:hAnsi="Arial"/>
                  <w:sz w:val="17"/>
                  <w:szCs w:val="17"/>
                  <w:b w:val="1"/>
                  <w:bCs w:val="1"/>
                  <w:color w:val="0000EE"/>
                </w:rPr>
                <w:t>FINANCIAL INFORMATION</w:t>
              </w:r>
            </w:hyperlink>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78"/>
              </w:rPr>
              <w:t>Page</w:t>
            </w:r>
          </w:p>
        </w:tc>
        <w:tc>
          <w:tcPr>
            <w:tcW w:w="0" w:type="dxa"/>
            <w:vAlign w:val="bottom"/>
          </w:tcPr>
          <w:p>
            <w:pPr>
              <w:spacing w:after="0"/>
              <w:rPr>
                <w:sz w:val="1"/>
                <w:szCs w:val="1"/>
                <w:color w:val="auto"/>
              </w:rPr>
            </w:pPr>
          </w:p>
        </w:tc>
      </w:tr>
      <w:tr>
        <w:trPr>
          <w:trHeight w:val="151"/>
        </w:trPr>
        <w:tc>
          <w:tcPr>
            <w:tcW w:w="1000" w:type="dxa"/>
            <w:vAlign w:val="bottom"/>
            <w:vMerge w:val="continue"/>
          </w:tcPr>
          <w:p>
            <w:pPr>
              <w:spacing w:after="0"/>
              <w:rPr>
                <w:sz w:val="13"/>
                <w:szCs w:val="13"/>
                <w:color w:val="auto"/>
              </w:rPr>
            </w:pPr>
          </w:p>
        </w:tc>
        <w:tc>
          <w:tcPr>
            <w:tcW w:w="10060" w:type="dxa"/>
            <w:vAlign w:val="bottom"/>
            <w:gridSpan w:val="17"/>
            <w:vMerge w:val="continue"/>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6"/>
        </w:trPr>
        <w:tc>
          <w:tcPr>
            <w:tcW w:w="1000" w:type="dxa"/>
            <w:vAlign w:val="bottom"/>
          </w:tcPr>
          <w:p>
            <w:pPr>
              <w:ind w:left="220"/>
              <w:spacing w:after="0"/>
              <w:rPr>
                <w:sz w:val="20"/>
                <w:szCs w:val="20"/>
                <w:color w:val="auto"/>
              </w:rPr>
            </w:pPr>
            <w:r>
              <w:rPr>
                <w:rFonts w:ascii="Arial" w:cs="Arial" w:eastAsia="Arial" w:hAnsi="Arial"/>
                <w:sz w:val="17"/>
                <w:szCs w:val="17"/>
                <w:b w:val="1"/>
                <w:bCs w:val="1"/>
                <w:color w:val="auto"/>
              </w:rPr>
              <w:t>Item 1.</w:t>
            </w:r>
          </w:p>
        </w:tc>
        <w:tc>
          <w:tcPr>
            <w:tcW w:w="2280" w:type="dxa"/>
            <w:vAlign w:val="bottom"/>
            <w:tcBorders>
              <w:top w:val="single" w:sz="8" w:color="0000EE"/>
            </w:tcBorders>
            <w:gridSpan w:val="7"/>
          </w:tcPr>
          <w:p>
            <w:pPr>
              <w:spacing w:after="0"/>
              <w:rPr>
                <w:rFonts w:ascii="Arial" w:cs="Arial" w:eastAsia="Arial" w:hAnsi="Arial"/>
                <w:sz w:val="17"/>
                <w:szCs w:val="17"/>
                <w:color w:val="0000EE"/>
              </w:rPr>
            </w:pPr>
            <w:hyperlink w:anchor="page3">
              <w:r>
                <w:rPr>
                  <w:rFonts w:ascii="Arial" w:cs="Arial" w:eastAsia="Arial" w:hAnsi="Arial"/>
                  <w:sz w:val="17"/>
                  <w:szCs w:val="17"/>
                  <w:color w:val="0000EE"/>
                </w:rPr>
                <w:t>Financial Statements.</w:t>
              </w:r>
            </w:hyperlink>
          </w:p>
        </w:tc>
        <w:tc>
          <w:tcPr>
            <w:tcW w:w="7780" w:type="dxa"/>
            <w:vAlign w:val="bottom"/>
            <w:gridSpan w:val="10"/>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6"/>
        </w:trPr>
        <w:tc>
          <w:tcPr>
            <w:tcW w:w="1000" w:type="dxa"/>
            <w:vAlign w:val="bottom"/>
          </w:tcPr>
          <w:p>
            <w:pPr>
              <w:spacing w:after="0"/>
              <w:rPr>
                <w:sz w:val="24"/>
                <w:szCs w:val="24"/>
                <w:color w:val="auto"/>
              </w:rPr>
            </w:pPr>
          </w:p>
        </w:tc>
        <w:tc>
          <w:tcPr>
            <w:tcW w:w="10060" w:type="dxa"/>
            <w:vAlign w:val="bottom"/>
            <w:gridSpan w:val="17"/>
          </w:tcPr>
          <w:p>
            <w:pPr>
              <w:spacing w:after="0"/>
              <w:rPr>
                <w:rFonts w:ascii="Arial" w:cs="Arial" w:eastAsia="Arial" w:hAnsi="Arial"/>
                <w:sz w:val="17"/>
                <w:szCs w:val="17"/>
                <w:color w:val="0000EE"/>
              </w:rPr>
            </w:pPr>
            <w:hyperlink w:anchor="page3">
              <w:r>
                <w:rPr>
                  <w:rFonts w:ascii="Arial" w:cs="Arial" w:eastAsia="Arial" w:hAnsi="Arial"/>
                  <w:sz w:val="17"/>
                  <w:szCs w:val="17"/>
                  <w:color w:val="0000EE"/>
                </w:rPr>
                <w:t>Consolidated Balance Sheets - March 31, 2012 and December 31, 2011 (unaudited)</w:t>
              </w:r>
            </w:hyperlink>
          </w:p>
        </w:tc>
        <w:tc>
          <w:tcPr>
            <w:tcW w:w="280" w:type="dxa"/>
            <w:vAlign w:val="bottom"/>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92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6"/>
        </w:trPr>
        <w:tc>
          <w:tcPr>
            <w:tcW w:w="1000" w:type="dxa"/>
            <w:vAlign w:val="bottom"/>
          </w:tcPr>
          <w:p>
            <w:pPr>
              <w:spacing w:after="0"/>
              <w:rPr>
                <w:sz w:val="24"/>
                <w:szCs w:val="24"/>
                <w:color w:val="auto"/>
              </w:rPr>
            </w:pPr>
          </w:p>
        </w:tc>
        <w:tc>
          <w:tcPr>
            <w:tcW w:w="10060" w:type="dxa"/>
            <w:vAlign w:val="bottom"/>
            <w:gridSpan w:val="17"/>
          </w:tcPr>
          <w:p>
            <w:pPr>
              <w:spacing w:after="0"/>
              <w:rPr>
                <w:rFonts w:ascii="Arial" w:cs="Arial" w:eastAsia="Arial" w:hAnsi="Arial"/>
                <w:sz w:val="17"/>
                <w:szCs w:val="17"/>
                <w:color w:val="0000EE"/>
              </w:rPr>
            </w:pPr>
            <w:hyperlink w:anchor="page4">
              <w:r>
                <w:rPr>
                  <w:rFonts w:ascii="Arial" w:cs="Arial" w:eastAsia="Arial" w:hAnsi="Arial"/>
                  <w:sz w:val="17"/>
                  <w:szCs w:val="17"/>
                  <w:color w:val="0000EE"/>
                </w:rPr>
                <w:t>Consolidated Statements of Income - Three Months Ended March 31, 2012 and 2011 (unaudited)</w:t>
              </w:r>
            </w:hyperlink>
          </w:p>
        </w:tc>
        <w:tc>
          <w:tcPr>
            <w:tcW w:w="280" w:type="dxa"/>
            <w:vAlign w:val="bottom"/>
          </w:tcPr>
          <w:p>
            <w:pPr>
              <w:jc w:val="right"/>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92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6"/>
        </w:trPr>
        <w:tc>
          <w:tcPr>
            <w:tcW w:w="1000" w:type="dxa"/>
            <w:vAlign w:val="bottom"/>
          </w:tcPr>
          <w:p>
            <w:pPr>
              <w:spacing w:after="0"/>
              <w:rPr>
                <w:sz w:val="24"/>
                <w:szCs w:val="24"/>
                <w:color w:val="auto"/>
              </w:rPr>
            </w:pPr>
          </w:p>
        </w:tc>
        <w:tc>
          <w:tcPr>
            <w:tcW w:w="10060" w:type="dxa"/>
            <w:vAlign w:val="bottom"/>
            <w:gridSpan w:val="17"/>
          </w:tcPr>
          <w:p>
            <w:pPr>
              <w:spacing w:after="0"/>
              <w:rPr>
                <w:rFonts w:ascii="Arial" w:cs="Arial" w:eastAsia="Arial" w:hAnsi="Arial"/>
                <w:sz w:val="17"/>
                <w:szCs w:val="17"/>
                <w:color w:val="0000EE"/>
              </w:rPr>
            </w:pPr>
            <w:hyperlink w:anchor="page5">
              <w:r>
                <w:rPr>
                  <w:rFonts w:ascii="Arial" w:cs="Arial" w:eastAsia="Arial" w:hAnsi="Arial"/>
                  <w:sz w:val="17"/>
                  <w:szCs w:val="17"/>
                  <w:color w:val="0000EE"/>
                </w:rPr>
                <w:t>Consolidated Statements of Comprehensive Income - Three Months Ended March 31, 2012 and 2011 (unaudited)</w:t>
              </w:r>
            </w:hyperlink>
          </w:p>
        </w:tc>
        <w:tc>
          <w:tcPr>
            <w:tcW w:w="280" w:type="dxa"/>
            <w:vAlign w:val="bottom"/>
          </w:tcPr>
          <w:p>
            <w:pPr>
              <w:jc w:val="right"/>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96"/>
        </w:trPr>
        <w:tc>
          <w:tcPr>
            <w:tcW w:w="1000" w:type="dxa"/>
            <w:vAlign w:val="bottom"/>
          </w:tcPr>
          <w:p>
            <w:pPr>
              <w:spacing w:after="0"/>
              <w:rPr>
                <w:sz w:val="24"/>
                <w:szCs w:val="24"/>
                <w:color w:val="auto"/>
              </w:rPr>
            </w:pPr>
          </w:p>
        </w:tc>
        <w:tc>
          <w:tcPr>
            <w:tcW w:w="7780" w:type="dxa"/>
            <w:vAlign w:val="bottom"/>
            <w:tcBorders>
              <w:top w:val="single" w:sz="8" w:color="0000EE"/>
            </w:tcBorders>
            <w:gridSpan w:val="16"/>
          </w:tcPr>
          <w:p>
            <w:pPr>
              <w:spacing w:after="0"/>
              <w:rPr>
                <w:rFonts w:ascii="Arial" w:cs="Arial" w:eastAsia="Arial" w:hAnsi="Arial"/>
                <w:sz w:val="17"/>
                <w:szCs w:val="17"/>
                <w:color w:val="0000EE"/>
                <w:w w:val="99"/>
              </w:rPr>
            </w:pPr>
            <w:hyperlink w:anchor="page6">
              <w:r>
                <w:rPr>
                  <w:rFonts w:ascii="Arial" w:cs="Arial" w:eastAsia="Arial" w:hAnsi="Arial"/>
                  <w:sz w:val="17"/>
                  <w:szCs w:val="17"/>
                  <w:color w:val="0000EE"/>
                  <w:w w:val="99"/>
                </w:rPr>
                <w:t>Consolidated Statement of Stockholders’ Deficiency - Three Months Ended March 31, 2012 (unaudited)</w:t>
              </w:r>
            </w:hyperlink>
          </w:p>
        </w:tc>
        <w:tc>
          <w:tcPr>
            <w:tcW w:w="228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96"/>
        </w:trPr>
        <w:tc>
          <w:tcPr>
            <w:tcW w:w="1000" w:type="dxa"/>
            <w:vAlign w:val="bottom"/>
          </w:tcPr>
          <w:p>
            <w:pPr>
              <w:spacing w:after="0"/>
              <w:rPr>
                <w:sz w:val="24"/>
                <w:szCs w:val="24"/>
                <w:color w:val="auto"/>
              </w:rPr>
            </w:pPr>
          </w:p>
        </w:tc>
        <w:tc>
          <w:tcPr>
            <w:tcW w:w="7160" w:type="dxa"/>
            <w:vAlign w:val="bottom"/>
            <w:tcBorders>
              <w:top w:val="single" w:sz="8" w:color="0000EE"/>
            </w:tcBorders>
            <w:gridSpan w:val="15"/>
          </w:tcPr>
          <w:p>
            <w:pPr>
              <w:spacing w:after="0"/>
              <w:rPr>
                <w:rFonts w:ascii="Arial" w:cs="Arial" w:eastAsia="Arial" w:hAnsi="Arial"/>
                <w:sz w:val="17"/>
                <w:szCs w:val="17"/>
                <w:color w:val="0000EE"/>
                <w:w w:val="92"/>
              </w:rPr>
            </w:pPr>
            <w:hyperlink w:anchor="page7">
              <w:r>
                <w:rPr>
                  <w:rFonts w:ascii="Arial" w:cs="Arial" w:eastAsia="Arial" w:hAnsi="Arial"/>
                  <w:sz w:val="17"/>
                  <w:szCs w:val="17"/>
                  <w:color w:val="0000EE"/>
                  <w:w w:val="92"/>
                </w:rPr>
                <w:t>Consolidated Statements of Cash Flows – Three Months Ended March 31, 2012 and 2011 (unaudited)</w:t>
              </w:r>
            </w:hyperlink>
          </w:p>
        </w:tc>
        <w:tc>
          <w:tcPr>
            <w:tcW w:w="2900" w:type="dxa"/>
            <w:vAlign w:val="bottom"/>
            <w:gridSpan w:val="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96"/>
        </w:trPr>
        <w:tc>
          <w:tcPr>
            <w:tcW w:w="1000" w:type="dxa"/>
            <w:vAlign w:val="bottom"/>
          </w:tcPr>
          <w:p>
            <w:pPr>
              <w:spacing w:after="0"/>
              <w:rPr>
                <w:sz w:val="24"/>
                <w:szCs w:val="24"/>
                <w:color w:val="auto"/>
              </w:rPr>
            </w:pPr>
          </w:p>
        </w:tc>
        <w:tc>
          <w:tcPr>
            <w:tcW w:w="3840" w:type="dxa"/>
            <w:vAlign w:val="bottom"/>
            <w:tcBorders>
              <w:top w:val="single" w:sz="8" w:color="0000EE"/>
              <w:bottom w:val="single" w:sz="8" w:color="0000EE"/>
            </w:tcBorders>
            <w:gridSpan w:val="8"/>
          </w:tcPr>
          <w:p>
            <w:pPr>
              <w:spacing w:after="0"/>
              <w:rPr>
                <w:rFonts w:ascii="Arial" w:cs="Arial" w:eastAsia="Arial" w:hAnsi="Arial"/>
                <w:sz w:val="17"/>
                <w:szCs w:val="17"/>
                <w:color w:val="0000EE"/>
                <w:w w:val="90"/>
              </w:rPr>
            </w:pPr>
            <w:hyperlink w:anchor="page8">
              <w:r>
                <w:rPr>
                  <w:rFonts w:ascii="Arial" w:cs="Arial" w:eastAsia="Arial" w:hAnsi="Arial"/>
                  <w:sz w:val="17"/>
                  <w:szCs w:val="17"/>
                  <w:color w:val="0000EE"/>
                  <w:w w:val="90"/>
                </w:rPr>
                <w:t>Notes to Consolidated Financial Statements (unaudited)</w:t>
              </w:r>
            </w:hyperlink>
          </w:p>
        </w:tc>
        <w:tc>
          <w:tcPr>
            <w:tcW w:w="3140" w:type="dxa"/>
            <w:vAlign w:val="bottom"/>
            <w:tcBorders>
              <w:top w:val="single" w:sz="8" w:color="0000EE"/>
            </w:tcBorders>
            <w:gridSpan w:val="6"/>
          </w:tcPr>
          <w:p>
            <w:pPr>
              <w:spacing w:after="0"/>
              <w:rPr>
                <w:sz w:val="24"/>
                <w:szCs w:val="24"/>
                <w:color w:val="auto"/>
              </w:rPr>
            </w:pPr>
          </w:p>
        </w:tc>
        <w:tc>
          <w:tcPr>
            <w:tcW w:w="3080" w:type="dxa"/>
            <w:vAlign w:val="bottom"/>
            <w:gridSpan w:val="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296"/>
        </w:trPr>
        <w:tc>
          <w:tcPr>
            <w:tcW w:w="1000" w:type="dxa"/>
            <w:vAlign w:val="bottom"/>
          </w:tcPr>
          <w:p>
            <w:pPr>
              <w:ind w:left="220"/>
              <w:spacing w:after="0"/>
              <w:rPr>
                <w:sz w:val="20"/>
                <w:szCs w:val="20"/>
                <w:color w:val="auto"/>
              </w:rPr>
            </w:pPr>
            <w:r>
              <w:rPr>
                <w:rFonts w:ascii="Arial" w:cs="Arial" w:eastAsia="Arial" w:hAnsi="Arial"/>
                <w:sz w:val="17"/>
                <w:szCs w:val="17"/>
                <w:b w:val="1"/>
                <w:bCs w:val="1"/>
                <w:color w:val="auto"/>
              </w:rPr>
              <w:t>Item 2.</w:t>
            </w:r>
          </w:p>
        </w:tc>
        <w:tc>
          <w:tcPr>
            <w:tcW w:w="6200" w:type="dxa"/>
            <w:vAlign w:val="bottom"/>
            <w:tcBorders>
              <w:bottom w:val="single" w:sz="8" w:color="0000EE"/>
            </w:tcBorders>
            <w:gridSpan w:val="12"/>
          </w:tcPr>
          <w:p>
            <w:pPr>
              <w:spacing w:after="0"/>
              <w:rPr>
                <w:rFonts w:ascii="Arial" w:cs="Arial" w:eastAsia="Arial" w:hAnsi="Arial"/>
                <w:sz w:val="17"/>
                <w:szCs w:val="17"/>
                <w:color w:val="0000EE"/>
                <w:w w:val="91"/>
              </w:rPr>
            </w:pPr>
            <w:hyperlink w:anchor="page23">
              <w:r>
                <w:rPr>
                  <w:rFonts w:ascii="Arial" w:cs="Arial" w:eastAsia="Arial" w:hAnsi="Arial"/>
                  <w:sz w:val="17"/>
                  <w:szCs w:val="17"/>
                  <w:color w:val="0000EE"/>
                  <w:w w:val="91"/>
                </w:rPr>
                <w:t>Management’s Discussion and Analysis of Financial Condition and Results of Operations.</w:t>
              </w:r>
            </w:hyperlink>
          </w:p>
        </w:tc>
        <w:tc>
          <w:tcPr>
            <w:tcW w:w="3860" w:type="dxa"/>
            <w:vAlign w:val="bottom"/>
            <w:gridSpan w:val="5"/>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296"/>
        </w:trPr>
        <w:tc>
          <w:tcPr>
            <w:tcW w:w="1000" w:type="dxa"/>
            <w:vAlign w:val="bottom"/>
          </w:tcPr>
          <w:p>
            <w:pPr>
              <w:ind w:left="220"/>
              <w:spacing w:after="0"/>
              <w:rPr>
                <w:sz w:val="20"/>
                <w:szCs w:val="20"/>
                <w:color w:val="auto"/>
              </w:rPr>
            </w:pPr>
            <w:r>
              <w:rPr>
                <w:rFonts w:ascii="Arial" w:cs="Arial" w:eastAsia="Arial" w:hAnsi="Arial"/>
                <w:sz w:val="17"/>
                <w:szCs w:val="17"/>
                <w:b w:val="1"/>
                <w:bCs w:val="1"/>
                <w:color w:val="auto"/>
              </w:rPr>
              <w:t>Item 3.</w:t>
            </w:r>
          </w:p>
        </w:tc>
        <w:tc>
          <w:tcPr>
            <w:tcW w:w="4200" w:type="dxa"/>
            <w:vAlign w:val="bottom"/>
            <w:tcBorders>
              <w:bottom w:val="single" w:sz="8" w:color="0000EE"/>
            </w:tcBorders>
            <w:gridSpan w:val="10"/>
          </w:tcPr>
          <w:p>
            <w:pPr>
              <w:spacing w:after="0"/>
              <w:rPr>
                <w:rFonts w:ascii="Arial" w:cs="Arial" w:eastAsia="Arial" w:hAnsi="Arial"/>
                <w:sz w:val="17"/>
                <w:szCs w:val="17"/>
                <w:color w:val="0000EE"/>
                <w:w w:val="92"/>
              </w:rPr>
            </w:pPr>
            <w:hyperlink w:anchor="page38">
              <w:r>
                <w:rPr>
                  <w:rFonts w:ascii="Arial" w:cs="Arial" w:eastAsia="Arial" w:hAnsi="Arial"/>
                  <w:sz w:val="17"/>
                  <w:szCs w:val="17"/>
                  <w:color w:val="0000EE"/>
                  <w:w w:val="92"/>
                </w:rPr>
                <w:t>Quantitative and Qualitative Disclosures About Market Risk.</w:t>
              </w:r>
            </w:hyperlink>
          </w:p>
        </w:tc>
        <w:tc>
          <w:tcPr>
            <w:tcW w:w="5860" w:type="dxa"/>
            <w:vAlign w:val="bottom"/>
            <w:gridSpan w:val="7"/>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7"/>
                <w:szCs w:val="17"/>
                <w:color w:val="auto"/>
              </w:rPr>
              <w:t>38</w:t>
            </w:r>
          </w:p>
        </w:tc>
        <w:tc>
          <w:tcPr>
            <w:tcW w:w="0" w:type="dxa"/>
            <w:vAlign w:val="bottom"/>
          </w:tcPr>
          <w:p>
            <w:pPr>
              <w:spacing w:after="0"/>
              <w:rPr>
                <w:sz w:val="1"/>
                <w:szCs w:val="1"/>
                <w:color w:val="auto"/>
              </w:rPr>
            </w:pPr>
          </w:p>
        </w:tc>
      </w:tr>
      <w:tr>
        <w:trPr>
          <w:trHeight w:val="296"/>
        </w:trPr>
        <w:tc>
          <w:tcPr>
            <w:tcW w:w="1000" w:type="dxa"/>
            <w:vAlign w:val="bottom"/>
          </w:tcPr>
          <w:p>
            <w:pPr>
              <w:ind w:left="220"/>
              <w:spacing w:after="0"/>
              <w:rPr>
                <w:sz w:val="20"/>
                <w:szCs w:val="20"/>
                <w:color w:val="auto"/>
              </w:rPr>
            </w:pPr>
            <w:r>
              <w:rPr>
                <w:rFonts w:ascii="Arial" w:cs="Arial" w:eastAsia="Arial" w:hAnsi="Arial"/>
                <w:sz w:val="17"/>
                <w:szCs w:val="17"/>
                <w:b w:val="1"/>
                <w:bCs w:val="1"/>
                <w:color w:val="auto"/>
              </w:rPr>
              <w:t>Item 4.</w:t>
            </w:r>
          </w:p>
        </w:tc>
        <w:tc>
          <w:tcPr>
            <w:tcW w:w="1740" w:type="dxa"/>
            <w:vAlign w:val="bottom"/>
            <w:tcBorders>
              <w:bottom w:val="single" w:sz="8" w:color="0000EE"/>
            </w:tcBorders>
            <w:gridSpan w:val="5"/>
          </w:tcPr>
          <w:p>
            <w:pPr>
              <w:spacing w:after="0"/>
              <w:rPr>
                <w:rFonts w:ascii="Arial" w:cs="Arial" w:eastAsia="Arial" w:hAnsi="Arial"/>
                <w:sz w:val="17"/>
                <w:szCs w:val="17"/>
                <w:color w:val="0000EE"/>
                <w:w w:val="89"/>
              </w:rPr>
            </w:pPr>
            <w:hyperlink w:anchor="page38">
              <w:r>
                <w:rPr>
                  <w:rFonts w:ascii="Arial" w:cs="Arial" w:eastAsia="Arial" w:hAnsi="Arial"/>
                  <w:sz w:val="17"/>
                  <w:szCs w:val="17"/>
                  <w:color w:val="0000EE"/>
                  <w:w w:val="89"/>
                </w:rPr>
                <w:t>Controls and Procedures.</w:t>
              </w:r>
            </w:hyperlink>
          </w:p>
        </w:tc>
        <w:tc>
          <w:tcPr>
            <w:tcW w:w="8320" w:type="dxa"/>
            <w:vAlign w:val="bottom"/>
            <w:gridSpan w:val="1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7"/>
                <w:szCs w:val="17"/>
                <w:color w:val="auto"/>
              </w:rPr>
              <w:t>38</w:t>
            </w:r>
          </w:p>
        </w:tc>
        <w:tc>
          <w:tcPr>
            <w:tcW w:w="0" w:type="dxa"/>
            <w:vAlign w:val="bottom"/>
          </w:tcPr>
          <w:p>
            <w:pPr>
              <w:spacing w:after="0"/>
              <w:rPr>
                <w:sz w:val="1"/>
                <w:szCs w:val="1"/>
                <w:color w:val="auto"/>
              </w:rPr>
            </w:pPr>
          </w:p>
        </w:tc>
      </w:tr>
      <w:tr>
        <w:trPr>
          <w:trHeight w:val="296"/>
        </w:trPr>
        <w:tc>
          <w:tcPr>
            <w:tcW w:w="1000" w:type="dxa"/>
            <w:vAlign w:val="bottom"/>
          </w:tcPr>
          <w:p>
            <w:pPr>
              <w:spacing w:after="0"/>
              <w:rPr>
                <w:sz w:val="20"/>
                <w:szCs w:val="20"/>
                <w:color w:val="auto"/>
              </w:rPr>
            </w:pPr>
            <w:r>
              <w:rPr>
                <w:rFonts w:ascii="Arial" w:cs="Arial" w:eastAsia="Arial" w:hAnsi="Arial"/>
                <w:sz w:val="17"/>
                <w:szCs w:val="17"/>
                <w:b w:val="1"/>
                <w:bCs w:val="1"/>
                <w:color w:val="auto"/>
              </w:rPr>
              <w:t>PART II.</w:t>
            </w:r>
          </w:p>
        </w:tc>
        <w:tc>
          <w:tcPr>
            <w:tcW w:w="10060" w:type="dxa"/>
            <w:vAlign w:val="bottom"/>
            <w:gridSpan w:val="17"/>
          </w:tcPr>
          <w:p>
            <w:pPr>
              <w:spacing w:after="0"/>
              <w:rPr>
                <w:rFonts w:ascii="Arial" w:cs="Arial" w:eastAsia="Arial" w:hAnsi="Arial"/>
                <w:sz w:val="17"/>
                <w:szCs w:val="17"/>
                <w:b w:val="1"/>
                <w:bCs w:val="1"/>
                <w:color w:val="0000EE"/>
              </w:rPr>
            </w:pPr>
            <w:hyperlink w:anchor="page39">
              <w:r>
                <w:rPr>
                  <w:rFonts w:ascii="Arial" w:cs="Arial" w:eastAsia="Arial" w:hAnsi="Arial"/>
                  <w:sz w:val="17"/>
                  <w:szCs w:val="17"/>
                  <w:b w:val="1"/>
                  <w:bCs w:val="1"/>
                  <w:color w:val="0000EE"/>
                </w:rPr>
                <w:t>OTHER INFORMATION</w:t>
              </w:r>
            </w:hyperlink>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1000" w:type="dxa"/>
            <w:vAlign w:val="bottom"/>
          </w:tcPr>
          <w:p>
            <w:pPr>
              <w:ind w:left="220"/>
              <w:spacing w:after="0"/>
              <w:rPr>
                <w:sz w:val="20"/>
                <w:szCs w:val="20"/>
                <w:color w:val="auto"/>
              </w:rPr>
            </w:pPr>
            <w:r>
              <w:rPr>
                <w:rFonts w:ascii="Arial" w:cs="Arial" w:eastAsia="Arial" w:hAnsi="Arial"/>
                <w:sz w:val="17"/>
                <w:szCs w:val="17"/>
                <w:b w:val="1"/>
                <w:bCs w:val="1"/>
                <w:color w:val="auto"/>
              </w:rPr>
              <w:t>Item 1.</w:t>
            </w:r>
          </w:p>
        </w:tc>
        <w:tc>
          <w:tcPr>
            <w:tcW w:w="1320" w:type="dxa"/>
            <w:vAlign w:val="bottom"/>
            <w:tcBorders>
              <w:top w:val="single" w:sz="8" w:color="0000EE"/>
              <w:bottom w:val="single" w:sz="8" w:color="0000EE"/>
            </w:tcBorders>
            <w:gridSpan w:val="3"/>
          </w:tcPr>
          <w:p>
            <w:pPr>
              <w:spacing w:after="0"/>
              <w:rPr>
                <w:rFonts w:ascii="Arial" w:cs="Arial" w:eastAsia="Arial" w:hAnsi="Arial"/>
                <w:sz w:val="17"/>
                <w:szCs w:val="17"/>
                <w:color w:val="0000EE"/>
                <w:w w:val="89"/>
              </w:rPr>
            </w:pPr>
            <w:hyperlink w:anchor="page39">
              <w:r>
                <w:rPr>
                  <w:rFonts w:ascii="Arial" w:cs="Arial" w:eastAsia="Arial" w:hAnsi="Arial"/>
                  <w:sz w:val="17"/>
                  <w:szCs w:val="17"/>
                  <w:color w:val="0000EE"/>
                  <w:w w:val="89"/>
                </w:rPr>
                <w:t>Legal Proceedings.</w:t>
              </w:r>
            </w:hyperlink>
          </w:p>
        </w:tc>
        <w:tc>
          <w:tcPr>
            <w:tcW w:w="600" w:type="dxa"/>
            <w:vAlign w:val="bottom"/>
            <w:tcBorders>
              <w:top w:val="single" w:sz="8" w:color="0000EE"/>
            </w:tcBorders>
            <w:gridSpan w:val="3"/>
          </w:tcPr>
          <w:p>
            <w:pPr>
              <w:spacing w:after="0"/>
              <w:rPr>
                <w:sz w:val="24"/>
                <w:szCs w:val="24"/>
                <w:color w:val="auto"/>
              </w:rPr>
            </w:pPr>
          </w:p>
        </w:tc>
        <w:tc>
          <w:tcPr>
            <w:tcW w:w="8140" w:type="dxa"/>
            <w:vAlign w:val="bottom"/>
            <w:gridSpan w:val="11"/>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7"/>
                <w:szCs w:val="17"/>
                <w:color w:val="auto"/>
              </w:rPr>
              <w:t>39</w:t>
            </w:r>
          </w:p>
        </w:tc>
        <w:tc>
          <w:tcPr>
            <w:tcW w:w="0" w:type="dxa"/>
            <w:vAlign w:val="bottom"/>
          </w:tcPr>
          <w:p>
            <w:pPr>
              <w:spacing w:after="0"/>
              <w:rPr>
                <w:sz w:val="1"/>
                <w:szCs w:val="1"/>
                <w:color w:val="auto"/>
              </w:rPr>
            </w:pPr>
          </w:p>
        </w:tc>
      </w:tr>
      <w:tr>
        <w:trPr>
          <w:trHeight w:val="296"/>
        </w:trPr>
        <w:tc>
          <w:tcPr>
            <w:tcW w:w="1000" w:type="dxa"/>
            <w:vAlign w:val="bottom"/>
          </w:tcPr>
          <w:p>
            <w:pPr>
              <w:ind w:left="220"/>
              <w:spacing w:after="0"/>
              <w:rPr>
                <w:sz w:val="20"/>
                <w:szCs w:val="20"/>
                <w:color w:val="auto"/>
              </w:rPr>
            </w:pPr>
            <w:r>
              <w:rPr>
                <w:rFonts w:ascii="Arial" w:cs="Arial" w:eastAsia="Arial" w:hAnsi="Arial"/>
                <w:sz w:val="17"/>
                <w:szCs w:val="17"/>
                <w:b w:val="1"/>
                <w:bCs w:val="1"/>
                <w:color w:val="auto"/>
              </w:rPr>
              <w:t>Item 2.</w:t>
            </w:r>
          </w:p>
        </w:tc>
        <w:tc>
          <w:tcPr>
            <w:tcW w:w="10060" w:type="dxa"/>
            <w:vAlign w:val="bottom"/>
            <w:gridSpan w:val="17"/>
          </w:tcPr>
          <w:p>
            <w:pPr>
              <w:spacing w:after="0"/>
              <w:rPr>
                <w:rFonts w:ascii="Arial" w:cs="Arial" w:eastAsia="Arial" w:hAnsi="Arial"/>
                <w:sz w:val="17"/>
                <w:szCs w:val="17"/>
                <w:color w:val="0000EE"/>
              </w:rPr>
            </w:pPr>
            <w:hyperlink w:anchor="page39">
              <w:r>
                <w:rPr>
                  <w:rFonts w:ascii="Arial" w:cs="Arial" w:eastAsia="Arial" w:hAnsi="Arial"/>
                  <w:sz w:val="17"/>
                  <w:szCs w:val="17"/>
                  <w:color w:val="0000EE"/>
                </w:rPr>
                <w:t>Unregistered Sales of Equity Securities and Use of Proceeds.</w:t>
              </w:r>
            </w:hyperlink>
          </w:p>
        </w:tc>
        <w:tc>
          <w:tcPr>
            <w:tcW w:w="280" w:type="dxa"/>
            <w:vAlign w:val="bottom"/>
          </w:tcPr>
          <w:p>
            <w:pPr>
              <w:jc w:val="right"/>
              <w:spacing w:after="0"/>
              <w:rPr>
                <w:sz w:val="20"/>
                <w:szCs w:val="20"/>
                <w:color w:val="auto"/>
              </w:rPr>
            </w:pPr>
            <w:r>
              <w:rPr>
                <w:rFonts w:ascii="Arial" w:cs="Arial" w:eastAsia="Arial" w:hAnsi="Arial"/>
                <w:sz w:val="17"/>
                <w:szCs w:val="17"/>
                <w:color w:val="auto"/>
              </w:rPr>
              <w:t>39</w:t>
            </w:r>
          </w:p>
        </w:tc>
        <w:tc>
          <w:tcPr>
            <w:tcW w:w="0" w:type="dxa"/>
            <w:vAlign w:val="bottom"/>
          </w:tcPr>
          <w:p>
            <w:pPr>
              <w:spacing w:after="0"/>
              <w:rPr>
                <w:sz w:val="1"/>
                <w:szCs w:val="1"/>
                <w:color w:val="auto"/>
              </w:rPr>
            </w:pPr>
          </w:p>
        </w:tc>
      </w:tr>
      <w:tr>
        <w:trPr>
          <w:trHeight w:val="296"/>
        </w:trPr>
        <w:tc>
          <w:tcPr>
            <w:tcW w:w="1000" w:type="dxa"/>
            <w:vAlign w:val="bottom"/>
          </w:tcPr>
          <w:p>
            <w:pPr>
              <w:ind w:left="220"/>
              <w:spacing w:after="0"/>
              <w:rPr>
                <w:sz w:val="20"/>
                <w:szCs w:val="20"/>
                <w:color w:val="auto"/>
              </w:rPr>
            </w:pPr>
            <w:r>
              <w:rPr>
                <w:rFonts w:ascii="Arial" w:cs="Arial" w:eastAsia="Arial" w:hAnsi="Arial"/>
                <w:sz w:val="17"/>
                <w:szCs w:val="17"/>
                <w:b w:val="1"/>
                <w:bCs w:val="1"/>
                <w:color w:val="auto"/>
              </w:rPr>
              <w:t>Item 6.</w:t>
            </w:r>
          </w:p>
        </w:tc>
        <w:tc>
          <w:tcPr>
            <w:tcW w:w="620" w:type="dxa"/>
            <w:vAlign w:val="bottom"/>
            <w:tcBorders>
              <w:top w:val="single" w:sz="8" w:color="0000EE"/>
              <w:bottom w:val="single" w:sz="8" w:color="0000EE"/>
            </w:tcBorders>
            <w:gridSpan w:val="2"/>
          </w:tcPr>
          <w:p>
            <w:pPr>
              <w:spacing w:after="0"/>
              <w:rPr>
                <w:rFonts w:ascii="Arial" w:cs="Arial" w:eastAsia="Arial" w:hAnsi="Arial"/>
                <w:sz w:val="17"/>
                <w:szCs w:val="17"/>
                <w:color w:val="0000EE"/>
                <w:w w:val="93"/>
              </w:rPr>
            </w:pPr>
            <w:hyperlink w:anchor="page40">
              <w:r>
                <w:rPr>
                  <w:rFonts w:ascii="Arial" w:cs="Arial" w:eastAsia="Arial" w:hAnsi="Arial"/>
                  <w:sz w:val="17"/>
                  <w:szCs w:val="17"/>
                  <w:color w:val="0000EE"/>
                  <w:w w:val="93"/>
                </w:rPr>
                <w:t>Exhibits.</w:t>
              </w:r>
            </w:hyperlink>
          </w:p>
        </w:tc>
        <w:tc>
          <w:tcPr>
            <w:tcW w:w="3560" w:type="dxa"/>
            <w:vAlign w:val="bottom"/>
            <w:tcBorders>
              <w:top w:val="single" w:sz="8" w:color="0000EE"/>
            </w:tcBorders>
            <w:gridSpan w:val="7"/>
          </w:tcPr>
          <w:p>
            <w:pPr>
              <w:spacing w:after="0"/>
              <w:rPr>
                <w:sz w:val="24"/>
                <w:szCs w:val="24"/>
                <w:color w:val="auto"/>
              </w:rPr>
            </w:pPr>
          </w:p>
        </w:tc>
        <w:tc>
          <w:tcPr>
            <w:tcW w:w="5880" w:type="dxa"/>
            <w:vAlign w:val="bottom"/>
            <w:gridSpan w:val="8"/>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7"/>
                <w:szCs w:val="17"/>
                <w:color w:val="auto"/>
              </w:rPr>
              <w:t>40</w:t>
            </w:r>
          </w:p>
        </w:tc>
        <w:tc>
          <w:tcPr>
            <w:tcW w:w="0" w:type="dxa"/>
            <w:vAlign w:val="bottom"/>
          </w:tcPr>
          <w:p>
            <w:pPr>
              <w:spacing w:after="0"/>
              <w:rPr>
                <w:sz w:val="1"/>
                <w:szCs w:val="1"/>
                <w:color w:val="auto"/>
              </w:rPr>
            </w:pPr>
          </w:p>
        </w:tc>
      </w:tr>
      <w:tr>
        <w:trPr>
          <w:trHeight w:val="296"/>
        </w:trPr>
        <w:tc>
          <w:tcPr>
            <w:tcW w:w="11060" w:type="dxa"/>
            <w:vAlign w:val="bottom"/>
            <w:gridSpan w:val="18"/>
          </w:tcPr>
          <w:p>
            <w:pPr>
              <w:spacing w:after="0"/>
              <w:rPr>
                <w:rFonts w:ascii="Arial" w:cs="Arial" w:eastAsia="Arial" w:hAnsi="Arial"/>
                <w:sz w:val="17"/>
                <w:szCs w:val="17"/>
                <w:b w:val="1"/>
                <w:bCs w:val="1"/>
                <w:color w:val="0000EE"/>
              </w:rPr>
            </w:pPr>
            <w:hyperlink w:anchor="page41">
              <w:r>
                <w:rPr>
                  <w:rFonts w:ascii="Arial" w:cs="Arial" w:eastAsia="Arial" w:hAnsi="Arial"/>
                  <w:sz w:val="17"/>
                  <w:szCs w:val="17"/>
                  <w:b w:val="1"/>
                  <w:bCs w:val="1"/>
                  <w:color w:val="0000EE"/>
                </w:rPr>
                <w:t>SIGNATURES.</w:t>
              </w:r>
            </w:hyperlink>
          </w:p>
        </w:tc>
        <w:tc>
          <w:tcPr>
            <w:tcW w:w="280" w:type="dxa"/>
            <w:vAlign w:val="bottom"/>
          </w:tcPr>
          <w:p>
            <w:pPr>
              <w:jc w:val="right"/>
              <w:spacing w:after="0"/>
              <w:rPr>
                <w:sz w:val="20"/>
                <w:szCs w:val="20"/>
                <w:color w:val="auto"/>
              </w:rPr>
            </w:pPr>
            <w:r>
              <w:rPr>
                <w:rFonts w:ascii="Arial" w:cs="Arial" w:eastAsia="Arial" w:hAnsi="Arial"/>
                <w:sz w:val="17"/>
                <w:szCs w:val="17"/>
                <w:color w:val="auto"/>
              </w:rPr>
              <w:t>41</w:t>
            </w:r>
          </w:p>
        </w:tc>
        <w:tc>
          <w:tcPr>
            <w:tcW w:w="0" w:type="dxa"/>
            <w:vAlign w:val="bottom"/>
          </w:tcPr>
          <w:p>
            <w:pPr>
              <w:spacing w:after="0"/>
              <w:rPr>
                <w:sz w:val="1"/>
                <w:szCs w:val="1"/>
                <w:color w:val="auto"/>
              </w:rPr>
            </w:pPr>
          </w:p>
        </w:tc>
      </w:tr>
      <w:tr>
        <w:trPr>
          <w:trHeight w:val="20"/>
        </w:trPr>
        <w:tc>
          <w:tcPr>
            <w:tcW w:w="10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40"/>
          </w:cols>
          <w:pgMar w:left="240" w:top="451" w:right="319" w:bottom="1440" w:gutter="0" w:footer="0" w:header="0"/>
        </w:sectPr>
      </w:pPr>
    </w:p>
    <w:bookmarkStart w:id="2" w:name="page3"/>
    <w:bookmarkEnd w:id="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2340" cy="3810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180" w:type="dxa"/>
            <w:vAlign w:val="bottom"/>
            <w:gridSpan w:val="2"/>
          </w:tcPr>
          <w:p>
            <w:pPr>
              <w:spacing w:after="0"/>
              <w:rPr>
                <w:sz w:val="20"/>
                <w:szCs w:val="20"/>
                <w:color w:val="auto"/>
              </w:rPr>
            </w:pPr>
            <w:r>
              <w:rPr>
                <w:rFonts w:ascii="Arial" w:cs="Arial" w:eastAsia="Arial" w:hAnsi="Arial"/>
                <w:sz w:val="17"/>
                <w:szCs w:val="17"/>
                <w:b w:val="1"/>
                <w:bCs w:val="1"/>
                <w:color w:val="auto"/>
              </w:rPr>
              <w:t>PART I. FINANCIAL INFORMATION</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0"/>
        </w:trPr>
        <w:tc>
          <w:tcPr>
            <w:tcW w:w="840" w:type="dxa"/>
            <w:vAlign w:val="bottom"/>
          </w:tcPr>
          <w:p>
            <w:pPr>
              <w:spacing w:after="0"/>
              <w:rPr>
                <w:sz w:val="20"/>
                <w:szCs w:val="20"/>
                <w:color w:val="auto"/>
              </w:rPr>
            </w:pPr>
            <w:r>
              <w:rPr>
                <w:rFonts w:ascii="Arial" w:cs="Arial" w:eastAsia="Arial" w:hAnsi="Arial"/>
                <w:sz w:val="17"/>
                <w:szCs w:val="17"/>
                <w:b w:val="1"/>
                <w:bCs w:val="1"/>
                <w:color w:val="auto"/>
              </w:rPr>
              <w:t>Item 1.</w:t>
            </w:r>
          </w:p>
        </w:tc>
        <w:tc>
          <w:tcPr>
            <w:tcW w:w="8340" w:type="dxa"/>
            <w:vAlign w:val="bottom"/>
          </w:tcPr>
          <w:p>
            <w:pPr>
              <w:ind w:left="80"/>
              <w:spacing w:after="0"/>
              <w:rPr>
                <w:sz w:val="20"/>
                <w:szCs w:val="20"/>
                <w:color w:val="auto"/>
              </w:rPr>
            </w:pPr>
            <w:r>
              <w:rPr>
                <w:rFonts w:ascii="Arial" w:cs="Arial" w:eastAsia="Arial" w:hAnsi="Arial"/>
                <w:sz w:val="17"/>
                <w:szCs w:val="17"/>
                <w:b w:val="1"/>
                <w:bCs w:val="1"/>
                <w:color w:val="auto"/>
              </w:rPr>
              <w:t>Financial Statements.</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840" w:type="dxa"/>
            <w:vAlign w:val="bottom"/>
          </w:tcPr>
          <w:p>
            <w:pPr>
              <w:spacing w:after="0"/>
              <w:rPr>
                <w:sz w:val="24"/>
                <w:szCs w:val="24"/>
                <w:color w:val="auto"/>
              </w:rPr>
            </w:pPr>
          </w:p>
        </w:tc>
        <w:tc>
          <w:tcPr>
            <w:tcW w:w="8340" w:type="dxa"/>
            <w:vAlign w:val="bottom"/>
          </w:tcPr>
          <w:p>
            <w:pPr>
              <w:jc w:val="center"/>
              <w:ind w:left="1334"/>
              <w:spacing w:after="0"/>
              <w:rPr>
                <w:sz w:val="20"/>
                <w:szCs w:val="20"/>
                <w:color w:val="auto"/>
              </w:rPr>
            </w:pPr>
            <w:r>
              <w:rPr>
                <w:rFonts w:ascii="Arial" w:cs="Arial" w:eastAsia="Arial" w:hAnsi="Arial"/>
                <w:sz w:val="17"/>
                <w:szCs w:val="17"/>
                <w:b w:val="1"/>
                <w:bCs w:val="1"/>
                <w:color w:val="auto"/>
              </w:rPr>
              <w:t>AMC NETWORKS INC. AND SUBSIDIARIES</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840" w:type="dxa"/>
            <w:vAlign w:val="bottom"/>
          </w:tcPr>
          <w:p>
            <w:pPr>
              <w:spacing w:after="0"/>
              <w:rPr>
                <w:sz w:val="18"/>
                <w:szCs w:val="18"/>
                <w:color w:val="auto"/>
              </w:rPr>
            </w:pPr>
          </w:p>
        </w:tc>
        <w:tc>
          <w:tcPr>
            <w:tcW w:w="8340" w:type="dxa"/>
            <w:vAlign w:val="bottom"/>
          </w:tcPr>
          <w:p>
            <w:pPr>
              <w:jc w:val="center"/>
              <w:ind w:left="1334"/>
              <w:spacing w:after="0"/>
              <w:rPr>
                <w:sz w:val="20"/>
                <w:szCs w:val="20"/>
                <w:color w:val="auto"/>
              </w:rPr>
            </w:pPr>
            <w:r>
              <w:rPr>
                <w:rFonts w:ascii="Arial" w:cs="Arial" w:eastAsia="Arial" w:hAnsi="Arial"/>
                <w:sz w:val="17"/>
                <w:szCs w:val="17"/>
                <w:b w:val="1"/>
                <w:bCs w:val="1"/>
                <w:color w:val="auto"/>
                <w:w w:val="99"/>
              </w:rPr>
              <w:t>CONSOLIDATED BALANCE SHEETS</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40" w:type="dxa"/>
            <w:vAlign w:val="bottom"/>
          </w:tcPr>
          <w:p>
            <w:pPr>
              <w:spacing w:after="0"/>
              <w:rPr>
                <w:sz w:val="18"/>
                <w:szCs w:val="18"/>
                <w:color w:val="auto"/>
              </w:rPr>
            </w:pPr>
          </w:p>
        </w:tc>
        <w:tc>
          <w:tcPr>
            <w:tcW w:w="8340" w:type="dxa"/>
            <w:vAlign w:val="bottom"/>
          </w:tcPr>
          <w:p>
            <w:pPr>
              <w:jc w:val="center"/>
              <w:ind w:left="1314"/>
              <w:spacing w:after="0"/>
              <w:rPr>
                <w:sz w:val="20"/>
                <w:szCs w:val="20"/>
                <w:color w:val="auto"/>
              </w:rPr>
            </w:pPr>
            <w:r>
              <w:rPr>
                <w:rFonts w:ascii="Arial" w:cs="Arial" w:eastAsia="Arial" w:hAnsi="Arial"/>
                <w:sz w:val="17"/>
                <w:szCs w:val="17"/>
                <w:b w:val="1"/>
                <w:bCs w:val="1"/>
                <w:color w:val="auto"/>
                <w:w w:val="89"/>
              </w:rPr>
              <w:t>(Dollars in thousands, except per share amounts)</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40" w:type="dxa"/>
            <w:vAlign w:val="bottom"/>
          </w:tcPr>
          <w:p>
            <w:pPr>
              <w:spacing w:after="0"/>
              <w:rPr>
                <w:sz w:val="19"/>
                <w:szCs w:val="19"/>
                <w:color w:val="auto"/>
              </w:rPr>
            </w:pPr>
          </w:p>
        </w:tc>
        <w:tc>
          <w:tcPr>
            <w:tcW w:w="8340" w:type="dxa"/>
            <w:vAlign w:val="bottom"/>
          </w:tcPr>
          <w:p>
            <w:pPr>
              <w:jc w:val="center"/>
              <w:ind w:left="1334"/>
              <w:spacing w:after="0"/>
              <w:rPr>
                <w:sz w:val="20"/>
                <w:szCs w:val="20"/>
                <w:color w:val="auto"/>
              </w:rPr>
            </w:pPr>
            <w:r>
              <w:rPr>
                <w:rFonts w:ascii="Arial" w:cs="Arial" w:eastAsia="Arial" w:hAnsi="Arial"/>
                <w:sz w:val="17"/>
                <w:szCs w:val="17"/>
                <w:b w:val="1"/>
                <w:bCs w:val="1"/>
                <w:color w:val="auto"/>
                <w:w w:val="93"/>
              </w:rPr>
              <w:t>(Unaudited)</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2"/>
        </w:trPr>
        <w:tc>
          <w:tcPr>
            <w:tcW w:w="840" w:type="dxa"/>
            <w:vAlign w:val="bottom"/>
          </w:tcPr>
          <w:p>
            <w:pPr>
              <w:spacing w:after="0"/>
              <w:rPr>
                <w:sz w:val="24"/>
                <w:szCs w:val="24"/>
                <w:color w:val="auto"/>
              </w:rPr>
            </w:pPr>
          </w:p>
        </w:tc>
        <w:tc>
          <w:tcPr>
            <w:tcW w:w="8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w w:val="99"/>
              </w:rPr>
              <w:t>March 31,</w:t>
            </w:r>
          </w:p>
        </w:tc>
        <w:tc>
          <w:tcPr>
            <w:tcW w:w="200" w:type="dxa"/>
            <w:vAlign w:val="bottom"/>
          </w:tcPr>
          <w:p>
            <w:pPr>
              <w:spacing w:after="0"/>
              <w:rPr>
                <w:sz w:val="24"/>
                <w:szCs w:val="24"/>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3"/>
                <w:szCs w:val="13"/>
                <w:b w:val="1"/>
                <w:bCs w:val="1"/>
                <w:color w:val="auto"/>
                <w:w w:val="92"/>
              </w:rPr>
              <w:t>December 31,</w:t>
            </w:r>
          </w:p>
        </w:tc>
        <w:tc>
          <w:tcPr>
            <w:tcW w:w="0" w:type="dxa"/>
            <w:vAlign w:val="bottom"/>
          </w:tcPr>
          <w:p>
            <w:pPr>
              <w:spacing w:after="0"/>
              <w:rPr>
                <w:sz w:val="1"/>
                <w:szCs w:val="1"/>
                <w:color w:val="auto"/>
              </w:rPr>
            </w:pPr>
          </w:p>
        </w:tc>
      </w:tr>
      <w:tr>
        <w:trPr>
          <w:trHeight w:val="158"/>
        </w:trPr>
        <w:tc>
          <w:tcPr>
            <w:tcW w:w="840" w:type="dxa"/>
            <w:vAlign w:val="bottom"/>
            <w:tcBorders>
              <w:bottom w:val="single" w:sz="8" w:color="CCEEFF"/>
            </w:tcBorders>
          </w:tcPr>
          <w:p>
            <w:pPr>
              <w:spacing w:after="0"/>
              <w:rPr>
                <w:sz w:val="13"/>
                <w:szCs w:val="13"/>
                <w:color w:val="auto"/>
              </w:rPr>
            </w:pPr>
          </w:p>
        </w:tc>
        <w:tc>
          <w:tcPr>
            <w:tcW w:w="83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95"/>
              <w:spacing w:after="0"/>
              <w:rPr>
                <w:sz w:val="20"/>
                <w:szCs w:val="20"/>
                <w:color w:val="auto"/>
              </w:rPr>
            </w:pPr>
            <w:r>
              <w:rPr>
                <w:rFonts w:ascii="Arial" w:cs="Arial" w:eastAsia="Arial" w:hAnsi="Arial"/>
                <w:sz w:val="13"/>
                <w:szCs w:val="13"/>
                <w:b w:val="1"/>
                <w:bCs w:val="1"/>
                <w:color w:val="auto"/>
              </w:rPr>
              <w:t>2012</w:t>
            </w:r>
          </w:p>
        </w:tc>
        <w:tc>
          <w:tcPr>
            <w:tcW w:w="260" w:type="dxa"/>
            <w:vAlign w:val="bottom"/>
            <w:tcBorders>
              <w:bottom w:val="single" w:sz="8" w:color="CCEEFF"/>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15"/>
              <w:spacing w:after="0"/>
              <w:rPr>
                <w:sz w:val="20"/>
                <w:szCs w:val="20"/>
                <w:color w:val="auto"/>
              </w:rPr>
            </w:pPr>
            <w:r>
              <w:rPr>
                <w:rFonts w:ascii="Arial" w:cs="Arial" w:eastAsia="Arial" w:hAnsi="Arial"/>
                <w:sz w:val="13"/>
                <w:szCs w:val="13"/>
                <w:b w:val="1"/>
                <w:bCs w:val="1"/>
                <w:color w:val="auto"/>
              </w:rPr>
              <w:t>2011</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840" w:type="dxa"/>
            <w:vAlign w:val="bottom"/>
            <w:shd w:val="clear" w:color="auto" w:fill="CCEEFF"/>
          </w:tcPr>
          <w:p>
            <w:pPr>
              <w:spacing w:after="0"/>
              <w:rPr>
                <w:sz w:val="16"/>
                <w:szCs w:val="16"/>
                <w:color w:val="auto"/>
              </w:rPr>
            </w:pPr>
          </w:p>
        </w:tc>
        <w:tc>
          <w:tcPr>
            <w:tcW w:w="8340" w:type="dxa"/>
            <w:vAlign w:val="bottom"/>
            <w:shd w:val="clear" w:color="auto" w:fill="CCEEFF"/>
          </w:tcPr>
          <w:p>
            <w:pPr>
              <w:ind w:left="3260"/>
              <w:spacing w:after="0" w:line="191" w:lineRule="exact"/>
              <w:rPr>
                <w:sz w:val="20"/>
                <w:szCs w:val="20"/>
                <w:color w:val="auto"/>
              </w:rPr>
            </w:pPr>
            <w:r>
              <w:rPr>
                <w:rFonts w:ascii="Arial" w:cs="Arial" w:eastAsia="Arial" w:hAnsi="Arial"/>
                <w:sz w:val="17"/>
                <w:szCs w:val="17"/>
                <w:b w:val="1"/>
                <w:bCs w:val="1"/>
                <w:color w:val="auto"/>
              </w:rPr>
              <w:t>ASSETS</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9180" w:type="dxa"/>
            <w:vAlign w:val="bottom"/>
            <w:gridSpan w:val="2"/>
          </w:tcPr>
          <w:p>
            <w:pPr>
              <w:spacing w:after="0"/>
              <w:rPr>
                <w:sz w:val="20"/>
                <w:szCs w:val="20"/>
                <w:color w:val="auto"/>
              </w:rPr>
            </w:pPr>
            <w:r>
              <w:rPr>
                <w:rFonts w:ascii="Arial" w:cs="Arial" w:eastAsia="Arial" w:hAnsi="Arial"/>
                <w:sz w:val="17"/>
                <w:szCs w:val="17"/>
                <w:color w:val="auto"/>
              </w:rPr>
              <w:t>Current Assets:</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918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224,182</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215,836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9180" w:type="dxa"/>
            <w:vAlign w:val="bottom"/>
            <w:gridSpan w:val="2"/>
          </w:tcPr>
          <w:p>
            <w:pPr>
              <w:ind w:left="420"/>
              <w:spacing w:after="0"/>
              <w:rPr>
                <w:sz w:val="20"/>
                <w:szCs w:val="20"/>
                <w:color w:val="auto"/>
              </w:rPr>
            </w:pPr>
            <w:r>
              <w:rPr>
                <w:rFonts w:ascii="Arial" w:cs="Arial" w:eastAsia="Arial" w:hAnsi="Arial"/>
                <w:sz w:val="17"/>
                <w:szCs w:val="17"/>
                <w:color w:val="auto"/>
              </w:rPr>
              <w:t>Accounts receivable, trade (less allowance for doubtful accounts of $2,840 and $3,092)</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285,378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286,810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918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Amounts due from related parties, net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5,067</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9180" w:type="dxa"/>
            <w:vAlign w:val="bottom"/>
            <w:gridSpan w:val="2"/>
          </w:tcPr>
          <w:p>
            <w:pPr>
              <w:ind w:left="420"/>
              <w:spacing w:after="0"/>
              <w:rPr>
                <w:sz w:val="20"/>
                <w:szCs w:val="20"/>
                <w:color w:val="auto"/>
              </w:rPr>
            </w:pPr>
            <w:r>
              <w:rPr>
                <w:rFonts w:ascii="Arial" w:cs="Arial" w:eastAsia="Arial" w:hAnsi="Arial"/>
                <w:sz w:val="17"/>
                <w:szCs w:val="17"/>
                <w:color w:val="auto"/>
              </w:rPr>
              <w:t>Program rights, net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240,545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235,171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918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Prepaid expenses and other current assets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40,921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67,370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9180" w:type="dxa"/>
            <w:vAlign w:val="bottom"/>
            <w:gridSpan w:val="2"/>
          </w:tcPr>
          <w:p>
            <w:pPr>
              <w:ind w:left="420"/>
              <w:spacing w:after="0"/>
              <w:rPr>
                <w:sz w:val="20"/>
                <w:szCs w:val="20"/>
                <w:color w:val="auto"/>
              </w:rPr>
            </w:pPr>
            <w:r>
              <w:rPr>
                <w:rFonts w:ascii="Arial" w:cs="Arial" w:eastAsia="Arial" w:hAnsi="Arial"/>
                <w:sz w:val="17"/>
                <w:szCs w:val="17"/>
                <w:color w:val="auto"/>
              </w:rPr>
              <w:t>Deferred tax asset, net</w:t>
            </w: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39,802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59,272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40" w:type="dxa"/>
            <w:vAlign w:val="bottom"/>
            <w:shd w:val="clear" w:color="auto" w:fill="CCEEFF"/>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7"/>
                <w:szCs w:val="17"/>
                <w:color w:val="auto"/>
              </w:rPr>
              <w:t>Total current assets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835,895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869,999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9180" w:type="dxa"/>
            <w:vAlign w:val="bottom"/>
            <w:gridSpan w:val="2"/>
          </w:tcPr>
          <w:p>
            <w:pPr>
              <w:spacing w:after="0"/>
              <w:rPr>
                <w:sz w:val="20"/>
                <w:szCs w:val="20"/>
                <w:color w:val="auto"/>
              </w:rPr>
            </w:pPr>
            <w:r>
              <w:rPr>
                <w:rFonts w:ascii="Arial" w:cs="Arial" w:eastAsia="Arial" w:hAnsi="Arial"/>
                <w:sz w:val="17"/>
                <w:szCs w:val="17"/>
                <w:color w:val="auto"/>
              </w:rPr>
              <w:t>Property and equipment, net of accumulated depreciation of $137,827 and $132,745</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62,429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63,814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91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Program rights, net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768,820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765,609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9180" w:type="dxa"/>
            <w:vAlign w:val="bottom"/>
            <w:gridSpan w:val="2"/>
          </w:tcPr>
          <w:p>
            <w:pPr>
              <w:spacing w:after="0"/>
              <w:rPr>
                <w:sz w:val="20"/>
                <w:szCs w:val="20"/>
                <w:color w:val="auto"/>
              </w:rPr>
            </w:pPr>
            <w:r>
              <w:rPr>
                <w:rFonts w:ascii="Arial" w:cs="Arial" w:eastAsia="Arial" w:hAnsi="Arial"/>
                <w:sz w:val="17"/>
                <w:szCs w:val="17"/>
                <w:color w:val="auto"/>
              </w:rPr>
              <w:t>Amounts due from related parties, net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3,454</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3,214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91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Deferred carriage fees, net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45,122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47,304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9180" w:type="dxa"/>
            <w:vAlign w:val="bottom"/>
            <w:gridSpan w:val="2"/>
          </w:tcPr>
          <w:p>
            <w:pPr>
              <w:spacing w:after="0"/>
              <w:rPr>
                <w:sz w:val="20"/>
                <w:szCs w:val="20"/>
                <w:color w:val="auto"/>
              </w:rPr>
            </w:pPr>
            <w:r>
              <w:rPr>
                <w:rFonts w:ascii="Arial" w:cs="Arial" w:eastAsia="Arial" w:hAnsi="Arial"/>
                <w:sz w:val="17"/>
                <w:szCs w:val="17"/>
                <w:color w:val="auto"/>
              </w:rPr>
              <w:t>Intangible assets, net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285,894</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305,673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40" w:type="dxa"/>
            <w:vAlign w:val="bottom"/>
            <w:shd w:val="clear" w:color="auto" w:fill="CCEEFF"/>
          </w:tcPr>
          <w:p>
            <w:pPr>
              <w:spacing w:after="0"/>
              <w:rPr>
                <w:sz w:val="20"/>
                <w:szCs w:val="20"/>
                <w:color w:val="auto"/>
              </w:rPr>
            </w:pPr>
            <w:r>
              <w:rPr>
                <w:rFonts w:ascii="Arial" w:cs="Arial" w:eastAsia="Arial" w:hAnsi="Arial"/>
                <w:sz w:val="17"/>
                <w:szCs w:val="17"/>
                <w:color w:val="auto"/>
              </w:rPr>
              <w:t>Goodwill</w:t>
            </w:r>
          </w:p>
        </w:tc>
        <w:tc>
          <w:tcPr>
            <w:tcW w:w="8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83,173</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83,173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40" w:type="dxa"/>
            <w:vAlign w:val="bottom"/>
          </w:tcPr>
          <w:p>
            <w:pPr>
              <w:spacing w:after="0"/>
              <w:rPr>
                <w:sz w:val="20"/>
                <w:szCs w:val="20"/>
                <w:color w:val="auto"/>
              </w:rPr>
            </w:pPr>
            <w:r>
              <w:rPr>
                <w:rFonts w:ascii="Arial" w:cs="Arial" w:eastAsia="Arial" w:hAnsi="Arial"/>
                <w:sz w:val="17"/>
                <w:szCs w:val="17"/>
                <w:color w:val="auto"/>
                <w:w w:val="85"/>
              </w:rPr>
              <w:t>Other assets</w:t>
            </w:r>
          </w:p>
        </w:tc>
        <w:tc>
          <w:tcPr>
            <w:tcW w:w="83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41,022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45,148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40" w:type="dxa"/>
            <w:vAlign w:val="bottom"/>
            <w:shd w:val="clear" w:color="auto" w:fill="CCEEFF"/>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7"/>
                <w:szCs w:val="17"/>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2,125,809</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2,183,934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8340" w:type="dxa"/>
            <w:vAlign w:val="bottom"/>
            <w:vMerge w:val="restart"/>
          </w:tcPr>
          <w:p>
            <w:pPr>
              <w:ind w:left="1520"/>
              <w:spacing w:after="0"/>
              <w:rPr>
                <w:sz w:val="20"/>
                <w:szCs w:val="20"/>
                <w:color w:val="auto"/>
              </w:rPr>
            </w:pPr>
            <w:r>
              <w:rPr>
                <w:rFonts w:ascii="Arial" w:cs="Arial" w:eastAsia="Arial" w:hAnsi="Arial"/>
                <w:sz w:val="17"/>
                <w:szCs w:val="17"/>
                <w:b w:val="1"/>
                <w:bCs w:val="1"/>
                <w:color w:val="auto"/>
              </w:rPr>
              <w:t>LIABILITIES AND STOCKHOLDERS’ DEFICIENCY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840" w:type="dxa"/>
            <w:vAlign w:val="bottom"/>
          </w:tcPr>
          <w:p>
            <w:pPr>
              <w:spacing w:after="0"/>
              <w:rPr>
                <w:sz w:val="17"/>
                <w:szCs w:val="17"/>
                <w:color w:val="auto"/>
              </w:rPr>
            </w:pPr>
          </w:p>
        </w:tc>
        <w:tc>
          <w:tcPr>
            <w:tcW w:w="83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91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Current Liabilities: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9180" w:type="dxa"/>
            <w:vAlign w:val="bottom"/>
            <w:gridSpan w:val="2"/>
          </w:tcPr>
          <w:p>
            <w:pPr>
              <w:ind w:left="420"/>
              <w:spacing w:after="0"/>
              <w:rPr>
                <w:sz w:val="20"/>
                <w:szCs w:val="20"/>
                <w:color w:val="auto"/>
              </w:rPr>
            </w:pPr>
            <w:r>
              <w:rPr>
                <w:rFonts w:ascii="Arial" w:cs="Arial" w:eastAsia="Arial" w:hAnsi="Arial"/>
                <w:sz w:val="17"/>
                <w:szCs w:val="17"/>
                <w:color w:val="auto"/>
              </w:rPr>
              <w:t>Accounts payable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61,866</w:t>
            </w:r>
          </w:p>
        </w:tc>
        <w:tc>
          <w:tcPr>
            <w:tcW w:w="2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61,605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918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Accrued liabilities: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4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7"/>
                <w:szCs w:val="17"/>
                <w:color w:val="auto"/>
              </w:rPr>
              <w:t>Interest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15,263</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31,254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40" w:type="dxa"/>
            <w:vAlign w:val="bottom"/>
            <w:shd w:val="clear" w:color="auto" w:fill="CCEEFF"/>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7"/>
                <w:szCs w:val="17"/>
                <w:color w:val="auto"/>
              </w:rPr>
              <w:t>Employee related costs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41,100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57,160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4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7"/>
                <w:szCs w:val="17"/>
                <w:color w:val="auto"/>
              </w:rPr>
              <w:t>Other accrued expenses</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13,132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11,385</w:t>
            </w:r>
          </w:p>
        </w:tc>
        <w:tc>
          <w:tcPr>
            <w:tcW w:w="0" w:type="dxa"/>
            <w:vAlign w:val="bottom"/>
          </w:tcPr>
          <w:p>
            <w:pPr>
              <w:spacing w:after="0"/>
              <w:rPr>
                <w:sz w:val="1"/>
                <w:szCs w:val="1"/>
                <w:color w:val="auto"/>
              </w:rPr>
            </w:pPr>
          </w:p>
        </w:tc>
      </w:tr>
      <w:tr>
        <w:trPr>
          <w:trHeight w:val="211"/>
        </w:trPr>
        <w:tc>
          <w:tcPr>
            <w:tcW w:w="918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Amounts due to related parties, net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833</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9180" w:type="dxa"/>
            <w:vAlign w:val="bottom"/>
            <w:gridSpan w:val="2"/>
          </w:tcPr>
          <w:p>
            <w:pPr>
              <w:ind w:left="420"/>
              <w:spacing w:after="0"/>
              <w:rPr>
                <w:sz w:val="20"/>
                <w:szCs w:val="20"/>
                <w:color w:val="auto"/>
              </w:rPr>
            </w:pPr>
            <w:r>
              <w:rPr>
                <w:rFonts w:ascii="Arial" w:cs="Arial" w:eastAsia="Arial" w:hAnsi="Arial"/>
                <w:sz w:val="17"/>
                <w:szCs w:val="17"/>
                <w:color w:val="auto"/>
              </w:rPr>
              <w:t>Program rights obligations</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164,297</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146,339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918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Deferred revenue</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25,488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23,853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9180" w:type="dxa"/>
            <w:vAlign w:val="bottom"/>
            <w:gridSpan w:val="2"/>
          </w:tcPr>
          <w:p>
            <w:pPr>
              <w:ind w:left="420"/>
              <w:spacing w:after="0"/>
              <w:rPr>
                <w:sz w:val="20"/>
                <w:szCs w:val="20"/>
                <w:color w:val="auto"/>
              </w:rPr>
            </w:pPr>
            <w:r>
              <w:rPr>
                <w:rFonts w:ascii="Arial" w:cs="Arial" w:eastAsia="Arial" w:hAnsi="Arial"/>
                <w:sz w:val="17"/>
                <w:szCs w:val="17"/>
                <w:color w:val="auto"/>
              </w:rPr>
              <w:t>Credit facility debt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5,950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5,950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918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Capital lease obligations</w:t>
            </w: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1,573</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7"/>
                <w:szCs w:val="17"/>
                <w:color w:val="auto"/>
              </w:rPr>
              <w:t>Total current liabilities</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329,502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344,196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91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Program rights obligations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449,731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472,690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9180" w:type="dxa"/>
            <w:vAlign w:val="bottom"/>
            <w:gridSpan w:val="2"/>
          </w:tcPr>
          <w:p>
            <w:pPr>
              <w:spacing w:after="0"/>
              <w:rPr>
                <w:sz w:val="20"/>
                <w:szCs w:val="20"/>
                <w:color w:val="auto"/>
              </w:rPr>
            </w:pPr>
            <w:r>
              <w:rPr>
                <w:rFonts w:ascii="Arial" w:cs="Arial" w:eastAsia="Arial" w:hAnsi="Arial"/>
                <w:sz w:val="17"/>
                <w:szCs w:val="17"/>
                <w:color w:val="auto"/>
              </w:rPr>
              <w:t>Senior notes</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686,671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686,434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91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Credit facility debt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1,548,147</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1,598,896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9180" w:type="dxa"/>
            <w:vAlign w:val="bottom"/>
            <w:gridSpan w:val="2"/>
          </w:tcPr>
          <w:p>
            <w:pPr>
              <w:spacing w:after="0"/>
              <w:rPr>
                <w:sz w:val="20"/>
                <w:szCs w:val="20"/>
                <w:color w:val="auto"/>
              </w:rPr>
            </w:pPr>
            <w:r>
              <w:rPr>
                <w:rFonts w:ascii="Arial" w:cs="Arial" w:eastAsia="Arial" w:hAnsi="Arial"/>
                <w:sz w:val="17"/>
                <w:szCs w:val="17"/>
                <w:color w:val="auto"/>
              </w:rPr>
              <w:t>Capital lease obligations</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15,287</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14,363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91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Deferred tax liability, net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50,999</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51,905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9180" w:type="dxa"/>
            <w:vAlign w:val="bottom"/>
            <w:gridSpan w:val="2"/>
          </w:tcPr>
          <w:p>
            <w:pPr>
              <w:spacing w:after="0"/>
              <w:rPr>
                <w:sz w:val="20"/>
                <w:szCs w:val="20"/>
                <w:color w:val="auto"/>
              </w:rPr>
            </w:pPr>
            <w:r>
              <w:rPr>
                <w:rFonts w:ascii="Arial" w:cs="Arial" w:eastAsia="Arial" w:hAnsi="Arial"/>
                <w:sz w:val="17"/>
                <w:szCs w:val="17"/>
                <w:color w:val="auto"/>
              </w:rPr>
              <w:t>Other liabilities</w:t>
            </w: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50,329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52,445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40" w:type="dxa"/>
            <w:vAlign w:val="bottom"/>
            <w:shd w:val="clear" w:color="auto" w:fill="CCEEFF"/>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7"/>
                <w:szCs w:val="17"/>
                <w:color w:val="auto"/>
              </w:rPr>
              <w:t>Total liabilities</w:t>
            </w: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5"/>
              </w:rPr>
              <w:t>3,130,666</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3,220,929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80" w:type="dxa"/>
            <w:vAlign w:val="bottom"/>
            <w:gridSpan w:val="2"/>
          </w:tcPr>
          <w:p>
            <w:pPr>
              <w:spacing w:after="0"/>
              <w:rPr>
                <w:sz w:val="20"/>
                <w:szCs w:val="20"/>
                <w:color w:val="auto"/>
              </w:rPr>
            </w:pPr>
            <w:r>
              <w:rPr>
                <w:rFonts w:ascii="Arial" w:cs="Arial" w:eastAsia="Arial" w:hAnsi="Arial"/>
                <w:sz w:val="17"/>
                <w:szCs w:val="17"/>
                <w:color w:val="auto"/>
              </w:rPr>
              <w:t>Commitments and contingencies</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91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Stockholders’ deficiency:</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9180" w:type="dxa"/>
            <w:vAlign w:val="bottom"/>
            <w:gridSpan w:val="2"/>
          </w:tcPr>
          <w:p>
            <w:pPr>
              <w:spacing w:after="0"/>
              <w:rPr>
                <w:sz w:val="20"/>
                <w:szCs w:val="20"/>
                <w:color w:val="auto"/>
              </w:rPr>
            </w:pPr>
            <w:r>
              <w:rPr>
                <w:rFonts w:ascii="Arial" w:cs="Arial" w:eastAsia="Arial" w:hAnsi="Arial"/>
                <w:sz w:val="17"/>
                <w:szCs w:val="17"/>
                <w:color w:val="auto"/>
              </w:rPr>
              <w:t>Class A Common Stock, $0.01 par value, 360,000,000 shares authorized, 58,787,544 and 58,628,764 shares issued and</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9180" w:type="dxa"/>
            <w:vAlign w:val="bottom"/>
            <w:gridSpan w:val="2"/>
          </w:tcPr>
          <w:p>
            <w:pPr>
              <w:ind w:left="220"/>
              <w:spacing w:after="0"/>
              <w:rPr>
                <w:sz w:val="20"/>
                <w:szCs w:val="20"/>
                <w:color w:val="auto"/>
              </w:rPr>
            </w:pPr>
            <w:r>
              <w:rPr>
                <w:rFonts w:ascii="Arial" w:cs="Arial" w:eastAsia="Arial" w:hAnsi="Arial"/>
                <w:sz w:val="17"/>
                <w:szCs w:val="17"/>
                <w:color w:val="auto"/>
              </w:rPr>
              <w:t>58,204,792 and 58,434,704 shares outstanding, respectively</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588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586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91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Class B Common Stock, $0.01 par value, 90,000,000 shares authorized, 13,534,408 shares issued and outstanding</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9180" w:type="dxa"/>
            <w:vAlign w:val="bottom"/>
            <w:gridSpan w:val="2"/>
          </w:tcPr>
          <w:p>
            <w:pPr>
              <w:spacing w:after="0"/>
              <w:rPr>
                <w:sz w:val="20"/>
                <w:szCs w:val="20"/>
                <w:color w:val="auto"/>
              </w:rPr>
            </w:pPr>
            <w:r>
              <w:rPr>
                <w:rFonts w:ascii="Arial" w:cs="Arial" w:eastAsia="Arial" w:hAnsi="Arial"/>
                <w:sz w:val="17"/>
                <w:szCs w:val="17"/>
                <w:color w:val="auto"/>
              </w:rPr>
              <w:t>Preferred stock, $0.01 par value, 45,000,000 shares authorized; none issued</w:t>
            </w:r>
          </w:p>
        </w:tc>
        <w:tc>
          <w:tcPr>
            <w:tcW w:w="10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1"/>
        </w:trPr>
        <w:tc>
          <w:tcPr>
            <w:tcW w:w="91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Paid-in capital</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11,351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9180" w:type="dxa"/>
            <w:vAlign w:val="bottom"/>
            <w:gridSpan w:val="2"/>
          </w:tcPr>
          <w:p>
            <w:pPr>
              <w:spacing w:after="0"/>
              <w:rPr>
                <w:sz w:val="20"/>
                <w:szCs w:val="20"/>
                <w:color w:val="auto"/>
              </w:rPr>
            </w:pPr>
            <w:r>
              <w:rPr>
                <w:rFonts w:ascii="Arial" w:cs="Arial" w:eastAsia="Arial" w:hAnsi="Arial"/>
                <w:sz w:val="17"/>
                <w:szCs w:val="17"/>
                <w:color w:val="auto"/>
              </w:rPr>
              <w:t>Accumulated deficit</w:t>
            </w: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7"/>
                <w:szCs w:val="17"/>
                <w:color w:val="auto"/>
              </w:rPr>
              <w:t>(986,773)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7"/>
                <w:szCs w:val="17"/>
                <w:color w:val="auto"/>
                <w:w w:val="91"/>
              </w:rPr>
              <w:t>(1,029,954)</w:t>
            </w:r>
          </w:p>
        </w:tc>
        <w:tc>
          <w:tcPr>
            <w:tcW w:w="0" w:type="dxa"/>
            <w:vAlign w:val="bottom"/>
          </w:tcPr>
          <w:p>
            <w:pPr>
              <w:spacing w:after="0"/>
              <w:rPr>
                <w:sz w:val="1"/>
                <w:szCs w:val="1"/>
                <w:color w:val="auto"/>
              </w:rPr>
            </w:pPr>
          </w:p>
        </w:tc>
      </w:tr>
      <w:tr>
        <w:trPr>
          <w:trHeight w:val="211"/>
        </w:trPr>
        <w:tc>
          <w:tcPr>
            <w:tcW w:w="91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Treasury stock, at cost (582,752 and 194,060 shares Class A Common Stock, respectively)</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(17,614)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(1,677)</w:t>
            </w:r>
          </w:p>
        </w:tc>
        <w:tc>
          <w:tcPr>
            <w:tcW w:w="0" w:type="dxa"/>
            <w:vAlign w:val="bottom"/>
          </w:tcPr>
          <w:p>
            <w:pPr>
              <w:spacing w:after="0"/>
              <w:rPr>
                <w:sz w:val="1"/>
                <w:szCs w:val="1"/>
                <w:color w:val="auto"/>
              </w:rPr>
            </w:pPr>
          </w:p>
        </w:tc>
      </w:tr>
      <w:tr>
        <w:trPr>
          <w:trHeight w:val="211"/>
        </w:trPr>
        <w:tc>
          <w:tcPr>
            <w:tcW w:w="9180" w:type="dxa"/>
            <w:vAlign w:val="bottom"/>
            <w:gridSpan w:val="2"/>
          </w:tcPr>
          <w:p>
            <w:pPr>
              <w:spacing w:after="0"/>
              <w:rPr>
                <w:sz w:val="20"/>
                <w:szCs w:val="20"/>
                <w:color w:val="auto"/>
              </w:rPr>
            </w:pPr>
            <w:r>
              <w:rPr>
                <w:rFonts w:ascii="Arial" w:cs="Arial" w:eastAsia="Arial" w:hAnsi="Arial"/>
                <w:sz w:val="17"/>
                <w:szCs w:val="17"/>
                <w:color w:val="auto"/>
              </w:rPr>
              <w:t>Accumulated other comprehensive loss</w:t>
            </w: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7"/>
                <w:szCs w:val="17"/>
                <w:color w:val="auto"/>
              </w:rPr>
              <w:t>(12,544)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7"/>
                <w:szCs w:val="17"/>
                <w:color w:val="auto"/>
              </w:rPr>
              <w:t>(12,027)</w:t>
            </w:r>
          </w:p>
        </w:tc>
        <w:tc>
          <w:tcPr>
            <w:tcW w:w="0" w:type="dxa"/>
            <w:vAlign w:val="bottom"/>
          </w:tcPr>
          <w:p>
            <w:pPr>
              <w:spacing w:after="0"/>
              <w:rPr>
                <w:sz w:val="1"/>
                <w:szCs w:val="1"/>
                <w:color w:val="auto"/>
              </w:rPr>
            </w:pPr>
          </w:p>
        </w:tc>
      </w:tr>
      <w:tr>
        <w:trPr>
          <w:trHeight w:val="26"/>
        </w:trPr>
        <w:tc>
          <w:tcPr>
            <w:tcW w:w="840" w:type="dxa"/>
            <w:vAlign w:val="bottom"/>
          </w:tcPr>
          <w:p>
            <w:pPr>
              <w:spacing w:after="0"/>
              <w:rPr>
                <w:sz w:val="2"/>
                <w:szCs w:val="2"/>
                <w:color w:val="auto"/>
              </w:rPr>
            </w:pPr>
          </w:p>
        </w:tc>
        <w:tc>
          <w:tcPr>
            <w:tcW w:w="8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840" w:type="dxa"/>
            <w:vAlign w:val="bottom"/>
            <w:shd w:val="clear" w:color="auto" w:fill="CCEEFF"/>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7"/>
                <w:szCs w:val="17"/>
                <w:color w:val="auto"/>
              </w:rPr>
              <w:t>Total stockholders’ deficiency</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89"/>
              </w:rPr>
              <w:t>(1,004,857)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1"/>
              </w:rPr>
              <w:t>(1,036,995)</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8340" w:type="dxa"/>
            <w:vAlign w:val="bottom"/>
            <w:vMerge w:val="restart"/>
          </w:tcPr>
          <w:p>
            <w:pPr>
              <w:spacing w:after="0"/>
              <w:rPr>
                <w:sz w:val="20"/>
                <w:szCs w:val="20"/>
                <w:color w:val="auto"/>
              </w:rPr>
            </w:pPr>
            <w:r>
              <w:rPr>
                <w:rFonts w:ascii="Arial" w:cs="Arial" w:eastAsia="Arial" w:hAnsi="Arial"/>
                <w:sz w:val="17"/>
                <w:szCs w:val="17"/>
                <w:color w:val="auto"/>
              </w:rPr>
              <w:t>Total liabilities and stockholders’ deficiency</w:t>
            </w: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40" w:type="dxa"/>
            <w:vAlign w:val="bottom"/>
          </w:tcPr>
          <w:p>
            <w:pPr>
              <w:spacing w:after="0"/>
              <w:rPr>
                <w:sz w:val="18"/>
                <w:szCs w:val="18"/>
                <w:color w:val="auto"/>
              </w:rPr>
            </w:pPr>
          </w:p>
        </w:tc>
        <w:tc>
          <w:tcPr>
            <w:tcW w:w="834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7"/>
                <w:szCs w:val="17"/>
                <w:color w:val="auto"/>
                <w:w w:val="95"/>
              </w:rPr>
              <w:t>2,125,809</w:t>
            </w:r>
          </w:p>
        </w:tc>
        <w:tc>
          <w:tcPr>
            <w:tcW w:w="2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w w:val="97"/>
              </w:rPr>
              <w:t>2,183,934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consolidated financial statements.</w:t>
      </w:r>
    </w:p>
    <w:p>
      <w:pPr>
        <w:sectPr>
          <w:pgSz w:w="11900" w:h="16838" w:orient="portrait"/>
          <w:cols w:equalWidth="0" w:num="1">
            <w:col w:w="11420"/>
          </w:cols>
          <w:pgMar w:left="240" w:top="451" w:right="239" w:bottom="1440" w:gutter="0" w:footer="0" w:header="0"/>
        </w:sectPr>
      </w:pP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20"/>
          </w:cols>
          <w:pgMar w:left="240" w:top="451" w:right="239" w:bottom="1440" w:gutter="0" w:footer="0" w:header="0"/>
          <w:type w:val="continuous"/>
        </w:sectPr>
      </w:pPr>
    </w:p>
    <w:bookmarkStart w:id="3" w:name="page4"/>
    <w:bookmarkEnd w:id="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2340" cy="3810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AMC NETWORKS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INCOME</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Three Months Ended March 31, 2012 and 2011</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amounts)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9440" w:type="dxa"/>
            <w:vAlign w:val="bottom"/>
            <w:tcBorders>
              <w:bottom w:val="single" w:sz="8" w:color="CCEEFF"/>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95"/>
              <w:spacing w:after="0"/>
              <w:rPr>
                <w:sz w:val="20"/>
                <w:szCs w:val="20"/>
                <w:color w:val="auto"/>
              </w:rPr>
            </w:pPr>
            <w:r>
              <w:rPr>
                <w:rFonts w:ascii="Arial" w:cs="Arial" w:eastAsia="Arial" w:hAnsi="Arial"/>
                <w:sz w:val="13"/>
                <w:szCs w:val="13"/>
                <w:b w:val="1"/>
                <w:bCs w:val="1"/>
                <w:color w:val="auto"/>
              </w:rPr>
              <w:t>2012</w:t>
            </w:r>
          </w:p>
        </w:tc>
        <w:tc>
          <w:tcPr>
            <w:tcW w:w="20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15"/>
              <w:spacing w:after="0"/>
              <w:rPr>
                <w:sz w:val="20"/>
                <w:szCs w:val="20"/>
                <w:color w:val="auto"/>
              </w:rPr>
            </w:pPr>
            <w:r>
              <w:rPr>
                <w:rFonts w:ascii="Arial" w:cs="Arial" w:eastAsia="Arial" w:hAnsi="Arial"/>
                <w:sz w:val="13"/>
                <w:szCs w:val="13"/>
                <w:b w:val="1"/>
                <w:bCs w:val="1"/>
                <w:color w:val="auto"/>
              </w:rPr>
              <w:t>2011</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9440" w:type="dxa"/>
            <w:vAlign w:val="bottom"/>
            <w:shd w:val="clear" w:color="auto" w:fill="CCEEFF"/>
          </w:tcPr>
          <w:p>
            <w:pPr>
              <w:spacing w:after="0"/>
              <w:rPr>
                <w:sz w:val="20"/>
                <w:szCs w:val="20"/>
                <w:color w:val="auto"/>
              </w:rPr>
            </w:pPr>
            <w:r>
              <w:rPr>
                <w:rFonts w:ascii="Arial" w:cs="Arial" w:eastAsia="Arial" w:hAnsi="Arial"/>
                <w:sz w:val="17"/>
                <w:szCs w:val="17"/>
                <w:color w:val="auto"/>
              </w:rPr>
              <w:t>Revenues, net (including revenues, net from related parties of $8,073 and $7,940, respectively)</w:t>
            </w:r>
          </w:p>
        </w:tc>
        <w:tc>
          <w:tcPr>
            <w:tcW w:w="2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326,239</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272,903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440" w:type="dxa"/>
            <w:vAlign w:val="bottom"/>
          </w:tcPr>
          <w:p>
            <w:pPr>
              <w:spacing w:after="0"/>
              <w:rPr>
                <w:sz w:val="20"/>
                <w:szCs w:val="20"/>
                <w:color w:val="auto"/>
              </w:rPr>
            </w:pPr>
            <w:r>
              <w:rPr>
                <w:rFonts w:ascii="Arial" w:cs="Arial" w:eastAsia="Arial" w:hAnsi="Arial"/>
                <w:sz w:val="17"/>
                <w:szCs w:val="17"/>
                <w:color w:val="auto"/>
              </w:rPr>
              <w:t>Operating expenses: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9440" w:type="dxa"/>
            <w:vAlign w:val="bottom"/>
            <w:shd w:val="clear" w:color="auto" w:fill="CCEEFF"/>
          </w:tcPr>
          <w:p>
            <w:pPr>
              <w:ind w:left="420"/>
              <w:spacing w:after="0"/>
              <w:rPr>
                <w:sz w:val="20"/>
                <w:szCs w:val="20"/>
                <w:color w:val="auto"/>
              </w:rPr>
            </w:pPr>
            <w:r>
              <w:rPr>
                <w:rFonts w:ascii="Arial" w:cs="Arial" w:eastAsia="Arial" w:hAnsi="Arial"/>
                <w:sz w:val="17"/>
                <w:szCs w:val="17"/>
                <w:color w:val="auto"/>
                <w:w w:val="93"/>
              </w:rPr>
              <w:t>Technical and operating (excluding depreciation and amortization shown below and including charges from related parties of $0</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9440" w:type="dxa"/>
            <w:vAlign w:val="bottom"/>
            <w:shd w:val="clear" w:color="auto" w:fill="CCEEFF"/>
          </w:tcPr>
          <w:p>
            <w:pPr>
              <w:ind w:left="640"/>
              <w:spacing w:after="0"/>
              <w:rPr>
                <w:sz w:val="20"/>
                <w:szCs w:val="20"/>
                <w:color w:val="auto"/>
              </w:rPr>
            </w:pPr>
            <w:r>
              <w:rPr>
                <w:rFonts w:ascii="Arial" w:cs="Arial" w:eastAsia="Arial" w:hAnsi="Arial"/>
                <w:sz w:val="17"/>
                <w:szCs w:val="17"/>
                <w:color w:val="auto"/>
              </w:rPr>
              <w:t>and $1,205, respectively)</w:t>
            </w: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104,930</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90,411</w:t>
            </w:r>
          </w:p>
        </w:tc>
        <w:tc>
          <w:tcPr>
            <w:tcW w:w="0" w:type="dxa"/>
            <w:vAlign w:val="bottom"/>
          </w:tcPr>
          <w:p>
            <w:pPr>
              <w:spacing w:after="0"/>
              <w:rPr>
                <w:sz w:val="1"/>
                <w:szCs w:val="1"/>
                <w:color w:val="auto"/>
              </w:rPr>
            </w:pPr>
          </w:p>
        </w:tc>
      </w:tr>
      <w:tr>
        <w:trPr>
          <w:trHeight w:val="211"/>
        </w:trPr>
        <w:tc>
          <w:tcPr>
            <w:tcW w:w="9440" w:type="dxa"/>
            <w:vAlign w:val="bottom"/>
          </w:tcPr>
          <w:p>
            <w:pPr>
              <w:ind w:left="420"/>
              <w:spacing w:after="0"/>
              <w:rPr>
                <w:sz w:val="20"/>
                <w:szCs w:val="20"/>
                <w:color w:val="auto"/>
              </w:rPr>
            </w:pPr>
            <w:r>
              <w:rPr>
                <w:rFonts w:ascii="Arial" w:cs="Arial" w:eastAsia="Arial" w:hAnsi="Arial"/>
                <w:sz w:val="17"/>
                <w:szCs w:val="17"/>
                <w:color w:val="auto"/>
              </w:rPr>
              <w:t>Selling, general and administrative (including charges from related parties of $1,996 and $24,291, respectively)</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99,222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86,921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94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Restructuring credit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(34)</w:t>
            </w:r>
          </w:p>
        </w:tc>
        <w:tc>
          <w:tcPr>
            <w:tcW w:w="0" w:type="dxa"/>
            <w:vAlign w:val="bottom"/>
          </w:tcPr>
          <w:p>
            <w:pPr>
              <w:spacing w:after="0"/>
              <w:rPr>
                <w:sz w:val="1"/>
                <w:szCs w:val="1"/>
                <w:color w:val="auto"/>
              </w:rPr>
            </w:pPr>
          </w:p>
        </w:tc>
      </w:tr>
      <w:tr>
        <w:trPr>
          <w:trHeight w:val="217"/>
        </w:trPr>
        <w:tc>
          <w:tcPr>
            <w:tcW w:w="9440" w:type="dxa"/>
            <w:vAlign w:val="bottom"/>
          </w:tcPr>
          <w:p>
            <w:pPr>
              <w:ind w:left="420"/>
              <w:spacing w:after="0"/>
              <w:rPr>
                <w:sz w:val="20"/>
                <w:szCs w:val="20"/>
                <w:color w:val="auto"/>
              </w:rPr>
            </w:pPr>
            <w:r>
              <w:rPr>
                <w:rFonts w:ascii="Arial" w:cs="Arial" w:eastAsia="Arial" w:hAnsi="Arial"/>
                <w:sz w:val="17"/>
                <w:szCs w:val="17"/>
                <w:color w:val="auto"/>
              </w:rPr>
              <w:t>Depreciation and amortization</w:t>
            </w:r>
          </w:p>
        </w:tc>
        <w:tc>
          <w:tcPr>
            <w:tcW w:w="2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25,051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24,926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9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229,200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202,224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440" w:type="dxa"/>
            <w:vAlign w:val="bottom"/>
          </w:tcPr>
          <w:p>
            <w:pPr>
              <w:ind w:left="840"/>
              <w:spacing w:after="0"/>
              <w:rPr>
                <w:sz w:val="20"/>
                <w:szCs w:val="20"/>
                <w:color w:val="auto"/>
              </w:rPr>
            </w:pPr>
            <w:r>
              <w:rPr>
                <w:rFonts w:ascii="Arial" w:cs="Arial" w:eastAsia="Arial" w:hAnsi="Arial"/>
                <w:sz w:val="17"/>
                <w:szCs w:val="17"/>
                <w:color w:val="auto"/>
              </w:rPr>
              <w:t>Operating income</w:t>
            </w: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97,039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70,679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9440" w:type="dxa"/>
            <w:vAlign w:val="bottom"/>
            <w:shd w:val="clear" w:color="auto" w:fill="CCEEFF"/>
          </w:tcPr>
          <w:p>
            <w:pPr>
              <w:spacing w:after="0"/>
              <w:rPr>
                <w:sz w:val="20"/>
                <w:szCs w:val="20"/>
                <w:color w:val="auto"/>
              </w:rPr>
            </w:pPr>
            <w:r>
              <w:rPr>
                <w:rFonts w:ascii="Arial" w:cs="Arial" w:eastAsia="Arial" w:hAnsi="Arial"/>
                <w:sz w:val="17"/>
                <w:szCs w:val="17"/>
                <w:color w:val="auto"/>
              </w:rPr>
              <w:t>Other income (expense):</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9440" w:type="dxa"/>
            <w:vAlign w:val="bottom"/>
          </w:tcPr>
          <w:p>
            <w:pPr>
              <w:ind w:left="420"/>
              <w:spacing w:after="0"/>
              <w:rPr>
                <w:sz w:val="20"/>
                <w:szCs w:val="20"/>
                <w:color w:val="auto"/>
              </w:rPr>
            </w:pPr>
            <w:r>
              <w:rPr>
                <w:rFonts w:ascii="Arial" w:cs="Arial" w:eastAsia="Arial" w:hAnsi="Arial"/>
                <w:sz w:val="17"/>
                <w:szCs w:val="17"/>
                <w:color w:val="auto"/>
              </w:rPr>
              <w:t>Interest expense</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w w:val="94"/>
              </w:rPr>
              <w:t>(29,797)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7"/>
                <w:szCs w:val="17"/>
                <w:color w:val="auto"/>
                <w:w w:val="94"/>
              </w:rPr>
              <w:t>(18,350)</w:t>
            </w:r>
          </w:p>
        </w:tc>
        <w:tc>
          <w:tcPr>
            <w:tcW w:w="0" w:type="dxa"/>
            <w:vAlign w:val="bottom"/>
          </w:tcPr>
          <w:p>
            <w:pPr>
              <w:spacing w:after="0"/>
              <w:rPr>
                <w:sz w:val="1"/>
                <w:szCs w:val="1"/>
                <w:color w:val="auto"/>
              </w:rPr>
            </w:pPr>
          </w:p>
        </w:tc>
      </w:tr>
      <w:tr>
        <w:trPr>
          <w:trHeight w:val="211"/>
        </w:trPr>
        <w:tc>
          <w:tcPr>
            <w:tcW w:w="94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Interest income</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9440" w:type="dxa"/>
            <w:vAlign w:val="bottom"/>
          </w:tcPr>
          <w:p>
            <w:pPr>
              <w:ind w:left="420"/>
              <w:spacing w:after="0"/>
              <w:rPr>
                <w:sz w:val="20"/>
                <w:szCs w:val="20"/>
                <w:color w:val="auto"/>
              </w:rPr>
            </w:pPr>
            <w:r>
              <w:rPr>
                <w:rFonts w:ascii="Arial" w:cs="Arial" w:eastAsia="Arial" w:hAnsi="Arial"/>
                <w:sz w:val="17"/>
                <w:szCs w:val="17"/>
                <w:color w:val="auto"/>
              </w:rPr>
              <w:t>Write-off of deferred financing costs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(312)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1"/>
        </w:trPr>
        <w:tc>
          <w:tcPr>
            <w:tcW w:w="94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Miscellaneous, net</w:t>
            </w: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w w:val="94"/>
              </w:rPr>
              <w:t>(29,992)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7"/>
                <w:szCs w:val="17"/>
                <w:color w:val="auto"/>
                <w:w w:val="94"/>
              </w:rPr>
              <w:t>(17,821)</w:t>
            </w:r>
          </w:p>
        </w:tc>
        <w:tc>
          <w:tcPr>
            <w:tcW w:w="0" w:type="dxa"/>
            <w:vAlign w:val="bottom"/>
          </w:tcPr>
          <w:p>
            <w:pPr>
              <w:spacing w:after="0"/>
              <w:rPr>
                <w:sz w:val="1"/>
                <w:szCs w:val="1"/>
                <w:color w:val="auto"/>
              </w:rPr>
            </w:pPr>
          </w:p>
        </w:tc>
      </w:tr>
      <w:tr>
        <w:trPr>
          <w:trHeight w:val="211"/>
        </w:trPr>
        <w:tc>
          <w:tcPr>
            <w:tcW w:w="9440" w:type="dxa"/>
            <w:vAlign w:val="bottom"/>
            <w:shd w:val="clear" w:color="auto" w:fill="CCEEFF"/>
          </w:tcPr>
          <w:p>
            <w:pPr>
              <w:spacing w:after="0"/>
              <w:rPr>
                <w:sz w:val="20"/>
                <w:szCs w:val="20"/>
                <w:color w:val="auto"/>
              </w:rPr>
            </w:pPr>
            <w:r>
              <w:rPr>
                <w:rFonts w:ascii="Arial" w:cs="Arial" w:eastAsia="Arial" w:hAnsi="Arial"/>
                <w:sz w:val="17"/>
                <w:szCs w:val="17"/>
                <w:color w:val="auto"/>
              </w:rPr>
              <w:t>Income from continuing operations before income taxes</w:t>
            </w:r>
          </w:p>
        </w:tc>
        <w:tc>
          <w:tcPr>
            <w:tcW w:w="2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67,047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52,858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9440" w:type="dxa"/>
            <w:vAlign w:val="bottom"/>
          </w:tcPr>
          <w:p>
            <w:pPr>
              <w:ind w:left="420"/>
              <w:spacing w:after="0"/>
              <w:rPr>
                <w:sz w:val="20"/>
                <w:szCs w:val="20"/>
                <w:color w:val="auto"/>
              </w:rPr>
            </w:pPr>
            <w:r>
              <w:rPr>
                <w:rFonts w:ascii="Arial" w:cs="Arial" w:eastAsia="Arial" w:hAnsi="Arial"/>
                <w:sz w:val="17"/>
                <w:szCs w:val="17"/>
                <w:color w:val="auto"/>
              </w:rPr>
              <w:t>Income tax expense</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w w:val="94"/>
              </w:rPr>
              <w:t>(23,970)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7"/>
                <w:szCs w:val="17"/>
                <w:color w:val="auto"/>
                <w:w w:val="94"/>
              </w:rPr>
              <w:t>(23,136)</w:t>
            </w:r>
          </w:p>
        </w:tc>
        <w:tc>
          <w:tcPr>
            <w:tcW w:w="0" w:type="dxa"/>
            <w:vAlign w:val="bottom"/>
          </w:tcPr>
          <w:p>
            <w:pPr>
              <w:spacing w:after="0"/>
              <w:rPr>
                <w:sz w:val="1"/>
                <w:szCs w:val="1"/>
                <w:color w:val="auto"/>
              </w:rPr>
            </w:pPr>
          </w:p>
        </w:tc>
      </w:tr>
      <w:tr>
        <w:trPr>
          <w:trHeight w:val="211"/>
        </w:trPr>
        <w:tc>
          <w:tcPr>
            <w:tcW w:w="9440" w:type="dxa"/>
            <w:vAlign w:val="bottom"/>
            <w:shd w:val="clear" w:color="auto" w:fill="CCEEFF"/>
          </w:tcPr>
          <w:p>
            <w:pPr>
              <w:spacing w:after="0"/>
              <w:rPr>
                <w:sz w:val="20"/>
                <w:szCs w:val="20"/>
                <w:color w:val="auto"/>
              </w:rPr>
            </w:pPr>
            <w:r>
              <w:rPr>
                <w:rFonts w:ascii="Arial" w:cs="Arial" w:eastAsia="Arial" w:hAnsi="Arial"/>
                <w:sz w:val="17"/>
                <w:szCs w:val="17"/>
                <w:color w:val="auto"/>
              </w:rPr>
              <w:t>Income from continuing operations</w:t>
            </w:r>
          </w:p>
        </w:tc>
        <w:tc>
          <w:tcPr>
            <w:tcW w:w="2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43,077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29,722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9440" w:type="dxa"/>
            <w:vAlign w:val="bottom"/>
          </w:tcPr>
          <w:p>
            <w:pPr>
              <w:spacing w:after="0"/>
              <w:rPr>
                <w:sz w:val="20"/>
                <w:szCs w:val="20"/>
                <w:color w:val="auto"/>
              </w:rPr>
            </w:pPr>
            <w:r>
              <w:rPr>
                <w:rFonts w:ascii="Arial" w:cs="Arial" w:eastAsia="Arial" w:hAnsi="Arial"/>
                <w:sz w:val="17"/>
                <w:szCs w:val="17"/>
                <w:color w:val="auto"/>
              </w:rPr>
              <w:t>Income from discontinued operations, net of income taxes</w:t>
            </w:r>
          </w:p>
        </w:tc>
        <w:tc>
          <w:tcPr>
            <w:tcW w:w="2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9440" w:type="dxa"/>
            <w:vAlign w:val="bottom"/>
            <w:shd w:val="clear" w:color="auto" w:fill="CCEEFF"/>
          </w:tcPr>
          <w:p>
            <w:pPr>
              <w:spacing w:after="0"/>
              <w:rPr>
                <w:sz w:val="20"/>
                <w:szCs w:val="20"/>
                <w:color w:val="auto"/>
              </w:rPr>
            </w:pPr>
            <w:r>
              <w:rPr>
                <w:rFonts w:ascii="Arial" w:cs="Arial" w:eastAsia="Arial" w:hAnsi="Arial"/>
                <w:sz w:val="17"/>
                <w:szCs w:val="17"/>
                <w:color w:val="auto"/>
              </w:rPr>
              <w:t>Net income</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43,181</w:t>
            </w:r>
          </w:p>
        </w:tc>
        <w:tc>
          <w:tcPr>
            <w:tcW w:w="2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29,818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40" w:type="dxa"/>
            <w:vAlign w:val="bottom"/>
            <w:vMerge w:val="restart"/>
          </w:tcPr>
          <w:p>
            <w:pPr>
              <w:spacing w:after="0"/>
              <w:rPr>
                <w:sz w:val="20"/>
                <w:szCs w:val="20"/>
                <w:color w:val="auto"/>
              </w:rPr>
            </w:pPr>
            <w:r>
              <w:rPr>
                <w:rFonts w:ascii="Arial" w:cs="Arial" w:eastAsia="Arial" w:hAnsi="Arial"/>
                <w:sz w:val="17"/>
                <w:szCs w:val="17"/>
                <w:color w:val="auto"/>
              </w:rPr>
              <w:t>Basic net income per share:</w:t>
            </w: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94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9440" w:type="dxa"/>
            <w:vAlign w:val="bottom"/>
            <w:shd w:val="clear" w:color="auto" w:fill="CCEEFF"/>
          </w:tcPr>
          <w:p>
            <w:pPr>
              <w:spacing w:after="0"/>
              <w:rPr>
                <w:sz w:val="20"/>
                <w:szCs w:val="20"/>
                <w:color w:val="auto"/>
              </w:rPr>
            </w:pPr>
            <w:r>
              <w:rPr>
                <w:rFonts w:ascii="Arial" w:cs="Arial" w:eastAsia="Arial" w:hAnsi="Arial"/>
                <w:sz w:val="17"/>
                <w:szCs w:val="17"/>
                <w:color w:val="auto"/>
              </w:rPr>
              <w:t>Income from continuing operations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0.62</w:t>
            </w:r>
          </w:p>
        </w:tc>
        <w:tc>
          <w:tcPr>
            <w:tcW w:w="2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9440" w:type="dxa"/>
            <w:vAlign w:val="bottom"/>
          </w:tcPr>
          <w:p>
            <w:pPr>
              <w:spacing w:after="0"/>
              <w:rPr>
                <w:sz w:val="20"/>
                <w:szCs w:val="20"/>
                <w:color w:val="auto"/>
              </w:rPr>
            </w:pPr>
            <w:r>
              <w:rPr>
                <w:rFonts w:ascii="Arial" w:cs="Arial" w:eastAsia="Arial" w:hAnsi="Arial"/>
                <w:sz w:val="17"/>
                <w:szCs w:val="17"/>
                <w:color w:val="auto"/>
              </w:rPr>
              <w:t>Income from discontinued operations</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6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1"/>
        </w:trPr>
        <w:tc>
          <w:tcPr>
            <w:tcW w:w="9440" w:type="dxa"/>
            <w:vAlign w:val="bottom"/>
            <w:shd w:val="clear" w:color="auto" w:fill="CCEEFF"/>
          </w:tcPr>
          <w:p>
            <w:pPr>
              <w:spacing w:after="0"/>
              <w:rPr>
                <w:sz w:val="20"/>
                <w:szCs w:val="20"/>
                <w:color w:val="auto"/>
              </w:rPr>
            </w:pPr>
            <w:r>
              <w:rPr>
                <w:rFonts w:ascii="Arial" w:cs="Arial" w:eastAsia="Arial" w:hAnsi="Arial"/>
                <w:sz w:val="17"/>
                <w:szCs w:val="17"/>
                <w:color w:val="auto"/>
              </w:rPr>
              <w:t>Net income</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0.62</w:t>
            </w:r>
          </w:p>
        </w:tc>
        <w:tc>
          <w:tcPr>
            <w:tcW w:w="2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5"/>
        </w:trPr>
        <w:tc>
          <w:tcPr>
            <w:tcW w:w="9440" w:type="dxa"/>
            <w:vAlign w:val="bottom"/>
          </w:tcPr>
          <w:p>
            <w:pPr>
              <w:spacing w:after="0"/>
              <w:rPr>
                <w:sz w:val="20"/>
                <w:szCs w:val="20"/>
                <w:color w:val="auto"/>
              </w:rPr>
            </w:pPr>
            <w:r>
              <w:rPr>
                <w:rFonts w:ascii="Arial" w:cs="Arial" w:eastAsia="Arial" w:hAnsi="Arial"/>
                <w:sz w:val="17"/>
                <w:szCs w:val="17"/>
                <w:color w:val="auto"/>
              </w:rPr>
              <w:t>Diluted net income per share:</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9440" w:type="dxa"/>
            <w:vAlign w:val="bottom"/>
            <w:shd w:val="clear" w:color="auto" w:fill="CCEEFF"/>
          </w:tcPr>
          <w:p>
            <w:pPr>
              <w:spacing w:after="0"/>
              <w:rPr>
                <w:sz w:val="20"/>
                <w:szCs w:val="20"/>
                <w:color w:val="auto"/>
              </w:rPr>
            </w:pPr>
            <w:r>
              <w:rPr>
                <w:rFonts w:ascii="Arial" w:cs="Arial" w:eastAsia="Arial" w:hAnsi="Arial"/>
                <w:sz w:val="17"/>
                <w:szCs w:val="17"/>
                <w:color w:val="auto"/>
              </w:rPr>
              <w:t>Income from continuing operations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0.60</w:t>
            </w:r>
          </w:p>
        </w:tc>
        <w:tc>
          <w:tcPr>
            <w:tcW w:w="2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9440" w:type="dxa"/>
            <w:vAlign w:val="bottom"/>
          </w:tcPr>
          <w:p>
            <w:pPr>
              <w:spacing w:after="0"/>
              <w:rPr>
                <w:sz w:val="20"/>
                <w:szCs w:val="20"/>
                <w:color w:val="auto"/>
              </w:rPr>
            </w:pPr>
            <w:r>
              <w:rPr>
                <w:rFonts w:ascii="Arial" w:cs="Arial" w:eastAsia="Arial" w:hAnsi="Arial"/>
                <w:sz w:val="17"/>
                <w:szCs w:val="17"/>
                <w:color w:val="auto"/>
              </w:rPr>
              <w:t>Income from discontinued operations</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6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1"/>
        </w:trPr>
        <w:tc>
          <w:tcPr>
            <w:tcW w:w="9440" w:type="dxa"/>
            <w:vAlign w:val="bottom"/>
            <w:shd w:val="clear" w:color="auto" w:fill="CCEEFF"/>
          </w:tcPr>
          <w:p>
            <w:pPr>
              <w:spacing w:after="0"/>
              <w:rPr>
                <w:sz w:val="20"/>
                <w:szCs w:val="20"/>
                <w:color w:val="auto"/>
              </w:rPr>
            </w:pPr>
            <w:r>
              <w:rPr>
                <w:rFonts w:ascii="Arial" w:cs="Arial" w:eastAsia="Arial" w:hAnsi="Arial"/>
                <w:sz w:val="17"/>
                <w:szCs w:val="17"/>
                <w:color w:val="auto"/>
              </w:rPr>
              <w:t>Net income</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0.60</w:t>
            </w:r>
          </w:p>
        </w:tc>
        <w:tc>
          <w:tcPr>
            <w:tcW w:w="2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5"/>
        </w:trPr>
        <w:tc>
          <w:tcPr>
            <w:tcW w:w="9440" w:type="dxa"/>
            <w:vAlign w:val="bottom"/>
          </w:tcPr>
          <w:p>
            <w:pPr>
              <w:spacing w:after="0"/>
              <w:rPr>
                <w:sz w:val="20"/>
                <w:szCs w:val="20"/>
                <w:color w:val="auto"/>
              </w:rPr>
            </w:pPr>
            <w:r>
              <w:rPr>
                <w:rFonts w:ascii="Arial" w:cs="Arial" w:eastAsia="Arial" w:hAnsi="Arial"/>
                <w:sz w:val="17"/>
                <w:szCs w:val="17"/>
                <w:color w:val="auto"/>
              </w:rPr>
              <w:t>Weighted average common shares:</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9440" w:type="dxa"/>
            <w:vAlign w:val="bottom"/>
            <w:shd w:val="clear" w:color="auto" w:fill="CCEEFF"/>
          </w:tcPr>
          <w:p>
            <w:pPr>
              <w:spacing w:after="0"/>
              <w:rPr>
                <w:sz w:val="20"/>
                <w:szCs w:val="20"/>
                <w:color w:val="auto"/>
              </w:rPr>
            </w:pPr>
            <w:r>
              <w:rPr>
                <w:rFonts w:ascii="Arial" w:cs="Arial" w:eastAsia="Arial" w:hAnsi="Arial"/>
                <w:sz w:val="17"/>
                <w:szCs w:val="17"/>
                <w:color w:val="auto"/>
              </w:rPr>
              <w:t>Basic weighted average common shares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69,871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69,161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9440" w:type="dxa"/>
            <w:vAlign w:val="bottom"/>
          </w:tcPr>
          <w:p>
            <w:pPr>
              <w:spacing w:after="0"/>
              <w:rPr>
                <w:sz w:val="20"/>
                <w:szCs w:val="20"/>
                <w:color w:val="auto"/>
              </w:rPr>
            </w:pPr>
            <w:r>
              <w:rPr>
                <w:rFonts w:ascii="Arial" w:cs="Arial" w:eastAsia="Arial" w:hAnsi="Arial"/>
                <w:sz w:val="17"/>
                <w:szCs w:val="17"/>
                <w:color w:val="auto"/>
              </w:rPr>
              <w:t>Diluted weighted average common shares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72,130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69,161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451" w:right="239" w:bottom="1440" w:gutter="0" w:footer="0" w:header="0"/>
        </w:sectPr>
      </w:pPr>
    </w:p>
    <w:bookmarkStart w:id="4" w:name="page5"/>
    <w:bookmarkEnd w:id="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2340" cy="3810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AMC NETWORKS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COMPREHENSIVE INCOME</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Three Months Ended March 31, 2012 and 2011</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(Dollars in thousands)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9860" w:type="dxa"/>
            <w:vAlign w:val="bottom"/>
          </w:tcPr>
          <w:p>
            <w:pPr>
              <w:spacing w:after="0"/>
              <w:rPr>
                <w:sz w:val="13"/>
                <w:szCs w:val="13"/>
                <w:color w:val="auto"/>
              </w:rPr>
            </w:pPr>
          </w:p>
        </w:tc>
        <w:tc>
          <w:tcPr>
            <w:tcW w:w="580" w:type="dxa"/>
            <w:vAlign w:val="bottom"/>
          </w:tcPr>
          <w:p>
            <w:pPr>
              <w:jc w:val="right"/>
              <w:ind w:right="77"/>
              <w:spacing w:after="0"/>
              <w:rPr>
                <w:sz w:val="20"/>
                <w:szCs w:val="20"/>
                <w:color w:val="auto"/>
              </w:rPr>
            </w:pPr>
            <w:r>
              <w:rPr>
                <w:rFonts w:ascii="Arial" w:cs="Arial" w:eastAsia="Arial" w:hAnsi="Arial"/>
                <w:sz w:val="13"/>
                <w:szCs w:val="13"/>
                <w:b w:val="1"/>
                <w:bCs w:val="1"/>
                <w:color w:val="auto"/>
              </w:rPr>
              <w:t>2012</w:t>
            </w:r>
          </w:p>
        </w:tc>
        <w:tc>
          <w:tcPr>
            <w:tcW w:w="180" w:type="dxa"/>
            <w:vAlign w:val="bottom"/>
          </w:tcPr>
          <w:p>
            <w:pPr>
              <w:spacing w:after="0"/>
              <w:rPr>
                <w:sz w:val="13"/>
                <w:szCs w:val="13"/>
                <w:color w:val="auto"/>
              </w:rPr>
            </w:pPr>
          </w:p>
        </w:tc>
        <w:tc>
          <w:tcPr>
            <w:tcW w:w="720" w:type="dxa"/>
            <w:vAlign w:val="bottom"/>
            <w:gridSpan w:val="2"/>
          </w:tcPr>
          <w:p>
            <w:pPr>
              <w:jc w:val="center"/>
              <w:ind w:left="74"/>
              <w:spacing w:after="0"/>
              <w:rPr>
                <w:sz w:val="20"/>
                <w:szCs w:val="20"/>
                <w:color w:val="auto"/>
              </w:rPr>
            </w:pPr>
            <w:r>
              <w:rPr>
                <w:rFonts w:ascii="Arial" w:cs="Arial" w:eastAsia="Arial" w:hAnsi="Arial"/>
                <w:sz w:val="13"/>
                <w:szCs w:val="13"/>
                <w:b w:val="1"/>
                <w:bCs w:val="1"/>
                <w:color w:val="auto"/>
                <w:w w:val="89"/>
              </w:rPr>
              <w:t>2011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9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Net income</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u w:val="single" w:color="auto"/>
                <w:color w:val="auto"/>
                <w:w w:val="91"/>
              </w:rPr>
              <w:t>$</w:t>
            </w:r>
            <w:r>
              <w:rPr>
                <w:rFonts w:ascii="Arial" w:cs="Arial" w:eastAsia="Arial" w:hAnsi="Arial"/>
                <w:sz w:val="17"/>
                <w:szCs w:val="17"/>
                <w:color w:val="auto"/>
                <w:w w:val="91"/>
              </w:rPr>
              <w:t>43,181</w:t>
            </w: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7"/>
                <w:szCs w:val="17"/>
                <w:u w:val="single" w:color="auto"/>
                <w:color w:val="auto"/>
                <w:w w:val="94"/>
              </w:rPr>
              <w:t>$</w:t>
            </w:r>
            <w:r>
              <w:rPr>
                <w:rFonts w:ascii="Arial" w:cs="Arial" w:eastAsia="Arial" w:hAnsi="Arial"/>
                <w:sz w:val="17"/>
                <w:szCs w:val="17"/>
                <w:color w:val="auto"/>
                <w:w w:val="94"/>
              </w:rPr>
              <w:t>29,818</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860" w:type="dxa"/>
            <w:vAlign w:val="bottom"/>
          </w:tcPr>
          <w:p>
            <w:pPr>
              <w:spacing w:after="0"/>
              <w:rPr>
                <w:sz w:val="20"/>
                <w:szCs w:val="20"/>
                <w:color w:val="auto"/>
              </w:rPr>
            </w:pPr>
            <w:r>
              <w:rPr>
                <w:rFonts w:ascii="Arial" w:cs="Arial" w:eastAsia="Arial" w:hAnsi="Arial"/>
                <w:sz w:val="17"/>
                <w:szCs w:val="17"/>
                <w:color w:val="auto"/>
              </w:rPr>
              <w:t>Other comprehensive loss:</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9860" w:type="dxa"/>
            <w:vAlign w:val="bottom"/>
            <w:shd w:val="clear" w:color="auto" w:fill="CCEEFF"/>
          </w:tcPr>
          <w:p>
            <w:pPr>
              <w:ind w:left="840"/>
              <w:spacing w:after="0"/>
              <w:rPr>
                <w:sz w:val="20"/>
                <w:szCs w:val="20"/>
                <w:color w:val="auto"/>
              </w:rPr>
            </w:pPr>
            <w:r>
              <w:rPr>
                <w:rFonts w:ascii="Arial" w:cs="Arial" w:eastAsia="Arial" w:hAnsi="Arial"/>
                <w:sz w:val="17"/>
                <w:szCs w:val="17"/>
                <w:color w:val="auto"/>
              </w:rPr>
              <w:t>Unrealized loss on interest rate swaps</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(820)</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9860" w:type="dxa"/>
            <w:vAlign w:val="bottom"/>
            <w:vMerge w:val="restart"/>
          </w:tcPr>
          <w:p>
            <w:pPr>
              <w:ind w:left="420"/>
              <w:spacing w:after="0"/>
              <w:rPr>
                <w:sz w:val="20"/>
                <w:szCs w:val="20"/>
                <w:color w:val="auto"/>
              </w:rPr>
            </w:pPr>
            <w:r>
              <w:rPr>
                <w:rFonts w:ascii="Arial" w:cs="Arial" w:eastAsia="Arial" w:hAnsi="Arial"/>
                <w:sz w:val="17"/>
                <w:szCs w:val="17"/>
                <w:color w:val="auto"/>
              </w:rPr>
              <w:t>Other comprehensive loss, before income taxes</w:t>
            </w: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9860" w:type="dxa"/>
            <w:vAlign w:val="bottom"/>
            <w:vMerge w:val="continue"/>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7"/>
                <w:szCs w:val="17"/>
                <w:color w:val="auto"/>
              </w:rPr>
              <w:t>(820)</w:t>
            </w:r>
          </w:p>
        </w:tc>
        <w:tc>
          <w:tcPr>
            <w:tcW w:w="140" w:type="dxa"/>
            <w:vAlign w:val="bottom"/>
          </w:tcPr>
          <w:p>
            <w:pPr>
              <w:spacing w:after="0"/>
              <w:rPr>
                <w:sz w:val="18"/>
                <w:szCs w:val="18"/>
                <w:color w:val="auto"/>
              </w:rPr>
            </w:pPr>
          </w:p>
        </w:tc>
        <w:tc>
          <w:tcPr>
            <w:tcW w:w="660" w:type="dxa"/>
            <w:vAlign w:val="bottom"/>
            <w:gridSpan w:val="2"/>
          </w:tcPr>
          <w:p>
            <w:pPr>
              <w:ind w:left="3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2"/>
        </w:trPr>
        <w:tc>
          <w:tcPr>
            <w:tcW w:w="9860" w:type="dxa"/>
            <w:vAlign w:val="bottom"/>
            <w:shd w:val="clear" w:color="auto" w:fill="CCEEFF"/>
          </w:tcPr>
          <w:p>
            <w:pPr>
              <w:ind w:left="840"/>
              <w:spacing w:after="0"/>
              <w:rPr>
                <w:sz w:val="20"/>
                <w:szCs w:val="20"/>
                <w:color w:val="auto"/>
              </w:rPr>
            </w:pPr>
            <w:r>
              <w:rPr>
                <w:rFonts w:ascii="Arial" w:cs="Arial" w:eastAsia="Arial" w:hAnsi="Arial"/>
                <w:sz w:val="17"/>
                <w:szCs w:val="17"/>
                <w:color w:val="auto"/>
              </w:rPr>
              <w:t>Income tax benefit related to items of other comprehensive loss</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860" w:type="dxa"/>
            <w:vAlign w:val="bottom"/>
          </w:tcPr>
          <w:p>
            <w:pPr>
              <w:ind w:left="420"/>
              <w:spacing w:after="0"/>
              <w:rPr>
                <w:sz w:val="20"/>
                <w:szCs w:val="20"/>
                <w:color w:val="auto"/>
              </w:rPr>
            </w:pPr>
            <w:r>
              <w:rPr>
                <w:rFonts w:ascii="Arial" w:cs="Arial" w:eastAsia="Arial" w:hAnsi="Arial"/>
                <w:sz w:val="17"/>
                <w:szCs w:val="17"/>
                <w:color w:val="auto"/>
              </w:rPr>
              <w:t>Other comprehensive loss, net of income taxes</w:t>
            </w:r>
          </w:p>
        </w:tc>
        <w:tc>
          <w:tcPr>
            <w:tcW w:w="760" w:type="dxa"/>
            <w:vAlign w:val="bottom"/>
            <w:gridSpan w:val="2"/>
          </w:tcPr>
          <w:p>
            <w:pPr>
              <w:jc w:val="right"/>
              <w:ind w:right="120"/>
              <w:spacing w:after="0"/>
              <w:rPr>
                <w:sz w:val="20"/>
                <w:szCs w:val="20"/>
                <w:color w:val="auto"/>
              </w:rPr>
            </w:pPr>
            <w:r>
              <w:rPr>
                <w:rFonts w:ascii="Arial" w:cs="Arial" w:eastAsia="Arial" w:hAnsi="Arial"/>
                <w:sz w:val="17"/>
                <w:szCs w:val="17"/>
                <w:color w:val="auto"/>
              </w:rPr>
              <w:t>(517)</w:t>
            </w:r>
          </w:p>
        </w:tc>
        <w:tc>
          <w:tcPr>
            <w:tcW w:w="140" w:type="dxa"/>
            <w:vAlign w:val="bottom"/>
          </w:tcPr>
          <w:p>
            <w:pPr>
              <w:spacing w:after="0"/>
              <w:rPr>
                <w:sz w:val="19"/>
                <w:szCs w:val="19"/>
                <w:color w:val="auto"/>
              </w:rPr>
            </w:pPr>
          </w:p>
        </w:tc>
        <w:tc>
          <w:tcPr>
            <w:tcW w:w="660" w:type="dxa"/>
            <w:vAlign w:val="bottom"/>
            <w:gridSpan w:val="2"/>
          </w:tcPr>
          <w:p>
            <w:pPr>
              <w:ind w:left="3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1"/>
        </w:trPr>
        <w:tc>
          <w:tcPr>
            <w:tcW w:w="9860" w:type="dxa"/>
            <w:vAlign w:val="bottom"/>
            <w:shd w:val="clear" w:color="auto" w:fill="CCEEFF"/>
          </w:tcPr>
          <w:p>
            <w:pPr>
              <w:spacing w:after="0"/>
              <w:rPr>
                <w:sz w:val="20"/>
                <w:szCs w:val="20"/>
                <w:color w:val="auto"/>
              </w:rPr>
            </w:pPr>
            <w:r>
              <w:rPr>
                <w:rFonts w:ascii="Arial" w:cs="Arial" w:eastAsia="Arial" w:hAnsi="Arial"/>
                <w:sz w:val="17"/>
                <w:szCs w:val="17"/>
                <w:color w:val="auto"/>
              </w:rPr>
              <w:t>Comprehensive income</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u w:val="single" w:color="auto"/>
                <w:color w:val="auto"/>
                <w:w w:val="91"/>
              </w:rPr>
              <w:t>$</w:t>
            </w:r>
            <w:r>
              <w:rPr>
                <w:rFonts w:ascii="Arial" w:cs="Arial" w:eastAsia="Arial" w:hAnsi="Arial"/>
                <w:sz w:val="17"/>
                <w:szCs w:val="17"/>
                <w:color w:val="auto"/>
                <w:w w:val="91"/>
              </w:rPr>
              <w:t>42,664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7"/>
                <w:szCs w:val="17"/>
                <w:u w:val="single" w:color="auto"/>
                <w:color w:val="auto"/>
                <w:w w:val="94"/>
              </w:rPr>
              <w:t>$</w:t>
            </w:r>
            <w:r>
              <w:rPr>
                <w:rFonts w:ascii="Arial" w:cs="Arial" w:eastAsia="Arial" w:hAnsi="Arial"/>
                <w:sz w:val="17"/>
                <w:szCs w:val="17"/>
                <w:color w:val="auto"/>
                <w:w w:val="94"/>
              </w:rPr>
              <w:t>29,818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451" w:right="239" w:bottom="1440" w:gutter="0" w:footer="0" w:header="0"/>
        </w:sectPr>
      </w:pPr>
    </w:p>
    <w:bookmarkStart w:id="5" w:name="page6"/>
    <w:bookmarkEnd w:id="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AMC NETWORKS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 OF STOCKHOLDERS’ DEFICIENCY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Three Months Ended March 31, 2012</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(Dollars in thousands)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3"/>
          </w:tcPr>
          <w:p>
            <w:pPr>
              <w:jc w:val="center"/>
              <w:ind w:right="160"/>
              <w:spacing w:after="0"/>
              <w:rPr>
                <w:sz w:val="20"/>
                <w:szCs w:val="20"/>
                <w:color w:val="auto"/>
              </w:rPr>
            </w:pPr>
            <w:r>
              <w:rPr>
                <w:rFonts w:ascii="Arial" w:cs="Arial" w:eastAsia="Arial" w:hAnsi="Arial"/>
                <w:sz w:val="13"/>
                <w:szCs w:val="13"/>
                <w:color w:val="auto"/>
                <w:w w:val="93"/>
              </w:rPr>
              <w:t>Accumulated</w:t>
            </w: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5"/>
        </w:trPr>
        <w:tc>
          <w:tcPr>
            <w:tcW w:w="4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gridSpan w:val="3"/>
          </w:tcPr>
          <w:p>
            <w:pPr>
              <w:ind w:left="40"/>
              <w:spacing w:after="0" w:line="145" w:lineRule="exact"/>
              <w:rPr>
                <w:sz w:val="20"/>
                <w:szCs w:val="20"/>
                <w:color w:val="auto"/>
              </w:rPr>
            </w:pPr>
            <w:r>
              <w:rPr>
                <w:rFonts w:ascii="Arial" w:cs="Arial" w:eastAsia="Arial" w:hAnsi="Arial"/>
                <w:sz w:val="13"/>
                <w:szCs w:val="13"/>
                <w:color w:val="auto"/>
              </w:rPr>
              <w:t>Class A</w:t>
            </w:r>
          </w:p>
        </w:tc>
        <w:tc>
          <w:tcPr>
            <w:tcW w:w="500" w:type="dxa"/>
            <w:vAlign w:val="bottom"/>
            <w:gridSpan w:val="2"/>
          </w:tcPr>
          <w:p>
            <w:pPr>
              <w:ind w:left="60"/>
              <w:spacing w:after="0" w:line="145" w:lineRule="exact"/>
              <w:rPr>
                <w:sz w:val="20"/>
                <w:szCs w:val="20"/>
                <w:color w:val="auto"/>
              </w:rPr>
            </w:pPr>
            <w:r>
              <w:rPr>
                <w:rFonts w:ascii="Arial" w:cs="Arial" w:eastAsia="Arial" w:hAnsi="Arial"/>
                <w:sz w:val="13"/>
                <w:szCs w:val="13"/>
                <w:color w:val="auto"/>
                <w:w w:val="93"/>
              </w:rPr>
              <w:t>Class B</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center"/>
              <w:ind w:right="340"/>
              <w:spacing w:after="0" w:line="145" w:lineRule="exact"/>
              <w:rPr>
                <w:sz w:val="20"/>
                <w:szCs w:val="20"/>
                <w:color w:val="auto"/>
              </w:rPr>
            </w:pPr>
            <w:r>
              <w:rPr>
                <w:rFonts w:ascii="Arial" w:cs="Arial" w:eastAsia="Arial" w:hAnsi="Arial"/>
                <w:sz w:val="13"/>
                <w:szCs w:val="13"/>
                <w:color w:val="auto"/>
                <w:w w:val="92"/>
              </w:rPr>
              <w:t>Other</w:t>
            </w: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5"/>
        </w:trPr>
        <w:tc>
          <w:tcPr>
            <w:tcW w:w="4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gridSpan w:val="3"/>
          </w:tcPr>
          <w:p>
            <w:pPr>
              <w:ind w:left="20"/>
              <w:spacing w:after="0" w:line="145" w:lineRule="exact"/>
              <w:rPr>
                <w:sz w:val="20"/>
                <w:szCs w:val="20"/>
                <w:color w:val="auto"/>
              </w:rPr>
            </w:pPr>
            <w:r>
              <w:rPr>
                <w:rFonts w:ascii="Arial" w:cs="Arial" w:eastAsia="Arial" w:hAnsi="Arial"/>
                <w:sz w:val="13"/>
                <w:szCs w:val="13"/>
                <w:color w:val="auto"/>
              </w:rPr>
              <w:t>Common</w:t>
            </w:r>
          </w:p>
        </w:tc>
        <w:tc>
          <w:tcPr>
            <w:tcW w:w="500" w:type="dxa"/>
            <w:vAlign w:val="bottom"/>
            <w:gridSpan w:val="2"/>
          </w:tcPr>
          <w:p>
            <w:pPr>
              <w:ind w:left="20"/>
              <w:spacing w:after="0" w:line="145" w:lineRule="exact"/>
              <w:rPr>
                <w:sz w:val="20"/>
                <w:szCs w:val="20"/>
                <w:color w:val="auto"/>
              </w:rPr>
            </w:pPr>
            <w:r>
              <w:rPr>
                <w:rFonts w:ascii="Arial" w:cs="Arial" w:eastAsia="Arial" w:hAnsi="Arial"/>
                <w:sz w:val="13"/>
                <w:szCs w:val="13"/>
                <w:color w:val="auto"/>
                <w:w w:val="87"/>
              </w:rPr>
              <w:t>Common</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spacing w:after="0" w:line="145" w:lineRule="exact"/>
              <w:rPr>
                <w:sz w:val="20"/>
                <w:szCs w:val="20"/>
                <w:color w:val="auto"/>
              </w:rPr>
            </w:pPr>
            <w:r>
              <w:rPr>
                <w:rFonts w:ascii="Arial" w:cs="Arial" w:eastAsia="Arial" w:hAnsi="Arial"/>
                <w:sz w:val="13"/>
                <w:szCs w:val="13"/>
                <w:color w:val="auto"/>
              </w:rPr>
              <w:t>Paid-in</w:t>
            </w:r>
          </w:p>
        </w:tc>
        <w:tc>
          <w:tcPr>
            <w:tcW w:w="140" w:type="dxa"/>
            <w:vAlign w:val="bottom"/>
          </w:tcPr>
          <w:p>
            <w:pPr>
              <w:spacing w:after="0"/>
              <w:rPr>
                <w:sz w:val="12"/>
                <w:szCs w:val="12"/>
                <w:color w:val="auto"/>
              </w:rPr>
            </w:pPr>
          </w:p>
        </w:tc>
        <w:tc>
          <w:tcPr>
            <w:tcW w:w="1040" w:type="dxa"/>
            <w:vAlign w:val="bottom"/>
            <w:gridSpan w:val="3"/>
          </w:tcPr>
          <w:p>
            <w:pPr>
              <w:jc w:val="right"/>
              <w:ind w:right="260"/>
              <w:spacing w:after="0" w:line="145" w:lineRule="exact"/>
              <w:rPr>
                <w:sz w:val="20"/>
                <w:szCs w:val="20"/>
                <w:color w:val="auto"/>
              </w:rPr>
            </w:pPr>
            <w:r>
              <w:rPr>
                <w:rFonts w:ascii="Arial" w:cs="Arial" w:eastAsia="Arial" w:hAnsi="Arial"/>
                <w:sz w:val="13"/>
                <w:szCs w:val="13"/>
                <w:color w:val="auto"/>
              </w:rPr>
              <w:t>Accumulated</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280"/>
              <w:spacing w:after="0" w:line="145" w:lineRule="exact"/>
              <w:rPr>
                <w:sz w:val="20"/>
                <w:szCs w:val="20"/>
                <w:color w:val="auto"/>
              </w:rPr>
            </w:pPr>
            <w:r>
              <w:rPr>
                <w:rFonts w:ascii="Arial" w:cs="Arial" w:eastAsia="Arial" w:hAnsi="Arial"/>
                <w:sz w:val="13"/>
                <w:szCs w:val="13"/>
                <w:color w:val="auto"/>
                <w:w w:val="85"/>
              </w:rPr>
              <w:t>Treasury</w:t>
            </w:r>
          </w:p>
        </w:tc>
        <w:tc>
          <w:tcPr>
            <w:tcW w:w="120" w:type="dxa"/>
            <w:vAlign w:val="bottom"/>
          </w:tcPr>
          <w:p>
            <w:pPr>
              <w:spacing w:after="0"/>
              <w:rPr>
                <w:sz w:val="12"/>
                <w:szCs w:val="12"/>
                <w:color w:val="auto"/>
              </w:rPr>
            </w:pPr>
          </w:p>
        </w:tc>
        <w:tc>
          <w:tcPr>
            <w:tcW w:w="1020" w:type="dxa"/>
            <w:vAlign w:val="bottom"/>
            <w:gridSpan w:val="3"/>
          </w:tcPr>
          <w:p>
            <w:pPr>
              <w:jc w:val="center"/>
              <w:ind w:right="160"/>
              <w:spacing w:after="0" w:line="145" w:lineRule="exact"/>
              <w:rPr>
                <w:sz w:val="20"/>
                <w:szCs w:val="20"/>
                <w:color w:val="auto"/>
              </w:rPr>
            </w:pPr>
            <w:r>
              <w:rPr>
                <w:rFonts w:ascii="Arial" w:cs="Arial" w:eastAsia="Arial" w:hAnsi="Arial"/>
                <w:sz w:val="13"/>
                <w:szCs w:val="13"/>
                <w:color w:val="auto"/>
                <w:w w:val="90"/>
              </w:rPr>
              <w:t>Comprehensive</w:t>
            </w: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4"/>
        </w:trPr>
        <w:tc>
          <w:tcPr>
            <w:tcW w:w="4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spacing w:after="0"/>
              <w:rPr>
                <w:sz w:val="20"/>
                <w:szCs w:val="20"/>
                <w:color w:val="auto"/>
              </w:rPr>
            </w:pPr>
            <w:r>
              <w:rPr>
                <w:rFonts w:ascii="Arial" w:cs="Arial" w:eastAsia="Arial" w:hAnsi="Arial"/>
                <w:sz w:val="13"/>
                <w:szCs w:val="13"/>
                <w:color w:val="auto"/>
              </w:rPr>
              <w:t>Stock</w:t>
            </w:r>
          </w:p>
        </w:tc>
        <w:tc>
          <w:tcPr>
            <w:tcW w:w="100" w:type="dxa"/>
            <w:vAlign w:val="bottom"/>
          </w:tcPr>
          <w:p>
            <w:pPr>
              <w:spacing w:after="0"/>
              <w:rPr>
                <w:sz w:val="13"/>
                <w:szCs w:val="13"/>
                <w:color w:val="auto"/>
              </w:rPr>
            </w:pPr>
          </w:p>
        </w:tc>
        <w:tc>
          <w:tcPr>
            <w:tcW w:w="400" w:type="dxa"/>
            <w:vAlign w:val="bottom"/>
          </w:tcPr>
          <w:p>
            <w:pPr>
              <w:spacing w:after="0"/>
              <w:rPr>
                <w:sz w:val="20"/>
                <w:szCs w:val="20"/>
                <w:color w:val="auto"/>
              </w:rPr>
            </w:pPr>
            <w:r>
              <w:rPr>
                <w:rFonts w:ascii="Arial" w:cs="Arial" w:eastAsia="Arial" w:hAnsi="Arial"/>
                <w:sz w:val="13"/>
                <w:szCs w:val="13"/>
                <w:color w:val="auto"/>
              </w:rPr>
              <w:t>Stock</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spacing w:after="0"/>
              <w:rPr>
                <w:sz w:val="20"/>
                <w:szCs w:val="20"/>
                <w:color w:val="auto"/>
              </w:rPr>
            </w:pPr>
            <w:r>
              <w:rPr>
                <w:rFonts w:ascii="Arial" w:cs="Arial" w:eastAsia="Arial" w:hAnsi="Arial"/>
                <w:sz w:val="13"/>
                <w:szCs w:val="13"/>
                <w:color w:val="auto"/>
              </w:rPr>
              <w:t>Capital</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3"/>
                <w:szCs w:val="13"/>
                <w:color w:val="auto"/>
              </w:rPr>
              <w:t>Deficit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3"/>
                <w:szCs w:val="13"/>
                <w:color w:val="auto"/>
              </w:rPr>
              <w:t>Stock</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tcPr>
          <w:p>
            <w:pPr>
              <w:jc w:val="center"/>
              <w:ind w:right="360"/>
              <w:spacing w:after="0"/>
              <w:rPr>
                <w:sz w:val="20"/>
                <w:szCs w:val="20"/>
                <w:color w:val="auto"/>
              </w:rPr>
            </w:pPr>
            <w:r>
              <w:rPr>
                <w:rFonts w:ascii="Arial" w:cs="Arial" w:eastAsia="Arial" w:hAnsi="Arial"/>
                <w:sz w:val="13"/>
                <w:szCs w:val="13"/>
                <w:color w:val="auto"/>
                <w:w w:val="87"/>
              </w:rPr>
              <w:t>Loss</w:t>
            </w:r>
          </w:p>
        </w:tc>
        <w:tc>
          <w:tcPr>
            <w:tcW w:w="140" w:type="dxa"/>
            <w:vAlign w:val="bottom"/>
          </w:tcPr>
          <w:p>
            <w:pPr>
              <w:spacing w:after="0"/>
              <w:rPr>
                <w:sz w:val="13"/>
                <w:szCs w:val="13"/>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3"/>
                <w:szCs w:val="13"/>
                <w:color w:val="auto"/>
              </w:rPr>
              <w:t>Total</w:t>
            </w:r>
          </w:p>
        </w:tc>
      </w:tr>
      <w:tr>
        <w:trPr>
          <w:trHeight w:val="204"/>
        </w:trPr>
        <w:tc>
          <w:tcPr>
            <w:tcW w:w="4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Balance, December 31, 2011</w:t>
            </w: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w w:val="84"/>
              </w:rPr>
              <w:t>$</w:t>
            </w:r>
          </w:p>
        </w:tc>
        <w:tc>
          <w:tcPr>
            <w:tcW w:w="40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w w:val="84"/>
              </w:rPr>
              <w:t>586</w:t>
            </w: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w w:val="84"/>
              </w:rPr>
              <w:t>$</w:t>
            </w:r>
          </w:p>
        </w:tc>
        <w:tc>
          <w:tcPr>
            <w:tcW w:w="40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7"/>
                <w:szCs w:val="17"/>
                <w:color w:val="auto"/>
                <w:w w:val="77"/>
              </w:rPr>
              <w:t>135</w:t>
            </w:r>
          </w:p>
        </w:tc>
        <w:tc>
          <w:tcPr>
            <w:tcW w:w="3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5,942</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2"/>
              </w:rPr>
              <w:t>(1,029,954)</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(1,677)</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7"/>
                <w:szCs w:val="17"/>
                <w:color w:val="auto"/>
                <w:w w:val="84"/>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(12,027)</w:t>
            </w: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5"/>
              </w:rPr>
              <w:t>$(1,036,995)</w:t>
            </w:r>
          </w:p>
        </w:tc>
        <w:tc>
          <w:tcPr>
            <w:tcW w:w="100" w:type="dxa"/>
            <w:vAlign w:val="bottom"/>
            <w:tcBorders>
              <w:top w:val="single" w:sz="8" w:color="CCEEFF"/>
            </w:tcBorders>
            <w:shd w:val="clear" w:color="auto" w:fill="CCEEFF"/>
          </w:tcPr>
          <w:p>
            <w:pPr>
              <w:spacing w:after="0"/>
              <w:rPr>
                <w:sz w:val="17"/>
                <w:szCs w:val="17"/>
                <w:color w:val="auto"/>
              </w:rPr>
            </w:pPr>
          </w:p>
        </w:tc>
      </w:tr>
      <w:tr>
        <w:trPr>
          <w:trHeight w:val="211"/>
        </w:trPr>
        <w:tc>
          <w:tcPr>
            <w:tcW w:w="4400" w:type="dxa"/>
            <w:vAlign w:val="bottom"/>
          </w:tcPr>
          <w:p>
            <w:pPr>
              <w:spacing w:after="0"/>
              <w:rPr>
                <w:sz w:val="20"/>
                <w:szCs w:val="20"/>
                <w:color w:val="auto"/>
              </w:rPr>
            </w:pPr>
            <w:r>
              <w:rPr>
                <w:rFonts w:ascii="Arial" w:cs="Arial" w:eastAsia="Arial" w:hAnsi="Arial"/>
                <w:sz w:val="17"/>
                <w:szCs w:val="17"/>
                <w:color w:val="auto"/>
              </w:rPr>
              <w:t>Net income</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ind w:left="1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400" w:type="dxa"/>
            <w:vAlign w:val="bottom"/>
          </w:tcPr>
          <w:p>
            <w:pPr>
              <w:ind w:left="16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43,181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43,181</w:t>
            </w:r>
          </w:p>
        </w:tc>
        <w:tc>
          <w:tcPr>
            <w:tcW w:w="100" w:type="dxa"/>
            <w:vAlign w:val="bottom"/>
          </w:tcPr>
          <w:p>
            <w:pPr>
              <w:spacing w:after="0"/>
              <w:rPr>
                <w:sz w:val="18"/>
                <w:szCs w:val="18"/>
                <w:color w:val="auto"/>
              </w:rPr>
            </w:pPr>
          </w:p>
        </w:tc>
      </w:tr>
      <w:tr>
        <w:trPr>
          <w:trHeight w:val="211"/>
        </w:trPr>
        <w:tc>
          <w:tcPr>
            <w:tcW w:w="4400" w:type="dxa"/>
            <w:vAlign w:val="bottom"/>
            <w:shd w:val="clear" w:color="auto" w:fill="CCEEFF"/>
          </w:tcPr>
          <w:p>
            <w:pPr>
              <w:spacing w:after="0"/>
              <w:rPr>
                <w:sz w:val="20"/>
                <w:szCs w:val="20"/>
                <w:color w:val="auto"/>
              </w:rPr>
            </w:pPr>
            <w:r>
              <w:rPr>
                <w:rFonts w:ascii="Arial" w:cs="Arial" w:eastAsia="Arial" w:hAnsi="Arial"/>
                <w:sz w:val="17"/>
                <w:szCs w:val="17"/>
                <w:color w:val="auto"/>
              </w:rPr>
              <w:t>Other comprehensive loss (see Note 6)</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(517)</w:t>
            </w: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(517)</w:t>
            </w:r>
          </w:p>
        </w:tc>
      </w:tr>
      <w:tr>
        <w:trPr>
          <w:trHeight w:val="211"/>
        </w:trPr>
        <w:tc>
          <w:tcPr>
            <w:tcW w:w="4400" w:type="dxa"/>
            <w:vAlign w:val="bottom"/>
          </w:tcPr>
          <w:p>
            <w:pPr>
              <w:spacing w:after="0"/>
              <w:rPr>
                <w:sz w:val="20"/>
                <w:szCs w:val="20"/>
                <w:color w:val="auto"/>
              </w:rPr>
            </w:pPr>
            <w:r>
              <w:rPr>
                <w:rFonts w:ascii="Arial" w:cs="Arial" w:eastAsia="Arial" w:hAnsi="Arial"/>
                <w:sz w:val="17"/>
                <w:szCs w:val="17"/>
                <w:color w:val="auto"/>
              </w:rPr>
              <w:t>Share-based compensation expense</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ind w:left="1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400" w:type="dxa"/>
            <w:vAlign w:val="bottom"/>
          </w:tcPr>
          <w:p>
            <w:pPr>
              <w:ind w:left="16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3,583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3,583</w:t>
            </w:r>
          </w:p>
        </w:tc>
        <w:tc>
          <w:tcPr>
            <w:tcW w:w="100" w:type="dxa"/>
            <w:vAlign w:val="bottom"/>
          </w:tcPr>
          <w:p>
            <w:pPr>
              <w:spacing w:after="0"/>
              <w:rPr>
                <w:sz w:val="18"/>
                <w:szCs w:val="18"/>
                <w:color w:val="auto"/>
              </w:rPr>
            </w:pPr>
          </w:p>
        </w:tc>
      </w:tr>
      <w:tr>
        <w:trPr>
          <w:trHeight w:val="211"/>
        </w:trPr>
        <w:tc>
          <w:tcPr>
            <w:tcW w:w="4400" w:type="dxa"/>
            <w:vAlign w:val="bottom"/>
            <w:shd w:val="clear" w:color="auto" w:fill="CCEEFF"/>
          </w:tcPr>
          <w:p>
            <w:pPr>
              <w:spacing w:after="0"/>
              <w:rPr>
                <w:sz w:val="20"/>
                <w:szCs w:val="20"/>
                <w:color w:val="auto"/>
              </w:rPr>
            </w:pPr>
            <w:r>
              <w:rPr>
                <w:rFonts w:ascii="Arial" w:cs="Arial" w:eastAsia="Arial" w:hAnsi="Arial"/>
                <w:sz w:val="17"/>
                <w:szCs w:val="17"/>
                <w:color w:val="auto"/>
              </w:rPr>
              <w:t>Proceeds from the exercise of stock options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1,826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1,828</w:t>
            </w:r>
          </w:p>
        </w:tc>
        <w:tc>
          <w:tcPr>
            <w:tcW w:w="100" w:type="dxa"/>
            <w:vAlign w:val="bottom"/>
            <w:shd w:val="clear" w:color="auto" w:fill="CCEEFF"/>
          </w:tcPr>
          <w:p>
            <w:pPr>
              <w:spacing w:after="0"/>
              <w:rPr>
                <w:sz w:val="18"/>
                <w:szCs w:val="18"/>
                <w:color w:val="auto"/>
              </w:rPr>
            </w:pPr>
          </w:p>
        </w:tc>
      </w:tr>
      <w:tr>
        <w:trPr>
          <w:trHeight w:val="202"/>
        </w:trPr>
        <w:tc>
          <w:tcPr>
            <w:tcW w:w="4400" w:type="dxa"/>
            <w:vAlign w:val="bottom"/>
          </w:tcPr>
          <w:p>
            <w:pPr>
              <w:spacing w:after="0"/>
              <w:rPr>
                <w:sz w:val="20"/>
                <w:szCs w:val="20"/>
                <w:color w:val="auto"/>
              </w:rPr>
            </w:pPr>
            <w:r>
              <w:rPr>
                <w:rFonts w:ascii="Arial" w:cs="Arial" w:eastAsia="Arial" w:hAnsi="Arial"/>
                <w:sz w:val="17"/>
                <w:szCs w:val="17"/>
                <w:color w:val="auto"/>
              </w:rPr>
              <w:t>Treasury stock acquired from forfeitures and acquisition of</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8"/>
        </w:trPr>
        <w:tc>
          <w:tcPr>
            <w:tcW w:w="4400" w:type="dxa"/>
            <w:vAlign w:val="bottom"/>
          </w:tcPr>
          <w:p>
            <w:pPr>
              <w:ind w:left="220"/>
              <w:spacing w:after="0"/>
              <w:rPr>
                <w:sz w:val="20"/>
                <w:szCs w:val="20"/>
                <w:color w:val="auto"/>
              </w:rPr>
            </w:pPr>
            <w:r>
              <w:rPr>
                <w:rFonts w:ascii="Arial" w:cs="Arial" w:eastAsia="Arial" w:hAnsi="Arial"/>
                <w:sz w:val="17"/>
                <w:szCs w:val="17"/>
                <w:color w:val="auto"/>
              </w:rPr>
              <w:t>restricted shares (see Note 8)</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ind w:left="14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ind w:left="16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w w:val="91"/>
              </w:rPr>
              <w:t>(15,937)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080" w:type="dxa"/>
            <w:vAlign w:val="bottom"/>
            <w:gridSpan w:val="3"/>
          </w:tcPr>
          <w:p>
            <w:pPr>
              <w:jc w:val="right"/>
              <w:ind w:right="40"/>
              <w:spacing w:after="0"/>
              <w:rPr>
                <w:sz w:val="20"/>
                <w:szCs w:val="20"/>
                <w:color w:val="auto"/>
              </w:rPr>
            </w:pPr>
            <w:r>
              <w:rPr>
                <w:rFonts w:ascii="Arial" w:cs="Arial" w:eastAsia="Arial" w:hAnsi="Arial"/>
                <w:sz w:val="17"/>
                <w:szCs w:val="17"/>
                <w:color w:val="auto"/>
              </w:rPr>
              <w:t>(15,937)</w:t>
            </w:r>
          </w:p>
        </w:tc>
      </w:tr>
      <w:tr>
        <w:trPr>
          <w:trHeight w:val="28"/>
        </w:trPr>
        <w:tc>
          <w:tcPr>
            <w:tcW w:w="4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1"/>
        </w:trPr>
        <w:tc>
          <w:tcPr>
            <w:tcW w:w="4400" w:type="dxa"/>
            <w:vAlign w:val="bottom"/>
            <w:shd w:val="clear" w:color="auto" w:fill="CCEEFF"/>
          </w:tcPr>
          <w:p>
            <w:pPr>
              <w:spacing w:after="0"/>
              <w:rPr>
                <w:sz w:val="20"/>
                <w:szCs w:val="20"/>
                <w:color w:val="auto"/>
              </w:rPr>
            </w:pPr>
            <w:r>
              <w:rPr>
                <w:rFonts w:ascii="Arial" w:cs="Arial" w:eastAsia="Arial" w:hAnsi="Arial"/>
                <w:sz w:val="17"/>
                <w:szCs w:val="17"/>
                <w:color w:val="auto"/>
              </w:rPr>
              <w:t>Balance, March 31, 2012</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588</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400" w:type="dxa"/>
            <w:vAlign w:val="bottom"/>
            <w:shd w:val="clear" w:color="auto" w:fill="CCEEFF"/>
          </w:tcPr>
          <w:p>
            <w:pPr>
              <w:ind w:left="160"/>
              <w:spacing w:after="0"/>
              <w:rPr>
                <w:sz w:val="20"/>
                <w:szCs w:val="20"/>
                <w:color w:val="auto"/>
              </w:rPr>
            </w:pPr>
            <w:r>
              <w:rPr>
                <w:rFonts w:ascii="Arial" w:cs="Arial" w:eastAsia="Arial" w:hAnsi="Arial"/>
                <w:sz w:val="17"/>
                <w:szCs w:val="17"/>
                <w:color w:val="auto"/>
                <w:w w:val="77"/>
              </w:rPr>
              <w:t>135</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88"/>
              </w:rPr>
              <w:t>11,351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(986,773)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1"/>
              </w:rPr>
              <w:t>(17,614)</w:t>
            </w:r>
          </w:p>
        </w:tc>
        <w:tc>
          <w:tcPr>
            <w:tcW w:w="300" w:type="dxa"/>
            <w:vAlign w:val="bottom"/>
            <w:gridSpan w:val="2"/>
            <w:shd w:val="clear" w:color="auto" w:fill="CCEEFF"/>
          </w:tcPr>
          <w:p>
            <w:pPr>
              <w:jc w:val="right"/>
              <w:ind w:right="8"/>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(12,544)</w:t>
            </w: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(1,004,857)</w:t>
            </w:r>
          </w:p>
        </w:tc>
      </w:tr>
      <w:tr>
        <w:trPr>
          <w:trHeight w:val="20"/>
        </w:trPr>
        <w:tc>
          <w:tcPr>
            <w:tcW w:w="4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451" w:right="239" w:bottom="1440" w:gutter="0" w:footer="0" w:header="0"/>
        </w:sectPr>
      </w:pPr>
    </w:p>
    <w:bookmarkStart w:id="6" w:name="page7"/>
    <w:bookmarkEnd w:id="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2340" cy="3810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AMC NETWORKS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Three Months Ended March 31, 2012 and 2011</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(Dollars in thousands)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97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15"/>
              <w:spacing w:after="0"/>
              <w:rPr>
                <w:sz w:val="20"/>
                <w:szCs w:val="20"/>
                <w:color w:val="auto"/>
              </w:rPr>
            </w:pPr>
            <w:r>
              <w:rPr>
                <w:rFonts w:ascii="Arial" w:cs="Arial" w:eastAsia="Arial" w:hAnsi="Arial"/>
                <w:sz w:val="13"/>
                <w:szCs w:val="13"/>
                <w:b w:val="1"/>
                <w:bCs w:val="1"/>
                <w:color w:val="auto"/>
              </w:rPr>
              <w:t>2012</w:t>
            </w:r>
          </w:p>
        </w:tc>
        <w:tc>
          <w:tcPr>
            <w:tcW w:w="32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jc w:val="right"/>
              <w:ind w:right="115"/>
              <w:spacing w:after="0"/>
              <w:rPr>
                <w:sz w:val="20"/>
                <w:szCs w:val="20"/>
                <w:color w:val="auto"/>
              </w:rPr>
            </w:pPr>
            <w:r>
              <w:rPr>
                <w:rFonts w:ascii="Arial" w:cs="Arial" w:eastAsia="Arial" w:hAnsi="Arial"/>
                <w:sz w:val="13"/>
                <w:szCs w:val="13"/>
                <w:b w:val="1"/>
                <w:bCs w:val="1"/>
                <w:color w:val="auto"/>
              </w:rPr>
              <w:t>2011</w:t>
            </w:r>
          </w:p>
        </w:tc>
        <w:tc>
          <w:tcPr>
            <w:tcW w:w="100" w:type="dxa"/>
            <w:vAlign w:val="bottom"/>
            <w:tcBorders>
              <w:bottom w:val="single" w:sz="8" w:color="CCEEFF"/>
            </w:tcBorders>
          </w:tcPr>
          <w:p>
            <w:pPr>
              <w:spacing w:after="0"/>
              <w:rPr>
                <w:sz w:val="13"/>
                <w:szCs w:val="13"/>
                <w:color w:val="auto"/>
              </w:rPr>
            </w:pPr>
          </w:p>
        </w:tc>
      </w:tr>
      <w:tr>
        <w:trPr>
          <w:trHeight w:val="191"/>
        </w:trPr>
        <w:tc>
          <w:tcPr>
            <w:tcW w:w="9700" w:type="dxa"/>
            <w:vAlign w:val="bottom"/>
            <w:shd w:val="clear" w:color="auto" w:fill="CCEEFF"/>
          </w:tcPr>
          <w:p>
            <w:pPr>
              <w:spacing w:after="0" w:line="191" w:lineRule="exact"/>
              <w:rPr>
                <w:sz w:val="20"/>
                <w:szCs w:val="20"/>
                <w:color w:val="auto"/>
              </w:rPr>
            </w:pPr>
            <w:r>
              <w:rPr>
                <w:rFonts w:ascii="Arial" w:cs="Arial" w:eastAsia="Arial" w:hAnsi="Arial"/>
                <w:sz w:val="17"/>
                <w:szCs w:val="17"/>
                <w:color w:val="auto"/>
              </w:rPr>
              <w:t>Cash flows from operating activities:</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1"/>
        </w:trPr>
        <w:tc>
          <w:tcPr>
            <w:tcW w:w="9700" w:type="dxa"/>
            <w:vAlign w:val="bottom"/>
          </w:tcPr>
          <w:p>
            <w:pPr>
              <w:spacing w:after="0"/>
              <w:rPr>
                <w:sz w:val="20"/>
                <w:szCs w:val="20"/>
                <w:color w:val="auto"/>
              </w:rPr>
            </w:pPr>
            <w:r>
              <w:rPr>
                <w:rFonts w:ascii="Arial" w:cs="Arial" w:eastAsia="Arial" w:hAnsi="Arial"/>
                <w:sz w:val="17"/>
                <w:szCs w:val="17"/>
                <w:color w:val="auto"/>
              </w:rPr>
              <w:t>Income from continuing 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320"/>
              <w:spacing w:after="0"/>
              <w:rPr>
                <w:sz w:val="20"/>
                <w:szCs w:val="20"/>
                <w:color w:val="auto"/>
              </w:rPr>
            </w:pPr>
            <w:r>
              <w:rPr>
                <w:rFonts w:ascii="Arial" w:cs="Arial" w:eastAsia="Arial" w:hAnsi="Arial"/>
                <w:sz w:val="17"/>
                <w:szCs w:val="17"/>
                <w:color w:val="auto"/>
              </w:rPr>
              <w:t>43,077</w:t>
            </w:r>
          </w:p>
        </w:tc>
        <w:tc>
          <w:tcPr>
            <w:tcW w:w="640" w:type="dxa"/>
            <w:vAlign w:val="bottom"/>
          </w:tcPr>
          <w:p>
            <w:pPr>
              <w:jc w:val="right"/>
              <w:spacing w:after="0"/>
              <w:rPr>
                <w:sz w:val="20"/>
                <w:szCs w:val="20"/>
                <w:color w:val="auto"/>
              </w:rPr>
            </w:pPr>
            <w:r>
              <w:rPr>
                <w:rFonts w:ascii="Arial" w:cs="Arial" w:eastAsia="Arial" w:hAnsi="Arial"/>
                <w:sz w:val="17"/>
                <w:szCs w:val="17"/>
                <w:color w:val="auto"/>
                <w:w w:val="93"/>
              </w:rPr>
              <w:t>$ 29,722</w:t>
            </w:r>
          </w:p>
        </w:tc>
        <w:tc>
          <w:tcPr>
            <w:tcW w:w="100" w:type="dxa"/>
            <w:vAlign w:val="bottom"/>
          </w:tcPr>
          <w:p>
            <w:pPr>
              <w:spacing w:after="0"/>
              <w:rPr>
                <w:sz w:val="18"/>
                <w:szCs w:val="18"/>
                <w:color w:val="auto"/>
              </w:rPr>
            </w:pPr>
          </w:p>
        </w:tc>
      </w:tr>
      <w:tr>
        <w:trPr>
          <w:trHeight w:val="211"/>
        </w:trPr>
        <w:tc>
          <w:tcPr>
            <w:tcW w:w="9700" w:type="dxa"/>
            <w:vAlign w:val="bottom"/>
            <w:shd w:val="clear" w:color="auto" w:fill="CCEEFF"/>
          </w:tcPr>
          <w:p>
            <w:pPr>
              <w:spacing w:after="0"/>
              <w:rPr>
                <w:sz w:val="20"/>
                <w:szCs w:val="20"/>
                <w:color w:val="auto"/>
              </w:rPr>
            </w:pPr>
            <w:r>
              <w:rPr>
                <w:rFonts w:ascii="Arial" w:cs="Arial" w:eastAsia="Arial" w:hAnsi="Arial"/>
                <w:sz w:val="17"/>
                <w:szCs w:val="17"/>
                <w:color w:val="auto"/>
              </w:rPr>
              <w:t>Adjustments to reconcile income from continuing operations to net cash provided by operating activities: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1"/>
        </w:trPr>
        <w:tc>
          <w:tcPr>
            <w:tcW w:w="9700" w:type="dxa"/>
            <w:vAlign w:val="bottom"/>
          </w:tcPr>
          <w:p>
            <w:pPr>
              <w:ind w:left="420"/>
              <w:spacing w:after="0"/>
              <w:rPr>
                <w:sz w:val="20"/>
                <w:szCs w:val="20"/>
                <w:color w:val="auto"/>
              </w:rPr>
            </w:pPr>
            <w:r>
              <w:rPr>
                <w:rFonts w:ascii="Arial" w:cs="Arial" w:eastAsia="Arial" w:hAnsi="Arial"/>
                <w:sz w:val="17"/>
                <w:szCs w:val="17"/>
                <w:color w:val="auto"/>
              </w:rPr>
              <w:t>Depreciation and amortization</w:t>
            </w: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7"/>
                <w:szCs w:val="17"/>
                <w:color w:val="auto"/>
              </w:rPr>
              <w:t>25,051</w:t>
            </w:r>
          </w:p>
        </w:tc>
        <w:tc>
          <w:tcPr>
            <w:tcW w:w="640" w:type="dxa"/>
            <w:vAlign w:val="bottom"/>
          </w:tcPr>
          <w:p>
            <w:pPr>
              <w:jc w:val="right"/>
              <w:spacing w:after="0"/>
              <w:rPr>
                <w:sz w:val="20"/>
                <w:szCs w:val="20"/>
                <w:color w:val="auto"/>
              </w:rPr>
            </w:pPr>
            <w:r>
              <w:rPr>
                <w:rFonts w:ascii="Arial" w:cs="Arial" w:eastAsia="Arial" w:hAnsi="Arial"/>
                <w:sz w:val="17"/>
                <w:szCs w:val="17"/>
                <w:color w:val="auto"/>
              </w:rPr>
              <w:t>24,926</w:t>
            </w:r>
          </w:p>
        </w:tc>
        <w:tc>
          <w:tcPr>
            <w:tcW w:w="100" w:type="dxa"/>
            <w:vAlign w:val="bottom"/>
          </w:tcPr>
          <w:p>
            <w:pPr>
              <w:spacing w:after="0"/>
              <w:rPr>
                <w:sz w:val="18"/>
                <w:szCs w:val="18"/>
                <w:color w:val="auto"/>
              </w:rPr>
            </w:pPr>
          </w:p>
        </w:tc>
      </w:tr>
      <w:tr>
        <w:trPr>
          <w:trHeight w:val="211"/>
        </w:trPr>
        <w:tc>
          <w:tcPr>
            <w:tcW w:w="9700" w:type="dxa"/>
            <w:vAlign w:val="bottom"/>
            <w:shd w:val="clear" w:color="auto" w:fill="CCEEFF"/>
          </w:tcPr>
          <w:p>
            <w:pPr>
              <w:ind w:left="420"/>
              <w:spacing w:after="0"/>
              <w:rPr>
                <w:sz w:val="20"/>
                <w:szCs w:val="20"/>
                <w:color w:val="auto"/>
              </w:rPr>
            </w:pPr>
            <w:r>
              <w:rPr>
                <w:rFonts w:ascii="Arial" w:cs="Arial" w:eastAsia="Arial" w:hAnsi="Arial"/>
                <w:sz w:val="17"/>
                <w:szCs w:val="17"/>
                <w:color w:val="auto"/>
              </w:rPr>
              <w:t>Share-based compensation expense related to equity classified awards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3,583</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3,931</w:t>
            </w:r>
          </w:p>
        </w:tc>
        <w:tc>
          <w:tcPr>
            <w:tcW w:w="100" w:type="dxa"/>
            <w:vAlign w:val="bottom"/>
            <w:shd w:val="clear" w:color="auto" w:fill="CCEEFF"/>
          </w:tcPr>
          <w:p>
            <w:pPr>
              <w:spacing w:after="0"/>
              <w:rPr>
                <w:sz w:val="18"/>
                <w:szCs w:val="18"/>
                <w:color w:val="auto"/>
              </w:rPr>
            </w:pPr>
          </w:p>
        </w:tc>
      </w:tr>
      <w:tr>
        <w:trPr>
          <w:trHeight w:val="211"/>
        </w:trPr>
        <w:tc>
          <w:tcPr>
            <w:tcW w:w="9700" w:type="dxa"/>
            <w:vAlign w:val="bottom"/>
          </w:tcPr>
          <w:p>
            <w:pPr>
              <w:ind w:left="420"/>
              <w:spacing w:after="0"/>
              <w:rPr>
                <w:sz w:val="20"/>
                <w:szCs w:val="20"/>
                <w:color w:val="auto"/>
              </w:rPr>
            </w:pPr>
            <w:r>
              <w:rPr>
                <w:rFonts w:ascii="Arial" w:cs="Arial" w:eastAsia="Arial" w:hAnsi="Arial"/>
                <w:sz w:val="17"/>
                <w:szCs w:val="17"/>
                <w:color w:val="auto"/>
              </w:rPr>
              <w:t>Amortization and write-off of program rights</w:t>
            </w: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7"/>
                <w:szCs w:val="17"/>
                <w:color w:val="auto"/>
              </w:rPr>
              <w:t>67,442</w:t>
            </w:r>
          </w:p>
        </w:tc>
        <w:tc>
          <w:tcPr>
            <w:tcW w:w="640" w:type="dxa"/>
            <w:vAlign w:val="bottom"/>
          </w:tcPr>
          <w:p>
            <w:pPr>
              <w:jc w:val="right"/>
              <w:spacing w:after="0"/>
              <w:rPr>
                <w:sz w:val="20"/>
                <w:szCs w:val="20"/>
                <w:color w:val="auto"/>
              </w:rPr>
            </w:pPr>
            <w:r>
              <w:rPr>
                <w:rFonts w:ascii="Arial" w:cs="Arial" w:eastAsia="Arial" w:hAnsi="Arial"/>
                <w:sz w:val="17"/>
                <w:szCs w:val="17"/>
                <w:color w:val="auto"/>
              </w:rPr>
              <w:t>54,417</w:t>
            </w:r>
          </w:p>
        </w:tc>
        <w:tc>
          <w:tcPr>
            <w:tcW w:w="100" w:type="dxa"/>
            <w:vAlign w:val="bottom"/>
          </w:tcPr>
          <w:p>
            <w:pPr>
              <w:spacing w:after="0"/>
              <w:rPr>
                <w:sz w:val="18"/>
                <w:szCs w:val="18"/>
                <w:color w:val="auto"/>
              </w:rPr>
            </w:pPr>
          </w:p>
        </w:tc>
      </w:tr>
      <w:tr>
        <w:trPr>
          <w:trHeight w:val="211"/>
        </w:trPr>
        <w:tc>
          <w:tcPr>
            <w:tcW w:w="9700" w:type="dxa"/>
            <w:vAlign w:val="bottom"/>
            <w:shd w:val="clear" w:color="auto" w:fill="CCEEFF"/>
          </w:tcPr>
          <w:p>
            <w:pPr>
              <w:ind w:left="420"/>
              <w:spacing w:after="0"/>
              <w:rPr>
                <w:sz w:val="20"/>
                <w:szCs w:val="20"/>
                <w:color w:val="auto"/>
              </w:rPr>
            </w:pPr>
            <w:r>
              <w:rPr>
                <w:rFonts w:ascii="Arial" w:cs="Arial" w:eastAsia="Arial" w:hAnsi="Arial"/>
                <w:sz w:val="17"/>
                <w:szCs w:val="17"/>
                <w:color w:val="auto"/>
              </w:rPr>
              <w:t>Amortization of deferred carriage fees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2,184</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5,993</w:t>
            </w:r>
          </w:p>
        </w:tc>
        <w:tc>
          <w:tcPr>
            <w:tcW w:w="100" w:type="dxa"/>
            <w:vAlign w:val="bottom"/>
            <w:shd w:val="clear" w:color="auto" w:fill="CCEEFF"/>
          </w:tcPr>
          <w:p>
            <w:pPr>
              <w:spacing w:after="0"/>
              <w:rPr>
                <w:sz w:val="18"/>
                <w:szCs w:val="18"/>
                <w:color w:val="auto"/>
              </w:rPr>
            </w:pPr>
          </w:p>
        </w:tc>
      </w:tr>
      <w:tr>
        <w:trPr>
          <w:trHeight w:val="211"/>
        </w:trPr>
        <w:tc>
          <w:tcPr>
            <w:tcW w:w="9700" w:type="dxa"/>
            <w:vAlign w:val="bottom"/>
          </w:tcPr>
          <w:p>
            <w:pPr>
              <w:ind w:left="420"/>
              <w:spacing w:after="0"/>
              <w:rPr>
                <w:sz w:val="20"/>
                <w:szCs w:val="20"/>
                <w:color w:val="auto"/>
              </w:rPr>
            </w:pPr>
            <w:r>
              <w:rPr>
                <w:rFonts w:ascii="Arial" w:cs="Arial" w:eastAsia="Arial" w:hAnsi="Arial"/>
                <w:sz w:val="17"/>
                <w:szCs w:val="17"/>
                <w:color w:val="auto"/>
              </w:rPr>
              <w:t>Amortization and write-off of deferred financing costs and discounts on indebtedness</w:t>
            </w: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7"/>
                <w:szCs w:val="17"/>
                <w:color w:val="auto"/>
              </w:rPr>
              <w:t>2,505</w:t>
            </w:r>
          </w:p>
        </w:tc>
        <w:tc>
          <w:tcPr>
            <w:tcW w:w="640" w:type="dxa"/>
            <w:vAlign w:val="bottom"/>
          </w:tcPr>
          <w:p>
            <w:pPr>
              <w:jc w:val="right"/>
              <w:spacing w:after="0"/>
              <w:rPr>
                <w:sz w:val="20"/>
                <w:szCs w:val="20"/>
                <w:color w:val="auto"/>
              </w:rPr>
            </w:pPr>
            <w:r>
              <w:rPr>
                <w:rFonts w:ascii="Arial" w:cs="Arial" w:eastAsia="Arial" w:hAnsi="Arial"/>
                <w:sz w:val="17"/>
                <w:szCs w:val="17"/>
                <w:color w:val="auto"/>
              </w:rPr>
              <w:t>942</w:t>
            </w:r>
          </w:p>
        </w:tc>
        <w:tc>
          <w:tcPr>
            <w:tcW w:w="100" w:type="dxa"/>
            <w:vAlign w:val="bottom"/>
          </w:tcPr>
          <w:p>
            <w:pPr>
              <w:spacing w:after="0"/>
              <w:rPr>
                <w:sz w:val="18"/>
                <w:szCs w:val="18"/>
                <w:color w:val="auto"/>
              </w:rPr>
            </w:pPr>
          </w:p>
        </w:tc>
      </w:tr>
      <w:tr>
        <w:trPr>
          <w:trHeight w:val="211"/>
        </w:trPr>
        <w:tc>
          <w:tcPr>
            <w:tcW w:w="9700" w:type="dxa"/>
            <w:vAlign w:val="bottom"/>
            <w:shd w:val="clear" w:color="auto" w:fill="CCEEFF"/>
          </w:tcPr>
          <w:p>
            <w:pPr>
              <w:ind w:left="420"/>
              <w:spacing w:after="0"/>
              <w:rPr>
                <w:sz w:val="20"/>
                <w:szCs w:val="20"/>
                <w:color w:val="auto"/>
              </w:rPr>
            </w:pPr>
            <w:r>
              <w:rPr>
                <w:rFonts w:ascii="Arial" w:cs="Arial" w:eastAsia="Arial" w:hAnsi="Arial"/>
                <w:sz w:val="17"/>
                <w:szCs w:val="17"/>
                <w:color w:val="auto"/>
              </w:rPr>
              <w:t>Provision for doubtful accounts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105</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935</w:t>
            </w:r>
          </w:p>
        </w:tc>
        <w:tc>
          <w:tcPr>
            <w:tcW w:w="100" w:type="dxa"/>
            <w:vAlign w:val="bottom"/>
            <w:shd w:val="clear" w:color="auto" w:fill="CCEEFF"/>
          </w:tcPr>
          <w:p>
            <w:pPr>
              <w:spacing w:after="0"/>
              <w:rPr>
                <w:sz w:val="18"/>
                <w:szCs w:val="18"/>
                <w:color w:val="auto"/>
              </w:rPr>
            </w:pPr>
          </w:p>
        </w:tc>
      </w:tr>
      <w:tr>
        <w:trPr>
          <w:trHeight w:val="211"/>
        </w:trPr>
        <w:tc>
          <w:tcPr>
            <w:tcW w:w="9700" w:type="dxa"/>
            <w:vAlign w:val="bottom"/>
          </w:tcPr>
          <w:p>
            <w:pPr>
              <w:ind w:left="420"/>
              <w:spacing w:after="0"/>
              <w:rPr>
                <w:sz w:val="20"/>
                <w:szCs w:val="20"/>
                <w:color w:val="auto"/>
              </w:rPr>
            </w:pPr>
            <w:r>
              <w:rPr>
                <w:rFonts w:ascii="Arial" w:cs="Arial" w:eastAsia="Arial" w:hAnsi="Arial"/>
                <w:sz w:val="17"/>
                <w:szCs w:val="17"/>
                <w:color w:val="auto"/>
              </w:rPr>
              <w:t>Deferred income taxes</w:t>
            </w: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7"/>
                <w:szCs w:val="17"/>
                <w:color w:val="auto"/>
              </w:rPr>
              <w:t>18,806</w:t>
            </w:r>
          </w:p>
        </w:tc>
        <w:tc>
          <w:tcPr>
            <w:tcW w:w="640" w:type="dxa"/>
            <w:vAlign w:val="bottom"/>
          </w:tcPr>
          <w:p>
            <w:pPr>
              <w:jc w:val="right"/>
              <w:spacing w:after="0"/>
              <w:rPr>
                <w:sz w:val="20"/>
                <w:szCs w:val="20"/>
                <w:color w:val="auto"/>
              </w:rPr>
            </w:pPr>
            <w:r>
              <w:rPr>
                <w:rFonts w:ascii="Arial" w:cs="Arial" w:eastAsia="Arial" w:hAnsi="Arial"/>
                <w:sz w:val="17"/>
                <w:szCs w:val="17"/>
                <w:color w:val="auto"/>
              </w:rPr>
              <w:t>18,352</w:t>
            </w:r>
          </w:p>
        </w:tc>
        <w:tc>
          <w:tcPr>
            <w:tcW w:w="100" w:type="dxa"/>
            <w:vAlign w:val="bottom"/>
          </w:tcPr>
          <w:p>
            <w:pPr>
              <w:spacing w:after="0"/>
              <w:rPr>
                <w:sz w:val="18"/>
                <w:szCs w:val="18"/>
                <w:color w:val="auto"/>
              </w:rPr>
            </w:pPr>
          </w:p>
        </w:tc>
      </w:tr>
      <w:tr>
        <w:trPr>
          <w:trHeight w:val="211"/>
        </w:trPr>
        <w:tc>
          <w:tcPr>
            <w:tcW w:w="9700" w:type="dxa"/>
            <w:vAlign w:val="bottom"/>
            <w:shd w:val="clear" w:color="auto" w:fill="CCEEFF"/>
          </w:tcPr>
          <w:p>
            <w:pPr>
              <w:spacing w:after="0"/>
              <w:rPr>
                <w:sz w:val="20"/>
                <w:szCs w:val="20"/>
                <w:color w:val="auto"/>
              </w:rPr>
            </w:pPr>
            <w:r>
              <w:rPr>
                <w:rFonts w:ascii="Arial" w:cs="Arial" w:eastAsia="Arial" w:hAnsi="Arial"/>
                <w:sz w:val="17"/>
                <w:szCs w:val="17"/>
                <w:color w:val="auto"/>
              </w:rPr>
              <w:t>Changes in assets and liabilities: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1"/>
        </w:trPr>
        <w:tc>
          <w:tcPr>
            <w:tcW w:w="9700" w:type="dxa"/>
            <w:vAlign w:val="bottom"/>
          </w:tcPr>
          <w:p>
            <w:pPr>
              <w:ind w:left="420"/>
              <w:spacing w:after="0"/>
              <w:rPr>
                <w:sz w:val="20"/>
                <w:szCs w:val="20"/>
                <w:color w:val="auto"/>
              </w:rPr>
            </w:pPr>
            <w:r>
              <w:rPr>
                <w:rFonts w:ascii="Arial" w:cs="Arial" w:eastAsia="Arial" w:hAnsi="Arial"/>
                <w:sz w:val="17"/>
                <w:szCs w:val="17"/>
                <w:color w:val="auto"/>
              </w:rPr>
              <w:t>Accounts receivable, trade</w:t>
            </w: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7"/>
                <w:szCs w:val="17"/>
                <w:color w:val="auto"/>
              </w:rPr>
              <w:t>1,327</w:t>
            </w:r>
          </w:p>
        </w:tc>
        <w:tc>
          <w:tcPr>
            <w:tcW w:w="640" w:type="dxa"/>
            <w:vAlign w:val="bottom"/>
          </w:tcPr>
          <w:p>
            <w:pPr>
              <w:jc w:val="right"/>
              <w:spacing w:after="0"/>
              <w:rPr>
                <w:sz w:val="20"/>
                <w:szCs w:val="20"/>
                <w:color w:val="auto"/>
              </w:rPr>
            </w:pPr>
            <w:r>
              <w:rPr>
                <w:rFonts w:ascii="Arial" w:cs="Arial" w:eastAsia="Arial" w:hAnsi="Arial"/>
                <w:sz w:val="17"/>
                <w:szCs w:val="17"/>
                <w:color w:val="auto"/>
              </w:rPr>
              <w:t>17,856</w:t>
            </w:r>
          </w:p>
        </w:tc>
        <w:tc>
          <w:tcPr>
            <w:tcW w:w="100" w:type="dxa"/>
            <w:vAlign w:val="bottom"/>
          </w:tcPr>
          <w:p>
            <w:pPr>
              <w:spacing w:after="0"/>
              <w:rPr>
                <w:sz w:val="18"/>
                <w:szCs w:val="18"/>
                <w:color w:val="auto"/>
              </w:rPr>
            </w:pPr>
          </w:p>
        </w:tc>
      </w:tr>
      <w:tr>
        <w:trPr>
          <w:trHeight w:val="211"/>
        </w:trPr>
        <w:tc>
          <w:tcPr>
            <w:tcW w:w="9700" w:type="dxa"/>
            <w:vAlign w:val="bottom"/>
            <w:shd w:val="clear" w:color="auto" w:fill="CCEEFF"/>
          </w:tcPr>
          <w:p>
            <w:pPr>
              <w:ind w:left="420"/>
              <w:spacing w:after="0"/>
              <w:rPr>
                <w:sz w:val="20"/>
                <w:szCs w:val="20"/>
                <w:color w:val="auto"/>
              </w:rPr>
            </w:pPr>
            <w:r>
              <w:rPr>
                <w:rFonts w:ascii="Arial" w:cs="Arial" w:eastAsia="Arial" w:hAnsi="Arial"/>
                <w:sz w:val="17"/>
                <w:szCs w:val="17"/>
                <w:color w:val="auto"/>
              </w:rPr>
              <w:t>Amounts due from/to related parties, net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(3,922)</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(12,613)</w:t>
            </w:r>
          </w:p>
        </w:tc>
      </w:tr>
      <w:tr>
        <w:trPr>
          <w:trHeight w:val="211"/>
        </w:trPr>
        <w:tc>
          <w:tcPr>
            <w:tcW w:w="9700" w:type="dxa"/>
            <w:vAlign w:val="bottom"/>
          </w:tcPr>
          <w:p>
            <w:pPr>
              <w:ind w:left="420"/>
              <w:spacing w:after="0"/>
              <w:rPr>
                <w:sz w:val="20"/>
                <w:szCs w:val="20"/>
                <w:color w:val="auto"/>
              </w:rPr>
            </w:pPr>
            <w:r>
              <w:rPr>
                <w:rFonts w:ascii="Arial" w:cs="Arial" w:eastAsia="Arial" w:hAnsi="Arial"/>
                <w:sz w:val="17"/>
                <w:szCs w:val="17"/>
                <w:color w:val="auto"/>
              </w:rPr>
              <w:t>Prepaid expenses and other assets</w:t>
            </w: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7"/>
                <w:szCs w:val="17"/>
                <w:color w:val="auto"/>
              </w:rPr>
              <w:t>29,046</w:t>
            </w: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(892)</w:t>
            </w:r>
          </w:p>
        </w:tc>
      </w:tr>
      <w:tr>
        <w:trPr>
          <w:trHeight w:val="211"/>
        </w:trPr>
        <w:tc>
          <w:tcPr>
            <w:tcW w:w="9700" w:type="dxa"/>
            <w:vAlign w:val="bottom"/>
            <w:shd w:val="clear" w:color="auto" w:fill="CCEEFF"/>
          </w:tcPr>
          <w:p>
            <w:pPr>
              <w:ind w:left="420"/>
              <w:spacing w:after="0"/>
              <w:rPr>
                <w:sz w:val="20"/>
                <w:szCs w:val="20"/>
                <w:color w:val="auto"/>
              </w:rPr>
            </w:pPr>
            <w:r>
              <w:rPr>
                <w:rFonts w:ascii="Arial" w:cs="Arial" w:eastAsia="Arial" w:hAnsi="Arial"/>
                <w:sz w:val="17"/>
                <w:szCs w:val="17"/>
                <w:color w:val="auto"/>
              </w:rPr>
              <w:t>Program rights and obligations, net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w w:val="94"/>
              </w:rPr>
              <w:t>(81,028)</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(63,791)</w:t>
            </w:r>
          </w:p>
        </w:tc>
      </w:tr>
      <w:tr>
        <w:trPr>
          <w:trHeight w:val="211"/>
        </w:trPr>
        <w:tc>
          <w:tcPr>
            <w:tcW w:w="9700" w:type="dxa"/>
            <w:vAlign w:val="bottom"/>
          </w:tcPr>
          <w:p>
            <w:pPr>
              <w:ind w:left="420"/>
              <w:spacing w:after="0"/>
              <w:rPr>
                <w:sz w:val="20"/>
                <w:szCs w:val="20"/>
                <w:color w:val="auto"/>
              </w:rPr>
            </w:pPr>
            <w:r>
              <w:rPr>
                <w:rFonts w:ascii="Arial" w:cs="Arial" w:eastAsia="Arial" w:hAnsi="Arial"/>
                <w:sz w:val="17"/>
                <w:szCs w:val="17"/>
                <w:color w:val="auto"/>
              </w:rPr>
              <w:t>Deferred carriage fees and deferred carriage fees payable, net</w:t>
            </w: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7"/>
                <w:szCs w:val="17"/>
                <w:color w:val="auto"/>
              </w:rPr>
              <w:t>(148)</w:t>
            </w: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(2,008)</w:t>
            </w:r>
          </w:p>
        </w:tc>
      </w:tr>
      <w:tr>
        <w:trPr>
          <w:trHeight w:val="211"/>
        </w:trPr>
        <w:tc>
          <w:tcPr>
            <w:tcW w:w="9700" w:type="dxa"/>
            <w:vAlign w:val="bottom"/>
            <w:shd w:val="clear" w:color="auto" w:fill="CCEEFF"/>
          </w:tcPr>
          <w:p>
            <w:pPr>
              <w:ind w:left="420"/>
              <w:spacing w:after="0"/>
              <w:rPr>
                <w:sz w:val="20"/>
                <w:szCs w:val="20"/>
                <w:color w:val="auto"/>
              </w:rPr>
            </w:pPr>
            <w:r>
              <w:rPr>
                <w:rFonts w:ascii="Arial" w:cs="Arial" w:eastAsia="Arial" w:hAnsi="Arial"/>
                <w:sz w:val="17"/>
                <w:szCs w:val="17"/>
                <w:color w:val="auto"/>
              </w:rPr>
              <w:t>Accounts payable, accrued expenses and other liabilities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w w:val="94"/>
              </w:rPr>
              <w:t>(31,065)</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(29,334)</w:t>
            </w:r>
          </w:p>
        </w:tc>
      </w:tr>
      <w:tr>
        <w:trPr>
          <w:trHeight w:val="223"/>
        </w:trPr>
        <w:tc>
          <w:tcPr>
            <w:tcW w:w="9700" w:type="dxa"/>
            <w:vAlign w:val="bottom"/>
          </w:tcPr>
          <w:p>
            <w:pPr>
              <w:ind w:left="840"/>
              <w:spacing w:after="0"/>
              <w:rPr>
                <w:sz w:val="20"/>
                <w:szCs w:val="20"/>
                <w:color w:val="auto"/>
              </w:rPr>
            </w:pPr>
            <w:r>
              <w:rPr>
                <w:rFonts w:ascii="Arial" w:cs="Arial" w:eastAsia="Arial" w:hAnsi="Arial"/>
                <w:sz w:val="17"/>
                <w:szCs w:val="17"/>
                <w:color w:val="auto"/>
              </w:rPr>
              <w:t>Net cash provided by operating activities</w:t>
            </w:r>
          </w:p>
        </w:tc>
        <w:tc>
          <w:tcPr>
            <w:tcW w:w="1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76,963</w:t>
            </w:r>
          </w:p>
        </w:tc>
        <w:tc>
          <w:tcPr>
            <w:tcW w:w="32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48,436</w:t>
            </w:r>
          </w:p>
        </w:tc>
        <w:tc>
          <w:tcPr>
            <w:tcW w:w="100" w:type="dxa"/>
            <w:vAlign w:val="bottom"/>
          </w:tcPr>
          <w:p>
            <w:pPr>
              <w:spacing w:after="0"/>
              <w:rPr>
                <w:sz w:val="19"/>
                <w:szCs w:val="19"/>
                <w:color w:val="auto"/>
              </w:rPr>
            </w:pPr>
          </w:p>
        </w:tc>
      </w:tr>
      <w:tr>
        <w:trPr>
          <w:trHeight w:val="211"/>
        </w:trPr>
        <w:tc>
          <w:tcPr>
            <w:tcW w:w="9700" w:type="dxa"/>
            <w:vAlign w:val="bottom"/>
            <w:shd w:val="clear" w:color="auto" w:fill="CCEEFF"/>
          </w:tcPr>
          <w:p>
            <w:pPr>
              <w:spacing w:after="0"/>
              <w:rPr>
                <w:sz w:val="20"/>
                <w:szCs w:val="20"/>
                <w:color w:val="auto"/>
              </w:rPr>
            </w:pPr>
            <w:r>
              <w:rPr>
                <w:rFonts w:ascii="Arial" w:cs="Arial" w:eastAsia="Arial" w:hAnsi="Arial"/>
                <w:sz w:val="17"/>
                <w:szCs w:val="17"/>
                <w:color w:val="auto"/>
              </w:rPr>
              <w:t>Cash flows from investing activities: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1"/>
        </w:trPr>
        <w:tc>
          <w:tcPr>
            <w:tcW w:w="9700" w:type="dxa"/>
            <w:vAlign w:val="bottom"/>
          </w:tcPr>
          <w:p>
            <w:pPr>
              <w:ind w:left="420"/>
              <w:spacing w:after="0"/>
              <w:rPr>
                <w:sz w:val="20"/>
                <w:szCs w:val="20"/>
                <w:color w:val="auto"/>
              </w:rPr>
            </w:pPr>
            <w:r>
              <w:rPr>
                <w:rFonts w:ascii="Arial" w:cs="Arial" w:eastAsia="Arial" w:hAnsi="Arial"/>
                <w:sz w:val="17"/>
                <w:szCs w:val="17"/>
                <w:color w:val="auto"/>
              </w:rPr>
              <w:t>Capital expenditures</w:t>
            </w: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7"/>
                <w:szCs w:val="17"/>
                <w:color w:val="auto"/>
              </w:rPr>
              <w:t>(2,838)</w:t>
            </w: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(1,599)</w:t>
            </w:r>
          </w:p>
        </w:tc>
      </w:tr>
      <w:tr>
        <w:trPr>
          <w:trHeight w:val="211"/>
        </w:trPr>
        <w:tc>
          <w:tcPr>
            <w:tcW w:w="9700" w:type="dxa"/>
            <w:vAlign w:val="bottom"/>
            <w:shd w:val="clear" w:color="auto" w:fill="CCEEFF"/>
          </w:tcPr>
          <w:p>
            <w:pPr>
              <w:ind w:left="420"/>
              <w:spacing w:after="0"/>
              <w:rPr>
                <w:sz w:val="20"/>
                <w:szCs w:val="20"/>
                <w:color w:val="auto"/>
              </w:rPr>
            </w:pPr>
            <w:r>
              <w:rPr>
                <w:rFonts w:ascii="Arial" w:cs="Arial" w:eastAsia="Arial" w:hAnsi="Arial"/>
                <w:sz w:val="17"/>
                <w:szCs w:val="17"/>
                <w:color w:val="auto"/>
              </w:rPr>
              <w:t>Payment for acquisition of a business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(135)</w:t>
            </w:r>
          </w:p>
        </w:tc>
      </w:tr>
      <w:tr>
        <w:trPr>
          <w:trHeight w:val="217"/>
        </w:trPr>
        <w:tc>
          <w:tcPr>
            <w:tcW w:w="9700" w:type="dxa"/>
            <w:vAlign w:val="bottom"/>
          </w:tcPr>
          <w:p>
            <w:pPr>
              <w:ind w:left="420"/>
              <w:spacing w:after="0"/>
              <w:rPr>
                <w:sz w:val="20"/>
                <w:szCs w:val="20"/>
                <w:color w:val="auto"/>
              </w:rPr>
            </w:pPr>
            <w:r>
              <w:rPr>
                <w:rFonts w:ascii="Arial" w:cs="Arial" w:eastAsia="Arial" w:hAnsi="Arial"/>
                <w:sz w:val="17"/>
                <w:szCs w:val="17"/>
                <w:color w:val="auto"/>
              </w:rPr>
              <w:t>Proceeds from sale of equipment, net of costs of disposal</w:t>
            </w: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w:t>
            </w:r>
          </w:p>
        </w:tc>
        <w:tc>
          <w:tcPr>
            <w:tcW w:w="100" w:type="dxa"/>
            <w:vAlign w:val="bottom"/>
          </w:tcPr>
          <w:p>
            <w:pPr>
              <w:spacing w:after="0"/>
              <w:rPr>
                <w:sz w:val="18"/>
                <w:szCs w:val="18"/>
                <w:color w:val="auto"/>
              </w:rPr>
            </w:pPr>
          </w:p>
        </w:tc>
      </w:tr>
      <w:tr>
        <w:trPr>
          <w:trHeight w:val="211"/>
        </w:trPr>
        <w:tc>
          <w:tcPr>
            <w:tcW w:w="9700" w:type="dxa"/>
            <w:vAlign w:val="bottom"/>
            <w:shd w:val="clear" w:color="auto" w:fill="CCEEFF"/>
          </w:tcPr>
          <w:p>
            <w:pPr>
              <w:ind w:left="840"/>
              <w:spacing w:after="0"/>
              <w:rPr>
                <w:sz w:val="20"/>
                <w:szCs w:val="20"/>
                <w:color w:val="auto"/>
              </w:rPr>
            </w:pPr>
            <w:r>
              <w:rPr>
                <w:rFonts w:ascii="Arial" w:cs="Arial" w:eastAsia="Arial" w:hAnsi="Arial"/>
                <w:sz w:val="17"/>
                <w:szCs w:val="17"/>
                <w:color w:val="auto"/>
              </w:rPr>
              <w:t>Net cash used in investing activities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(2,838)</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(1,721)</w:t>
            </w:r>
          </w:p>
        </w:tc>
      </w:tr>
      <w:tr>
        <w:trPr>
          <w:trHeight w:val="216"/>
        </w:trPr>
        <w:tc>
          <w:tcPr>
            <w:tcW w:w="9700" w:type="dxa"/>
            <w:vAlign w:val="bottom"/>
          </w:tcPr>
          <w:p>
            <w:pPr>
              <w:spacing w:after="0"/>
              <w:rPr>
                <w:sz w:val="20"/>
                <w:szCs w:val="20"/>
                <w:color w:val="auto"/>
              </w:rPr>
            </w:pPr>
            <w:r>
              <w:rPr>
                <w:rFonts w:ascii="Arial" w:cs="Arial" w:eastAsia="Arial" w:hAnsi="Arial"/>
                <w:sz w:val="17"/>
                <w:szCs w:val="17"/>
                <w:color w:val="auto"/>
              </w:rPr>
              <w:t>Cash flows from financing activities:</w:t>
            </w: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9700" w:type="dxa"/>
            <w:vAlign w:val="bottom"/>
            <w:shd w:val="clear" w:color="auto" w:fill="CCEEFF"/>
          </w:tcPr>
          <w:p>
            <w:pPr>
              <w:ind w:left="420"/>
              <w:spacing w:after="0"/>
              <w:rPr>
                <w:sz w:val="20"/>
                <w:szCs w:val="20"/>
                <w:color w:val="auto"/>
              </w:rPr>
            </w:pPr>
            <w:r>
              <w:rPr>
                <w:rFonts w:ascii="Arial" w:cs="Arial" w:eastAsia="Arial" w:hAnsi="Arial"/>
                <w:sz w:val="17"/>
                <w:szCs w:val="17"/>
                <w:color w:val="auto"/>
              </w:rPr>
              <w:t>Capital contributions from Cablevision</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20,813</w:t>
            </w:r>
          </w:p>
        </w:tc>
        <w:tc>
          <w:tcPr>
            <w:tcW w:w="100" w:type="dxa"/>
            <w:vAlign w:val="bottom"/>
            <w:shd w:val="clear" w:color="auto" w:fill="CCEEFF"/>
          </w:tcPr>
          <w:p>
            <w:pPr>
              <w:spacing w:after="0"/>
              <w:rPr>
                <w:sz w:val="18"/>
                <w:szCs w:val="18"/>
                <w:color w:val="auto"/>
              </w:rPr>
            </w:pPr>
          </w:p>
        </w:tc>
      </w:tr>
      <w:tr>
        <w:trPr>
          <w:trHeight w:val="211"/>
        </w:trPr>
        <w:tc>
          <w:tcPr>
            <w:tcW w:w="9700" w:type="dxa"/>
            <w:vAlign w:val="bottom"/>
          </w:tcPr>
          <w:p>
            <w:pPr>
              <w:ind w:left="420"/>
              <w:spacing w:after="0"/>
              <w:rPr>
                <w:sz w:val="20"/>
                <w:szCs w:val="20"/>
                <w:color w:val="auto"/>
              </w:rPr>
            </w:pPr>
            <w:r>
              <w:rPr>
                <w:rFonts w:ascii="Arial" w:cs="Arial" w:eastAsia="Arial" w:hAnsi="Arial"/>
                <w:sz w:val="17"/>
                <w:szCs w:val="17"/>
                <w:color w:val="auto"/>
              </w:rPr>
              <w:t>Repayment of credit facility debt</w:t>
            </w: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7"/>
                <w:szCs w:val="17"/>
                <w:color w:val="auto"/>
                <w:w w:val="94"/>
              </w:rPr>
              <w:t>(51,488)</w:t>
            </w: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(62,500)</w:t>
            </w:r>
          </w:p>
        </w:tc>
      </w:tr>
      <w:tr>
        <w:trPr>
          <w:trHeight w:val="211"/>
        </w:trPr>
        <w:tc>
          <w:tcPr>
            <w:tcW w:w="9700" w:type="dxa"/>
            <w:vAlign w:val="bottom"/>
            <w:shd w:val="clear" w:color="auto" w:fill="CCEEFF"/>
          </w:tcPr>
          <w:p>
            <w:pPr>
              <w:ind w:left="420"/>
              <w:spacing w:after="0"/>
              <w:rPr>
                <w:sz w:val="20"/>
                <w:szCs w:val="20"/>
                <w:color w:val="auto"/>
              </w:rPr>
            </w:pPr>
            <w:r>
              <w:rPr>
                <w:rFonts w:ascii="Arial" w:cs="Arial" w:eastAsia="Arial" w:hAnsi="Arial"/>
                <w:sz w:val="17"/>
                <w:szCs w:val="17"/>
                <w:color w:val="auto"/>
              </w:rPr>
              <w:t>Payments for financing costs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(40)</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r>
      <w:tr>
        <w:trPr>
          <w:trHeight w:val="211"/>
        </w:trPr>
        <w:tc>
          <w:tcPr>
            <w:tcW w:w="9700" w:type="dxa"/>
            <w:vAlign w:val="bottom"/>
          </w:tcPr>
          <w:p>
            <w:pPr>
              <w:ind w:left="420"/>
              <w:spacing w:after="0"/>
              <w:rPr>
                <w:sz w:val="20"/>
                <w:szCs w:val="20"/>
                <w:color w:val="auto"/>
              </w:rPr>
            </w:pPr>
            <w:r>
              <w:rPr>
                <w:rFonts w:ascii="Arial" w:cs="Arial" w:eastAsia="Arial" w:hAnsi="Arial"/>
                <w:sz w:val="17"/>
                <w:szCs w:val="17"/>
                <w:color w:val="auto"/>
              </w:rPr>
              <w:t>Purchase of treasury stock</w:t>
            </w: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7"/>
                <w:szCs w:val="17"/>
                <w:color w:val="auto"/>
                <w:w w:val="94"/>
              </w:rPr>
              <w:t>(15,937)</w:t>
            </w:r>
          </w:p>
        </w:tc>
        <w:tc>
          <w:tcPr>
            <w:tcW w:w="7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r>
      <w:tr>
        <w:trPr>
          <w:trHeight w:val="211"/>
        </w:trPr>
        <w:tc>
          <w:tcPr>
            <w:tcW w:w="9700" w:type="dxa"/>
            <w:vAlign w:val="bottom"/>
            <w:shd w:val="clear" w:color="auto" w:fill="CCEEFF"/>
          </w:tcPr>
          <w:p>
            <w:pPr>
              <w:ind w:left="420"/>
              <w:spacing w:after="0"/>
              <w:rPr>
                <w:sz w:val="20"/>
                <w:szCs w:val="20"/>
                <w:color w:val="auto"/>
              </w:rPr>
            </w:pPr>
            <w:r>
              <w:rPr>
                <w:rFonts w:ascii="Arial" w:cs="Arial" w:eastAsia="Arial" w:hAnsi="Arial"/>
                <w:sz w:val="17"/>
                <w:szCs w:val="17"/>
                <w:color w:val="auto"/>
              </w:rPr>
              <w:t>Proceeds from stock option exercises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1,828</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r>
      <w:tr>
        <w:trPr>
          <w:trHeight w:val="211"/>
        </w:trPr>
        <w:tc>
          <w:tcPr>
            <w:tcW w:w="9700" w:type="dxa"/>
            <w:vAlign w:val="bottom"/>
          </w:tcPr>
          <w:p>
            <w:pPr>
              <w:ind w:left="420"/>
              <w:spacing w:after="0"/>
              <w:rPr>
                <w:sz w:val="20"/>
                <w:szCs w:val="20"/>
                <w:color w:val="auto"/>
              </w:rPr>
            </w:pPr>
            <w:r>
              <w:rPr>
                <w:rFonts w:ascii="Arial" w:cs="Arial" w:eastAsia="Arial" w:hAnsi="Arial"/>
                <w:sz w:val="17"/>
                <w:szCs w:val="17"/>
                <w:color w:val="auto"/>
              </w:rPr>
              <w:t>Principal payments on capital lease obligations</w:t>
            </w: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7"/>
                <w:szCs w:val="17"/>
                <w:color w:val="auto"/>
              </w:rPr>
              <w:t>(290)</w:t>
            </w: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(1,093)</w:t>
            </w:r>
          </w:p>
        </w:tc>
      </w:tr>
      <w:tr>
        <w:trPr>
          <w:trHeight w:val="26"/>
        </w:trPr>
        <w:tc>
          <w:tcPr>
            <w:tcW w:w="9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1"/>
        </w:trPr>
        <w:tc>
          <w:tcPr>
            <w:tcW w:w="9700" w:type="dxa"/>
            <w:vAlign w:val="bottom"/>
            <w:shd w:val="clear" w:color="auto" w:fill="CCEEFF"/>
          </w:tcPr>
          <w:p>
            <w:pPr>
              <w:ind w:left="840"/>
              <w:spacing w:after="0"/>
              <w:rPr>
                <w:sz w:val="20"/>
                <w:szCs w:val="20"/>
                <w:color w:val="auto"/>
              </w:rPr>
            </w:pPr>
            <w:r>
              <w:rPr>
                <w:rFonts w:ascii="Arial" w:cs="Arial" w:eastAsia="Arial" w:hAnsi="Arial"/>
                <w:sz w:val="17"/>
                <w:szCs w:val="17"/>
                <w:color w:val="auto"/>
              </w:rPr>
              <w:t>Net cash used in financing activities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w w:val="94"/>
              </w:rPr>
              <w:t>(65,927)</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(42,780)</w:t>
            </w:r>
          </w:p>
        </w:tc>
      </w:tr>
      <w:tr>
        <w:trPr>
          <w:trHeight w:val="223"/>
        </w:trPr>
        <w:tc>
          <w:tcPr>
            <w:tcW w:w="9700" w:type="dxa"/>
            <w:vAlign w:val="bottom"/>
          </w:tcPr>
          <w:p>
            <w:pPr>
              <w:spacing w:after="0"/>
              <w:rPr>
                <w:sz w:val="20"/>
                <w:szCs w:val="20"/>
                <w:color w:val="auto"/>
              </w:rPr>
            </w:pPr>
            <w:r>
              <w:rPr>
                <w:rFonts w:ascii="Arial" w:cs="Arial" w:eastAsia="Arial" w:hAnsi="Arial"/>
                <w:sz w:val="17"/>
                <w:szCs w:val="17"/>
                <w:color w:val="auto"/>
              </w:rPr>
              <w:t>Net increase in cash and cash equivalents from continuing operations</w:t>
            </w:r>
          </w:p>
        </w:tc>
        <w:tc>
          <w:tcPr>
            <w:tcW w:w="1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8,198</w:t>
            </w:r>
          </w:p>
        </w:tc>
        <w:tc>
          <w:tcPr>
            <w:tcW w:w="32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3,935</w:t>
            </w:r>
          </w:p>
        </w:tc>
        <w:tc>
          <w:tcPr>
            <w:tcW w:w="100" w:type="dxa"/>
            <w:vAlign w:val="bottom"/>
          </w:tcPr>
          <w:p>
            <w:pPr>
              <w:spacing w:after="0"/>
              <w:rPr>
                <w:sz w:val="19"/>
                <w:szCs w:val="19"/>
                <w:color w:val="auto"/>
              </w:rPr>
            </w:pPr>
          </w:p>
        </w:tc>
      </w:tr>
      <w:tr>
        <w:trPr>
          <w:trHeight w:val="211"/>
        </w:trPr>
        <w:tc>
          <w:tcPr>
            <w:tcW w:w="9700" w:type="dxa"/>
            <w:vAlign w:val="bottom"/>
            <w:shd w:val="clear" w:color="auto" w:fill="CCEEFF"/>
          </w:tcPr>
          <w:p>
            <w:pPr>
              <w:spacing w:after="0"/>
              <w:rPr>
                <w:sz w:val="20"/>
                <w:szCs w:val="20"/>
                <w:color w:val="auto"/>
              </w:rPr>
            </w:pPr>
            <w:r>
              <w:rPr>
                <w:rFonts w:ascii="Arial" w:cs="Arial" w:eastAsia="Arial" w:hAnsi="Arial"/>
                <w:sz w:val="17"/>
                <w:szCs w:val="17"/>
                <w:color w:val="auto"/>
              </w:rPr>
              <w:t>Cash flows from discontinued operations: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1"/>
        </w:trPr>
        <w:tc>
          <w:tcPr>
            <w:tcW w:w="9700" w:type="dxa"/>
            <w:vAlign w:val="bottom"/>
          </w:tcPr>
          <w:p>
            <w:pPr>
              <w:ind w:left="420"/>
              <w:spacing w:after="0"/>
              <w:rPr>
                <w:sz w:val="20"/>
                <w:szCs w:val="20"/>
                <w:color w:val="auto"/>
              </w:rPr>
            </w:pPr>
            <w:r>
              <w:rPr>
                <w:rFonts w:ascii="Arial" w:cs="Arial" w:eastAsia="Arial" w:hAnsi="Arial"/>
                <w:sz w:val="17"/>
                <w:szCs w:val="17"/>
                <w:color w:val="auto"/>
              </w:rPr>
              <w:t>Net cash provided by operating activities</w:t>
            </w: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7"/>
                <w:szCs w:val="17"/>
                <w:color w:val="auto"/>
              </w:rPr>
              <w:t>148</w:t>
            </w:r>
          </w:p>
        </w:tc>
        <w:tc>
          <w:tcPr>
            <w:tcW w:w="640" w:type="dxa"/>
            <w:vAlign w:val="bottom"/>
          </w:tcPr>
          <w:p>
            <w:pPr>
              <w:jc w:val="right"/>
              <w:spacing w:after="0"/>
              <w:rPr>
                <w:sz w:val="20"/>
                <w:szCs w:val="20"/>
                <w:color w:val="auto"/>
              </w:rPr>
            </w:pPr>
            <w:r>
              <w:rPr>
                <w:rFonts w:ascii="Arial" w:cs="Arial" w:eastAsia="Arial" w:hAnsi="Arial"/>
                <w:sz w:val="17"/>
                <w:szCs w:val="17"/>
                <w:color w:val="auto"/>
              </w:rPr>
              <w:t>178</w:t>
            </w:r>
          </w:p>
        </w:tc>
        <w:tc>
          <w:tcPr>
            <w:tcW w:w="100" w:type="dxa"/>
            <w:vAlign w:val="bottom"/>
          </w:tcPr>
          <w:p>
            <w:pPr>
              <w:spacing w:after="0"/>
              <w:rPr>
                <w:sz w:val="18"/>
                <w:szCs w:val="18"/>
                <w:color w:val="auto"/>
              </w:rPr>
            </w:pPr>
          </w:p>
        </w:tc>
      </w:tr>
      <w:tr>
        <w:trPr>
          <w:trHeight w:val="211"/>
        </w:trPr>
        <w:tc>
          <w:tcPr>
            <w:tcW w:w="9700" w:type="dxa"/>
            <w:vAlign w:val="bottom"/>
            <w:shd w:val="clear" w:color="auto" w:fill="CCEEFF"/>
          </w:tcPr>
          <w:p>
            <w:pPr>
              <w:ind w:left="420"/>
              <w:spacing w:after="0"/>
              <w:rPr>
                <w:sz w:val="20"/>
                <w:szCs w:val="20"/>
                <w:color w:val="auto"/>
              </w:rPr>
            </w:pPr>
            <w:r>
              <w:rPr>
                <w:rFonts w:ascii="Arial" w:cs="Arial" w:eastAsia="Arial" w:hAnsi="Arial"/>
                <w:sz w:val="17"/>
                <w:szCs w:val="17"/>
                <w:color w:val="auto"/>
              </w:rPr>
              <w:t>Net cash provided by (used in) investing activities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r>
      <w:tr>
        <w:trPr>
          <w:trHeight w:val="217"/>
        </w:trPr>
        <w:tc>
          <w:tcPr>
            <w:tcW w:w="9700" w:type="dxa"/>
            <w:vAlign w:val="bottom"/>
          </w:tcPr>
          <w:p>
            <w:pPr>
              <w:ind w:left="420"/>
              <w:spacing w:after="0"/>
              <w:rPr>
                <w:sz w:val="20"/>
                <w:szCs w:val="20"/>
                <w:color w:val="auto"/>
              </w:rPr>
            </w:pPr>
            <w:r>
              <w:rPr>
                <w:rFonts w:ascii="Arial" w:cs="Arial" w:eastAsia="Arial" w:hAnsi="Arial"/>
                <w:sz w:val="17"/>
                <w:szCs w:val="17"/>
                <w:color w:val="auto"/>
              </w:rPr>
              <w:t>Net cash provided by (used in) financing activities</w:t>
            </w: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r>
      <w:tr>
        <w:trPr>
          <w:trHeight w:val="211"/>
        </w:trPr>
        <w:tc>
          <w:tcPr>
            <w:tcW w:w="9700" w:type="dxa"/>
            <w:vAlign w:val="bottom"/>
            <w:shd w:val="clear" w:color="auto" w:fill="CCEEFF"/>
          </w:tcPr>
          <w:p>
            <w:pPr>
              <w:ind w:left="840"/>
              <w:spacing w:after="0"/>
              <w:rPr>
                <w:sz w:val="20"/>
                <w:szCs w:val="20"/>
                <w:color w:val="auto"/>
              </w:rPr>
            </w:pPr>
            <w:r>
              <w:rPr>
                <w:rFonts w:ascii="Arial" w:cs="Arial" w:eastAsia="Arial" w:hAnsi="Arial"/>
                <w:sz w:val="17"/>
                <w:szCs w:val="17"/>
                <w:color w:val="auto"/>
              </w:rPr>
              <w:t>Net increase in cash and cash equivalents from discontinued operations</w:t>
            </w: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148</w:t>
            </w:r>
          </w:p>
        </w:tc>
        <w:tc>
          <w:tcPr>
            <w:tcW w:w="32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178</w:t>
            </w:r>
          </w:p>
        </w:tc>
        <w:tc>
          <w:tcPr>
            <w:tcW w:w="100" w:type="dxa"/>
            <w:vAlign w:val="bottom"/>
            <w:shd w:val="clear" w:color="auto" w:fill="CCEEFF"/>
          </w:tcPr>
          <w:p>
            <w:pPr>
              <w:spacing w:after="0"/>
              <w:rPr>
                <w:sz w:val="18"/>
                <w:szCs w:val="18"/>
                <w:color w:val="auto"/>
              </w:rPr>
            </w:pPr>
          </w:p>
        </w:tc>
      </w:tr>
      <w:tr>
        <w:trPr>
          <w:trHeight w:val="223"/>
        </w:trPr>
        <w:tc>
          <w:tcPr>
            <w:tcW w:w="9700" w:type="dxa"/>
            <w:vAlign w:val="bottom"/>
          </w:tcPr>
          <w:p>
            <w:pPr>
              <w:spacing w:after="0"/>
              <w:rPr>
                <w:sz w:val="20"/>
                <w:szCs w:val="20"/>
                <w:color w:val="auto"/>
              </w:rPr>
            </w:pPr>
            <w:r>
              <w:rPr>
                <w:rFonts w:ascii="Arial" w:cs="Arial" w:eastAsia="Arial" w:hAnsi="Arial"/>
                <w:sz w:val="17"/>
                <w:szCs w:val="17"/>
                <w:color w:val="auto"/>
              </w:rPr>
              <w:t>Cash and cash equivalents at beginning of period</w:t>
            </w: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7"/>
              </w:rPr>
              <w:t>215,836</w:t>
            </w:r>
          </w:p>
        </w:tc>
        <w:tc>
          <w:tcPr>
            <w:tcW w:w="32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79,960</w:t>
            </w:r>
          </w:p>
        </w:tc>
        <w:tc>
          <w:tcPr>
            <w:tcW w:w="100" w:type="dxa"/>
            <w:vAlign w:val="bottom"/>
          </w:tcPr>
          <w:p>
            <w:pPr>
              <w:spacing w:after="0"/>
              <w:rPr>
                <w:sz w:val="19"/>
                <w:szCs w:val="19"/>
                <w:color w:val="auto"/>
              </w:rPr>
            </w:pPr>
          </w:p>
        </w:tc>
      </w:tr>
      <w:tr>
        <w:trPr>
          <w:trHeight w:val="211"/>
        </w:trPr>
        <w:tc>
          <w:tcPr>
            <w:tcW w:w="9700" w:type="dxa"/>
            <w:vAlign w:val="bottom"/>
            <w:shd w:val="clear" w:color="auto" w:fill="CCEEFF"/>
          </w:tcPr>
          <w:p>
            <w:pPr>
              <w:spacing w:after="0"/>
              <w:rPr>
                <w:sz w:val="20"/>
                <w:szCs w:val="20"/>
                <w:color w:val="auto"/>
              </w:rPr>
            </w:pPr>
            <w:r>
              <w:rPr>
                <w:rFonts w:ascii="Arial" w:cs="Arial" w:eastAsia="Arial" w:hAnsi="Arial"/>
                <w:sz w:val="17"/>
                <w:szCs w:val="17"/>
                <w:color w:val="auto"/>
              </w:rPr>
              <w:t>Cash and cash equivalents at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w w:val="87"/>
              </w:rPr>
              <w:t>224,182</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$ 84,073</w:t>
            </w:r>
          </w:p>
        </w:tc>
        <w:tc>
          <w:tcPr>
            <w:tcW w:w="100" w:type="dxa"/>
            <w:vAlign w:val="bottom"/>
            <w:shd w:val="clear" w:color="auto" w:fill="CCEEFF"/>
          </w:tcPr>
          <w:p>
            <w:pPr>
              <w:spacing w:after="0"/>
              <w:rPr>
                <w:sz w:val="18"/>
                <w:szCs w:val="18"/>
                <w:color w:val="auto"/>
              </w:rPr>
            </w:pPr>
          </w:p>
        </w:tc>
      </w:tr>
      <w:tr>
        <w:trPr>
          <w:trHeight w:val="20"/>
        </w:trPr>
        <w:tc>
          <w:tcPr>
            <w:tcW w:w="9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451" w:right="239" w:bottom="1440" w:gutter="0" w:footer="0" w:header="0"/>
        </w:sectPr>
      </w:pPr>
    </w:p>
    <w:bookmarkStart w:id="7" w:name="page8"/>
    <w:bookmarkEnd w:id="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AMC NETWORKS INC. AND SUBSIDIARIES</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NOTES TO CONSOLIDATED FINANCIAL STATEMENTS</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(Dollars in thousands, except per share amounts)</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(Unaudited)</w:t>
      </w:r>
    </w:p>
    <w:p>
      <w:pPr>
        <w:spacing w:after="0" w:line="201" w:lineRule="exact"/>
        <w:rPr>
          <w:sz w:val="20"/>
          <w:szCs w:val="20"/>
          <w:color w:val="auto"/>
        </w:rPr>
      </w:pPr>
    </w:p>
    <w:p>
      <w:pPr>
        <w:spacing w:after="0"/>
        <w:tabs>
          <w:tab w:leader="none" w:pos="1020" w:val="left"/>
        </w:tabs>
        <w:rPr>
          <w:sz w:val="20"/>
          <w:szCs w:val="20"/>
          <w:color w:val="auto"/>
        </w:rPr>
      </w:pPr>
      <w:r>
        <w:rPr>
          <w:rFonts w:ascii="Arial" w:cs="Arial" w:eastAsia="Arial" w:hAnsi="Arial"/>
          <w:sz w:val="17"/>
          <w:szCs w:val="17"/>
          <w:b w:val="1"/>
          <w:bCs w:val="1"/>
          <w:color w:val="auto"/>
        </w:rPr>
        <w:t>Note 1.</w:t>
      </w:r>
      <w:r>
        <w:rPr>
          <w:sz w:val="20"/>
          <w:szCs w:val="20"/>
          <w:color w:val="auto"/>
        </w:rPr>
        <w:tab/>
      </w:r>
      <w:r>
        <w:rPr>
          <w:rFonts w:ascii="Arial" w:cs="Arial" w:eastAsia="Arial" w:hAnsi="Arial"/>
          <w:sz w:val="14"/>
          <w:szCs w:val="14"/>
          <w:b w:val="1"/>
          <w:bCs w:val="1"/>
          <w:color w:val="auto"/>
        </w:rPr>
        <w:t>Description of Business and Basis of Presentation</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Description of Business</w:t>
      </w:r>
    </w:p>
    <w:p>
      <w:pPr>
        <w:spacing w:after="0" w:line="100" w:lineRule="exact"/>
        <w:rPr>
          <w:sz w:val="20"/>
          <w:szCs w:val="20"/>
          <w:color w:val="auto"/>
        </w:rPr>
      </w:pPr>
    </w:p>
    <w:p>
      <w:pPr>
        <w:ind w:right="340" w:firstLine="457"/>
        <w:spacing w:after="0" w:line="284" w:lineRule="auto"/>
        <w:rPr>
          <w:sz w:val="20"/>
          <w:szCs w:val="20"/>
          <w:color w:val="auto"/>
        </w:rPr>
      </w:pPr>
      <w:r>
        <w:rPr>
          <w:rFonts w:ascii="Arial" w:cs="Arial" w:eastAsia="Arial" w:hAnsi="Arial"/>
          <w:sz w:val="17"/>
          <w:szCs w:val="17"/>
          <w:color w:val="auto"/>
        </w:rPr>
        <w:t>AMC Networks Inc. (“AMC Networks”) and collectively with its subsidiaries (the “Company”) own and operate entertainment businesses and assets. The Company is comprised of two reportable segments:</w:t>
      </w:r>
    </w:p>
    <w:p>
      <w:pPr>
        <w:spacing w:after="0" w:line="38" w:lineRule="exact"/>
        <w:rPr>
          <w:sz w:val="20"/>
          <w:szCs w:val="20"/>
          <w:color w:val="auto"/>
        </w:rPr>
      </w:pPr>
    </w:p>
    <w:p>
      <w:pPr>
        <w:ind w:left="900" w:right="120" w:hanging="328"/>
        <w:spacing w:after="0" w:line="288"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National Networks: </w:t>
      </w:r>
      <w:r>
        <w:rPr>
          <w:rFonts w:ascii="Arial" w:cs="Arial" w:eastAsia="Arial" w:hAnsi="Arial"/>
          <w:sz w:val="16"/>
          <w:szCs w:val="16"/>
          <w:color w:val="auto"/>
        </w:rPr>
        <w:t>Includes four nationally distributed programming networks: AMC, WE tv, IFC and Sundance Channel. These programming</w:t>
      </w:r>
      <w:r>
        <w:rPr>
          <w:rFonts w:ascii="Arial" w:cs="Arial" w:eastAsia="Arial" w:hAnsi="Arial"/>
          <w:sz w:val="16"/>
          <w:szCs w:val="16"/>
          <w:i w:val="1"/>
          <w:iCs w:val="1"/>
          <w:color w:val="auto"/>
        </w:rPr>
        <w:t xml:space="preserve"> </w:t>
      </w:r>
      <w:r>
        <w:rPr>
          <w:rFonts w:ascii="Arial" w:cs="Arial" w:eastAsia="Arial" w:hAnsi="Arial"/>
          <w:sz w:val="16"/>
          <w:szCs w:val="16"/>
          <w:color w:val="auto"/>
        </w:rPr>
        <w:t>networks are distributed throughout the United States (“U.S.”) via cable and other multichannel video programming distribution platforms, including direct broadcast satellite (“DBS”) and platforms operated by telecommunications providers (we refer collectively to these cable and other multichannel video programming distributors as “multichannel video programming distributors” or “distributors”); and</w:t>
      </w:r>
    </w:p>
    <w:p>
      <w:pPr>
        <w:spacing w:after="0" w:line="38" w:lineRule="exact"/>
        <w:rPr>
          <w:rFonts w:ascii="Arial" w:cs="Arial" w:eastAsia="Arial" w:hAnsi="Arial"/>
          <w:sz w:val="16"/>
          <w:szCs w:val="16"/>
          <w:color w:val="auto"/>
        </w:rPr>
      </w:pPr>
    </w:p>
    <w:p>
      <w:pPr>
        <w:ind w:left="900" w:right="40" w:hanging="328"/>
        <w:spacing w:after="0" w:line="263" w:lineRule="auto"/>
        <w:tabs>
          <w:tab w:leader="none" w:pos="90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 xml:space="preserve">International and Other: </w:t>
      </w:r>
      <w:r>
        <w:rPr>
          <w:rFonts w:ascii="Arial" w:cs="Arial" w:eastAsia="Arial" w:hAnsi="Arial"/>
          <w:sz w:val="17"/>
          <w:szCs w:val="17"/>
          <w:color w:val="auto"/>
        </w:rPr>
        <w:t>Principally includes AMC/Sundance Channel Global, the Company’s international programming business; IFC Films,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Company’s independent film distribution business; and AMC Networks Broadcasting &amp; Technology, the Company’s network technical services business, which primarily services the programming networks of the Company. AMC and Sundance Channel are distributed in Canada and Sundance Channel and WE tv are distributed in other countries throughout Europe and Asia. The International and Other reportable segment also includes VOOM HD Holdings LLC (“VOOM HD”), which the Company is in the process of winding down, and which continues to sell certain limited amounts of programming internationally through program license agreements.</w:t>
      </w:r>
    </w:p>
    <w:p>
      <w:pPr>
        <w:spacing w:after="0" w:line="58" w:lineRule="exact"/>
        <w:rPr>
          <w:sz w:val="20"/>
          <w:szCs w:val="20"/>
          <w:color w:val="auto"/>
        </w:rPr>
      </w:pPr>
    </w:p>
    <w:p>
      <w:pPr>
        <w:ind w:left="460" w:firstLine="438"/>
        <w:spacing w:after="0" w:line="263" w:lineRule="auto"/>
        <w:rPr>
          <w:sz w:val="20"/>
          <w:szCs w:val="20"/>
          <w:color w:val="auto"/>
        </w:rPr>
      </w:pPr>
      <w:r>
        <w:rPr>
          <w:rFonts w:ascii="Arial" w:cs="Arial" w:eastAsia="Arial" w:hAnsi="Arial"/>
          <w:sz w:val="17"/>
          <w:szCs w:val="17"/>
          <w:color w:val="auto"/>
        </w:rPr>
        <w:t>On June 30, 2011, Cablevision Systems Corporation (Cablevision Systems Corporation and its subsidiaries are referred to as “Cablevision”) spun-off the Company (the “Distribution”). In connection with the Distribution, Cablevision contributed all of the membership interests of Rainbow Media Holdings LLC (“RMH”) to AMC Networks. RMH owned, directly or indirectly, the businesses included in Cablevision’s Rainbow segment. On June 30, 2011, Cablevision effected the Distribution of all of AMC Networks’ outstanding common stock to its shareholders. Immediately prior to the Distribution, the Company was an indirect wholly-owned subsidiary of Cablevision. The Company became an independent public company on June 30, 2011, the date of the Distribution. Both Cablevision and the Company continue to be controlled by Charles F. Dolan, certain members of his immediate family and certain family related entities (collectively the “Dolan Family”).</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of Presentation</w:t>
      </w:r>
    </w:p>
    <w:p>
      <w:pPr>
        <w:spacing w:after="0" w:line="100" w:lineRule="exact"/>
        <w:rPr>
          <w:sz w:val="20"/>
          <w:szCs w:val="20"/>
          <w:color w:val="auto"/>
        </w:rPr>
      </w:pPr>
    </w:p>
    <w:p>
      <w:pPr>
        <w:ind w:firstLine="457"/>
        <w:spacing w:after="0" w:line="271" w:lineRule="auto"/>
        <w:rPr>
          <w:sz w:val="20"/>
          <w:szCs w:val="20"/>
          <w:color w:val="auto"/>
        </w:rPr>
      </w:pPr>
      <w:r>
        <w:rPr>
          <w:rFonts w:ascii="Arial" w:cs="Arial" w:eastAsia="Arial" w:hAnsi="Arial"/>
          <w:sz w:val="17"/>
          <w:szCs w:val="17"/>
          <w:color w:val="auto"/>
        </w:rPr>
        <w:t>These unaudited consolidated financial statements have been prepared in accordance with U.S. generally accepted accounting principles (“GAAP”) and Article 10 of Regulation S-X of the Securities and Exchange Commission (“SEC”) for interim financial information. Accordingly, these unaudited consolidated financial statements do not include all the information and notes required for complete annual financial statements.</w:t>
      </w:r>
    </w:p>
    <w:p>
      <w:pPr>
        <w:spacing w:after="0" w:line="128" w:lineRule="exact"/>
        <w:rPr>
          <w:sz w:val="20"/>
          <w:szCs w:val="20"/>
          <w:color w:val="auto"/>
        </w:rPr>
      </w:pPr>
    </w:p>
    <w:p>
      <w:pPr>
        <w:ind w:right="420" w:firstLine="457"/>
        <w:spacing w:after="0" w:line="354" w:lineRule="auto"/>
        <w:rPr>
          <w:sz w:val="20"/>
          <w:szCs w:val="20"/>
          <w:color w:val="auto"/>
        </w:rPr>
      </w:pPr>
      <w:r>
        <w:rPr>
          <w:rFonts w:ascii="Arial" w:cs="Arial" w:eastAsia="Arial" w:hAnsi="Arial"/>
          <w:sz w:val="15"/>
          <w:szCs w:val="15"/>
          <w:color w:val="auto"/>
        </w:rPr>
        <w:t>These unaudited consolidated financial statements should be read in conjunction with the Company’s audited consolidated financial statements and notes thereto for the year ended December 31, 2011 contained in the Company’s 2011 Annual Report on Form 10-K (“2011 Form 10-K”) filed with the SEC.</w:t>
      </w:r>
    </w:p>
    <w:p>
      <w:pPr>
        <w:spacing w:after="0" w:line="71" w:lineRule="exact"/>
        <w:rPr>
          <w:sz w:val="20"/>
          <w:szCs w:val="20"/>
          <w:color w:val="auto"/>
        </w:rPr>
      </w:pPr>
    </w:p>
    <w:p>
      <w:pPr>
        <w:ind w:right="180" w:firstLine="457"/>
        <w:spacing w:after="0" w:line="265" w:lineRule="auto"/>
        <w:rPr>
          <w:sz w:val="20"/>
          <w:szCs w:val="20"/>
          <w:color w:val="auto"/>
        </w:rPr>
      </w:pPr>
      <w:r>
        <w:rPr>
          <w:rFonts w:ascii="Arial" w:cs="Arial" w:eastAsia="Arial" w:hAnsi="Arial"/>
          <w:sz w:val="17"/>
          <w:szCs w:val="17"/>
          <w:color w:val="auto"/>
        </w:rPr>
        <w:t>The Company’s consolidated financial statements for periods prior to the Distribution have been derived from the consolidated financial statements and accounting records of Cablevision and reflect certain assumptions and allocations. The results of operations and cash flows of the Company for those periods could differ from those that might have resulted had the Company been operated autonomously or as an entity independent of Cablevision. The Company’s consolidated financial statements after the Distribution reflect certain revenues and expenses related to transactions with or charges from Cablevision and The Madison Square Garden Company and its subsidiaries (“MSG”) as described in Note 11.</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380"/>
          </w:cols>
          <w:pgMar w:left="240" w:top="451" w:right="279" w:bottom="1440" w:gutter="0" w:footer="0" w:header="0"/>
        </w:sectPr>
      </w:pPr>
    </w:p>
    <w:bookmarkStart w:id="8" w:name="page9"/>
    <w:bookmarkEnd w:id="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AMC NETWORKS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NOTES TO CONSOLIDATED FINANCIAL STATEMENTS - (Continued)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(Dollars in thousands, except per share amounts)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154" w:lineRule="exact"/>
        <w:rPr>
          <w:sz w:val="20"/>
          <w:szCs w:val="20"/>
          <w:color w:val="auto"/>
        </w:rPr>
      </w:pPr>
    </w:p>
    <w:p>
      <w:pPr>
        <w:jc w:val="both"/>
        <w:ind w:right="20" w:firstLine="457"/>
        <w:spacing w:after="0" w:line="296" w:lineRule="auto"/>
        <w:rPr>
          <w:sz w:val="20"/>
          <w:szCs w:val="20"/>
          <w:color w:val="auto"/>
        </w:rPr>
      </w:pPr>
      <w:r>
        <w:rPr>
          <w:rFonts w:ascii="Arial" w:cs="Arial" w:eastAsia="Arial" w:hAnsi="Arial"/>
          <w:sz w:val="16"/>
          <w:szCs w:val="16"/>
          <w:color w:val="auto"/>
        </w:rPr>
        <w:t>The consolidated financial statements as of March 31, 2012 and for the three months ended March 31, 2012 and 2011 are unaudited; however, in the opinion of management, such consolidated financial statements include all adjustments, consisting solely of normal recurring adjustments, necessary for a fair presentation of the results for the periods presented. All intercompany transactions and balances have been eliminated in consolidation.</w:t>
      </w:r>
    </w:p>
    <w:p>
      <w:pPr>
        <w:spacing w:after="0" w:line="109" w:lineRule="exact"/>
        <w:rPr>
          <w:sz w:val="20"/>
          <w:szCs w:val="20"/>
          <w:color w:val="auto"/>
        </w:rPr>
      </w:pPr>
    </w:p>
    <w:p>
      <w:pPr>
        <w:ind w:right="40" w:firstLine="457"/>
        <w:spacing w:after="0" w:line="284" w:lineRule="auto"/>
        <w:rPr>
          <w:sz w:val="20"/>
          <w:szCs w:val="20"/>
          <w:color w:val="auto"/>
        </w:rPr>
      </w:pPr>
      <w:r>
        <w:rPr>
          <w:rFonts w:ascii="Arial" w:cs="Arial" w:eastAsia="Arial" w:hAnsi="Arial"/>
          <w:sz w:val="17"/>
          <w:szCs w:val="17"/>
          <w:color w:val="auto"/>
        </w:rPr>
        <w:t>The results of operations for the interim periods are not necessarily indicative of the results that might be expected for future interim periods or for the full year ending December 31, 2012.</w:t>
      </w:r>
    </w:p>
    <w:p>
      <w:pPr>
        <w:spacing w:after="0" w:line="117" w:lineRule="exact"/>
        <w:rPr>
          <w:sz w:val="20"/>
          <w:szCs w:val="20"/>
          <w:color w:val="auto"/>
        </w:rPr>
      </w:pPr>
    </w:p>
    <w:p>
      <w:pPr>
        <w:ind w:right="80" w:firstLine="457"/>
        <w:spacing w:after="0" w:line="271"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reported amounts of assets and liabilities and disclosure of contingent liabilities at the date of the financial statements and the reported amounts of revenues and expenses during the reported period. Actual results could differ from those estimates.</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Discontinued Operations</w:t>
      </w:r>
    </w:p>
    <w:p>
      <w:pPr>
        <w:spacing w:after="0" w:line="94" w:lineRule="exact"/>
        <w:rPr>
          <w:sz w:val="20"/>
          <w:szCs w:val="20"/>
          <w:color w:val="auto"/>
        </w:rPr>
      </w:pPr>
    </w:p>
    <w:p>
      <w:pPr>
        <w:ind w:right="380" w:firstLine="457"/>
        <w:spacing w:after="0" w:line="284" w:lineRule="auto"/>
        <w:rPr>
          <w:sz w:val="20"/>
          <w:szCs w:val="20"/>
          <w:color w:val="auto"/>
        </w:rPr>
      </w:pPr>
      <w:r>
        <w:rPr>
          <w:rFonts w:ascii="Arial" w:cs="Arial" w:eastAsia="Arial" w:hAnsi="Arial"/>
          <w:sz w:val="17"/>
          <w:szCs w:val="17"/>
          <w:color w:val="auto"/>
        </w:rPr>
        <w:t>Discontinued operations consists of receipts related to the sale of the Lifeskool and Sportskool video-on-demand services in September and October 2008, respectively, which were recorded under the installment sales method.</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Recently Adopted Accounting Pronouncements</w:t>
      </w:r>
    </w:p>
    <w:p>
      <w:pPr>
        <w:spacing w:after="0" w:line="100" w:lineRule="exact"/>
        <w:rPr>
          <w:sz w:val="20"/>
          <w:szCs w:val="20"/>
          <w:color w:val="auto"/>
        </w:rPr>
      </w:pPr>
    </w:p>
    <w:p>
      <w:pPr>
        <w:ind w:right="20" w:firstLine="457"/>
        <w:spacing w:after="0" w:line="263" w:lineRule="auto"/>
        <w:rPr>
          <w:sz w:val="20"/>
          <w:szCs w:val="20"/>
          <w:color w:val="auto"/>
        </w:rPr>
      </w:pPr>
      <w:r>
        <w:rPr>
          <w:rFonts w:ascii="Arial" w:cs="Arial" w:eastAsia="Arial" w:hAnsi="Arial"/>
          <w:sz w:val="17"/>
          <w:szCs w:val="17"/>
          <w:color w:val="auto"/>
        </w:rPr>
        <w:t>In September 2011, the Financial Accounting Standards Board (“FASB”) issued Accounting Standards Update (“ASU”) No. 2011-08, Intangibles - Goodwill and Other (Topic 350): Testing Goodwill for Impairment (ASU 2011-08), to allow entities to use a qualitative approach to test goodwill for impairment. ASU 2011-08 permits an entity to first perform a qualitative assessment to determine whether it is more likely than not that the fair value of a reporting unit is less than its carrying value. If it is concluded that this is the case, it is necessary to perform the prescribed two-step goodwill impairment test. Otherwise, the two-step goodwill impairment test is not required. The Company adopted ASU 2011-08 effective January 1, 2012 and applied it to the Company’s February 28, 2012 annual impairment test (see Note 3).</w:t>
      </w:r>
    </w:p>
    <w:p>
      <w:pPr>
        <w:spacing w:after="0" w:line="137" w:lineRule="exact"/>
        <w:rPr>
          <w:sz w:val="20"/>
          <w:szCs w:val="20"/>
          <w:color w:val="auto"/>
        </w:rPr>
      </w:pPr>
    </w:p>
    <w:p>
      <w:pPr>
        <w:ind w:firstLine="457"/>
        <w:spacing w:after="0" w:line="299" w:lineRule="auto"/>
        <w:rPr>
          <w:sz w:val="20"/>
          <w:szCs w:val="20"/>
          <w:color w:val="auto"/>
        </w:rPr>
      </w:pPr>
      <w:r>
        <w:rPr>
          <w:rFonts w:ascii="Arial" w:cs="Arial" w:eastAsia="Arial" w:hAnsi="Arial"/>
          <w:sz w:val="15"/>
          <w:szCs w:val="15"/>
          <w:color w:val="auto"/>
        </w:rPr>
        <w:t>In June 2011, the FASB issued ASU No. 2011-05, Comprehensive Income (Topic 220): Presentation of Comprehensive Income (ASU 2011-05). The provisions of ASU 2011-05 provide that an entity that reports items of other comprehensive income has the option to present comprehensive income as (i) a single statement that presents the components of net income and total net income, the components of other comprehensive income and total other comprehensive income and a total for comprehensive income or (ii) in a two-statement approach, whereby an entity must present the components of net income and total net income in the first statement and that statement is immediately followed by a financial statement that presents the components of other comprehensive income, a total for other comprehensive income and a total for comprehensive income. The previous option under GAAP that permitted the presentation of other comprehensive income in the statement of stockholders’ equity has been eliminated. In December 2011, the FASB issued ASU No. 2011-12, Deferral of the Effective Date for Amendments to the Presentation of Reclassification of Items Out of Accumulated Other Comprehensive Income in Accounting Standards Update No. 2011-05 (ASU 2011-12). ASU 2011-12 defers the requirement in ASU 2011-05 to present reclassification adjustments for each component of accumulated other comprehensive income (“AOCI”) in both other comprehensive income and net income on the face of the financial statements, and the presentation of reclassification adjustments is not required in interim periods. The Company adopted ASU 2011-05 and ASU 2011-12 effective January 1, 2012 and has presented comprehensive income using the two-statement approach.</w:t>
      </w:r>
    </w:p>
    <w:p>
      <w:pPr>
        <w:spacing w:after="0" w:line="112" w:lineRule="exact"/>
        <w:rPr>
          <w:sz w:val="20"/>
          <w:szCs w:val="20"/>
          <w:color w:val="auto"/>
        </w:rPr>
      </w:pPr>
    </w:p>
    <w:p>
      <w:pPr>
        <w:ind w:right="160" w:firstLine="457"/>
        <w:spacing w:after="0" w:line="289" w:lineRule="auto"/>
        <w:rPr>
          <w:sz w:val="20"/>
          <w:szCs w:val="20"/>
          <w:color w:val="auto"/>
        </w:rPr>
      </w:pPr>
      <w:r>
        <w:rPr>
          <w:rFonts w:ascii="Arial" w:cs="Arial" w:eastAsia="Arial" w:hAnsi="Arial"/>
          <w:sz w:val="16"/>
          <w:szCs w:val="16"/>
          <w:color w:val="auto"/>
        </w:rPr>
        <w:t>In May 2011, the FASB issued ASU No. 2011-04, Fair Value Measurement (Topic 820): Amendments to Achieve Common Fair Value Measurement and Disclosure Requirements in GAAP and IFRSs (ASU 2011-04). ASU 2011-04 provides amendments to Topic 820 that changes the wording used to describe many of the requirements in GAAP for measuring fair value and for disclosing information about fair value measurements. The Company adopted ASU 2011-04 effective January 1, 2012. The adoption of this authoritative guidance did not have any impact on the Company’s consolidated financial statements.</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451" w:right="239" w:bottom="1440" w:gutter="0" w:footer="0" w:header="0"/>
        </w:sectPr>
      </w:pPr>
    </w:p>
    <w:bookmarkStart w:id="9" w:name="page10"/>
    <w:bookmarkEnd w:id="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AMC NETWORKS INC.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NOTES TO CONSOLIDATED FINANCIAL STATEMENTS - (Continued)</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(Dollars in thousands, except per share amounts)</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(Unaudited)</w:t>
      </w:r>
    </w:p>
    <w:p>
      <w:pPr>
        <w:spacing w:after="0" w:line="148" w:lineRule="exact"/>
        <w:rPr>
          <w:sz w:val="20"/>
          <w:szCs w:val="20"/>
          <w:color w:val="auto"/>
        </w:rPr>
      </w:pPr>
    </w:p>
    <w:p>
      <w:pPr>
        <w:spacing w:after="0"/>
        <w:tabs>
          <w:tab w:leader="none" w:pos="1020" w:val="left"/>
        </w:tabs>
        <w:rPr>
          <w:sz w:val="20"/>
          <w:szCs w:val="20"/>
          <w:color w:val="auto"/>
        </w:rPr>
      </w:pPr>
      <w:r>
        <w:rPr>
          <w:rFonts w:ascii="Arial" w:cs="Arial" w:eastAsia="Arial" w:hAnsi="Arial"/>
          <w:sz w:val="17"/>
          <w:szCs w:val="17"/>
          <w:b w:val="1"/>
          <w:bCs w:val="1"/>
          <w:color w:val="auto"/>
        </w:rPr>
        <w:t>Note 2.</w:t>
      </w:r>
      <w:r>
        <w:rPr>
          <w:sz w:val="20"/>
          <w:szCs w:val="20"/>
          <w:color w:val="auto"/>
        </w:rPr>
        <w:tab/>
      </w:r>
      <w:r>
        <w:rPr>
          <w:rFonts w:ascii="Arial" w:cs="Arial" w:eastAsia="Arial" w:hAnsi="Arial"/>
          <w:sz w:val="15"/>
          <w:szCs w:val="15"/>
          <w:b w:val="1"/>
          <w:bCs w:val="1"/>
          <w:color w:val="auto"/>
        </w:rPr>
        <w:t>Net Income per Share</w:t>
      </w:r>
    </w:p>
    <w:p>
      <w:pPr>
        <w:spacing w:after="0" w:line="100" w:lineRule="exact"/>
        <w:rPr>
          <w:sz w:val="20"/>
          <w:szCs w:val="20"/>
          <w:color w:val="auto"/>
        </w:rPr>
      </w:pPr>
    </w:p>
    <w:p>
      <w:pPr>
        <w:ind w:right="140" w:firstLine="457"/>
        <w:spacing w:after="0" w:line="267" w:lineRule="auto"/>
        <w:rPr>
          <w:sz w:val="20"/>
          <w:szCs w:val="20"/>
          <w:color w:val="auto"/>
        </w:rPr>
      </w:pPr>
      <w:r>
        <w:rPr>
          <w:rFonts w:ascii="Arial" w:cs="Arial" w:eastAsia="Arial" w:hAnsi="Arial"/>
          <w:sz w:val="17"/>
          <w:szCs w:val="17"/>
          <w:color w:val="auto"/>
        </w:rPr>
        <w:t>The consolidated statements of income present basic and diluted net income per share (“EPS”). Basic EPS is based upon net income divided by the weighted-average number of common shares outstanding during the period. Diluted EPS reflects the dilutive effects of AMC Networks stock options (including those held by directors and employees of related parties of the Company) and AMC Networks restricted shares/units (including those held by employees of related parties of the Company).</w:t>
      </w:r>
    </w:p>
    <w:p>
      <w:pPr>
        <w:spacing w:after="0" w:line="131" w:lineRule="exact"/>
        <w:rPr>
          <w:sz w:val="20"/>
          <w:szCs w:val="20"/>
          <w:color w:val="auto"/>
        </w:rPr>
      </w:pPr>
    </w:p>
    <w:p>
      <w:pPr>
        <w:ind w:firstLine="457"/>
        <w:spacing w:after="0" w:line="263" w:lineRule="auto"/>
        <w:rPr>
          <w:sz w:val="20"/>
          <w:szCs w:val="20"/>
          <w:color w:val="auto"/>
        </w:rPr>
      </w:pPr>
      <w:r>
        <w:rPr>
          <w:rFonts w:ascii="Arial" w:cs="Arial" w:eastAsia="Arial" w:hAnsi="Arial"/>
          <w:sz w:val="17"/>
          <w:szCs w:val="17"/>
          <w:color w:val="auto"/>
        </w:rPr>
        <w:t>For the three months ended March 31, 2012, diluted EPS includes the dilutive effect of 899,000 stock options and 1,360,000 restricted shares/units. The number of shares used to compute basic and diluted EPS for the three months ended March 31, 2011 of approximately 69,161,000, represents the number of shares of AMC Networks common stock issued to Cablevision shareholders on the Distribution date, and excludes unvested outstanding restricted shares, based on a distribution ratio of one share of AMC Networks common stock for every four shares of Cablevision common stock outstanding. The dilutive effect of the Company’s share-based awards that were issued in connection with the adjustment or conversion of Cablevision’s share-based awards upon the Distribution (including Cablevision stock options and restricted share awards granted prior to the Distribution) and subsequent Company grants, are included in the computation of diluted EPS in periods subsequent to the Distribution.</w:t>
      </w:r>
    </w:p>
    <w:p>
      <w:pPr>
        <w:spacing w:after="0" w:line="133" w:lineRule="exact"/>
        <w:rPr>
          <w:sz w:val="20"/>
          <w:szCs w:val="20"/>
          <w:color w:val="auto"/>
        </w:rPr>
      </w:pPr>
    </w:p>
    <w:p>
      <w:pPr>
        <w:ind w:right="80" w:firstLine="457"/>
        <w:spacing w:after="0" w:line="271" w:lineRule="auto"/>
        <w:rPr>
          <w:sz w:val="20"/>
          <w:szCs w:val="20"/>
          <w:color w:val="auto"/>
        </w:rPr>
      </w:pPr>
      <w:r>
        <w:rPr>
          <w:rFonts w:ascii="Arial" w:cs="Arial" w:eastAsia="Arial" w:hAnsi="Arial"/>
          <w:sz w:val="17"/>
          <w:szCs w:val="17"/>
          <w:color w:val="auto"/>
        </w:rPr>
        <w:t>For the three months ended March 31, 2012, approximately 231,000 restricted shares/units have been excluded from diluted weighted average common shares outstanding since the performance criteria on these awards has not yet been satisfied and approximately 172,000 restricted shares/units have been excluded from diluted weighted average common shares outstanding since they would have been anti-dilutive.</w:t>
      </w:r>
    </w:p>
    <w:p>
      <w:pPr>
        <w:spacing w:after="0" w:line="240" w:lineRule="exact"/>
        <w:rPr>
          <w:sz w:val="20"/>
          <w:szCs w:val="20"/>
          <w:color w:val="auto"/>
        </w:rPr>
      </w:pPr>
    </w:p>
    <w:p>
      <w:pPr>
        <w:spacing w:after="0"/>
        <w:tabs>
          <w:tab w:leader="none" w:pos="1020" w:val="left"/>
        </w:tabs>
        <w:rPr>
          <w:sz w:val="20"/>
          <w:szCs w:val="20"/>
          <w:color w:val="auto"/>
        </w:rPr>
      </w:pPr>
      <w:r>
        <w:rPr>
          <w:rFonts w:ascii="Arial" w:cs="Arial" w:eastAsia="Arial" w:hAnsi="Arial"/>
          <w:sz w:val="17"/>
          <w:szCs w:val="17"/>
          <w:b w:val="1"/>
          <w:bCs w:val="1"/>
          <w:color w:val="auto"/>
        </w:rPr>
        <w:t>Note 3.</w:t>
      </w:r>
      <w:r>
        <w:rPr>
          <w:sz w:val="20"/>
          <w:szCs w:val="20"/>
          <w:color w:val="auto"/>
        </w:rPr>
        <w:tab/>
      </w:r>
      <w:r>
        <w:rPr>
          <w:rFonts w:ascii="Arial" w:cs="Arial" w:eastAsia="Arial" w:hAnsi="Arial"/>
          <w:sz w:val="15"/>
          <w:szCs w:val="15"/>
          <w:b w:val="1"/>
          <w:bCs w:val="1"/>
          <w:color w:val="auto"/>
        </w:rPr>
        <w:t>Goodwill and Other Intangible Assets</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carrying amount of goodwill, by reporting unit and reportable segment, as of both March 31, 2012 and December 31, 2011 is as follows:</w:t>
      </w:r>
    </w:p>
    <w:p>
      <w:pPr>
        <w:spacing w:after="0" w:line="221" w:lineRule="exact"/>
        <w:rPr>
          <w:sz w:val="20"/>
          <w:szCs w:val="20"/>
          <w:color w:val="auto"/>
        </w:rPr>
      </w:pPr>
    </w:p>
    <w:tbl>
      <w:tblPr>
        <w:tblLayout w:type="fixed"/>
        <w:tblInd w:w="1840" w:type="dxa"/>
        <w:tblCellMar>
          <w:top w:w="0" w:type="dxa"/>
          <w:left w:w="0" w:type="dxa"/>
          <w:bottom w:w="0" w:type="dxa"/>
          <w:right w:w="0" w:type="dxa"/>
        </w:tblCellMar>
      </w:tblPr>
      <w:tr>
        <w:trPr>
          <w:trHeight w:val="211"/>
        </w:trPr>
        <w:tc>
          <w:tcPr>
            <w:tcW w:w="36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Reporting Unit and Segment</w:t>
            </w:r>
          </w:p>
        </w:tc>
        <w:tc>
          <w:tcPr>
            <w:tcW w:w="3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640" w:type="dxa"/>
            <w:vAlign w:val="bottom"/>
          </w:tcPr>
          <w:p>
            <w:pPr>
              <w:ind w:left="420"/>
              <w:spacing w:after="0"/>
              <w:rPr>
                <w:sz w:val="20"/>
                <w:szCs w:val="20"/>
                <w:color w:val="auto"/>
              </w:rPr>
            </w:pPr>
            <w:r>
              <w:rPr>
                <w:rFonts w:ascii="Arial" w:cs="Arial" w:eastAsia="Arial" w:hAnsi="Arial"/>
                <w:sz w:val="17"/>
                <w:szCs w:val="17"/>
                <w:color w:val="auto"/>
              </w:rPr>
              <w:t>AMC</w:t>
            </w:r>
          </w:p>
        </w:tc>
        <w:tc>
          <w:tcPr>
            <w:tcW w:w="4020" w:type="dxa"/>
            <w:vAlign w:val="bottom"/>
            <w:gridSpan w:val="2"/>
          </w:tcPr>
          <w:p>
            <w:pPr>
              <w:jc w:val="right"/>
              <w:spacing w:after="0"/>
              <w:rPr>
                <w:sz w:val="20"/>
                <w:szCs w:val="20"/>
                <w:color w:val="auto"/>
              </w:rPr>
            </w:pPr>
            <w:r>
              <w:rPr>
                <w:rFonts w:ascii="Arial" w:cs="Arial" w:eastAsia="Arial" w:hAnsi="Arial"/>
                <w:sz w:val="17"/>
                <w:szCs w:val="17"/>
                <w:color w:val="auto"/>
              </w:rPr>
              <w:t>$34,251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6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WE tv</w:t>
            </w:r>
          </w:p>
        </w:tc>
        <w:tc>
          <w:tcPr>
            <w:tcW w:w="4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5,214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640" w:type="dxa"/>
            <w:vAlign w:val="bottom"/>
          </w:tcPr>
          <w:p>
            <w:pPr>
              <w:ind w:left="420"/>
              <w:spacing w:after="0"/>
              <w:rPr>
                <w:sz w:val="20"/>
                <w:szCs w:val="20"/>
                <w:color w:val="auto"/>
              </w:rPr>
            </w:pPr>
            <w:r>
              <w:rPr>
                <w:rFonts w:ascii="Arial" w:cs="Arial" w:eastAsia="Arial" w:hAnsi="Arial"/>
                <w:sz w:val="17"/>
                <w:szCs w:val="17"/>
                <w:color w:val="auto"/>
              </w:rPr>
              <w:t>IFC</w:t>
            </w:r>
          </w:p>
        </w:tc>
        <w:tc>
          <w:tcPr>
            <w:tcW w:w="4020" w:type="dxa"/>
            <w:vAlign w:val="bottom"/>
            <w:gridSpan w:val="2"/>
          </w:tcPr>
          <w:p>
            <w:pPr>
              <w:jc w:val="right"/>
              <w:spacing w:after="0"/>
              <w:rPr>
                <w:sz w:val="20"/>
                <w:szCs w:val="20"/>
                <w:color w:val="auto"/>
              </w:rPr>
            </w:pPr>
            <w:r>
              <w:rPr>
                <w:rFonts w:ascii="Arial" w:cs="Arial" w:eastAsia="Arial" w:hAnsi="Arial"/>
                <w:sz w:val="17"/>
                <w:szCs w:val="17"/>
                <w:color w:val="auto"/>
              </w:rPr>
              <w:t>13,582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6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Sundance Channel</w:t>
            </w:r>
          </w:p>
        </w:tc>
        <w:tc>
          <w:tcPr>
            <w:tcW w:w="346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28,930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640" w:type="dxa"/>
            <w:vAlign w:val="bottom"/>
          </w:tcPr>
          <w:p>
            <w:pPr>
              <w:spacing w:after="0"/>
              <w:rPr>
                <w:sz w:val="20"/>
                <w:szCs w:val="20"/>
                <w:color w:val="auto"/>
              </w:rPr>
            </w:pPr>
            <w:r>
              <w:rPr>
                <w:rFonts w:ascii="Arial" w:cs="Arial" w:eastAsia="Arial" w:hAnsi="Arial"/>
                <w:sz w:val="17"/>
                <w:szCs w:val="17"/>
                <w:color w:val="auto"/>
              </w:rPr>
              <w:t>Total National Networks</w:t>
            </w:r>
          </w:p>
        </w:tc>
        <w:tc>
          <w:tcPr>
            <w:tcW w:w="346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81,977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640" w:type="dxa"/>
            <w:vAlign w:val="bottom"/>
            <w:shd w:val="clear" w:color="auto" w:fill="CCEEFF"/>
          </w:tcPr>
          <w:p>
            <w:pPr>
              <w:ind w:left="420"/>
              <w:spacing w:after="0"/>
              <w:rPr>
                <w:sz w:val="20"/>
                <w:szCs w:val="20"/>
                <w:color w:val="auto"/>
              </w:rPr>
            </w:pPr>
            <w:r>
              <w:rPr>
                <w:rFonts w:ascii="Arial" w:cs="Arial" w:eastAsia="Arial" w:hAnsi="Arial"/>
                <w:sz w:val="17"/>
                <w:szCs w:val="17"/>
                <w:color w:val="auto"/>
                <w:w w:val="98"/>
              </w:rPr>
              <w:t>AMC Networks Broadcasting &amp; Technology</w:t>
            </w:r>
          </w:p>
        </w:tc>
        <w:tc>
          <w:tcPr>
            <w:tcW w:w="346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640" w:type="dxa"/>
            <w:vAlign w:val="bottom"/>
          </w:tcPr>
          <w:p>
            <w:pPr>
              <w:spacing w:after="0"/>
              <w:rPr>
                <w:sz w:val="20"/>
                <w:szCs w:val="20"/>
                <w:color w:val="auto"/>
              </w:rPr>
            </w:pPr>
            <w:r>
              <w:rPr>
                <w:rFonts w:ascii="Arial" w:cs="Arial" w:eastAsia="Arial" w:hAnsi="Arial"/>
                <w:sz w:val="17"/>
                <w:szCs w:val="17"/>
                <w:color w:val="auto"/>
              </w:rPr>
              <w:t>Total International and Other</w:t>
            </w:r>
          </w:p>
        </w:tc>
        <w:tc>
          <w:tcPr>
            <w:tcW w:w="346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640" w:type="dxa"/>
            <w:vAlign w:val="bottom"/>
            <w:shd w:val="clear" w:color="auto" w:fill="CCEEFF"/>
          </w:tcPr>
          <w:p>
            <w:pPr>
              <w:spacing w:after="0"/>
              <w:rPr>
                <w:sz w:val="18"/>
                <w:szCs w:val="18"/>
                <w:color w:val="auto"/>
              </w:rPr>
            </w:pPr>
          </w:p>
        </w:tc>
        <w:tc>
          <w:tcPr>
            <w:tcW w:w="402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83,173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3460" w:type="dxa"/>
            <w:vAlign w:val="bottom"/>
            <w:vMerge w:val="restart"/>
          </w:tcPr>
          <w:p>
            <w:pPr>
              <w:jc w:val="right"/>
              <w:ind w:right="3054"/>
              <w:spacing w:after="0"/>
              <w:rPr>
                <w:sz w:val="20"/>
                <w:szCs w:val="20"/>
                <w:color w:val="auto"/>
              </w:rPr>
            </w:pPr>
            <w:r>
              <w:rPr>
                <w:rFonts w:ascii="Arial" w:cs="Arial" w:eastAsia="Arial" w:hAnsi="Arial"/>
                <w:sz w:val="17"/>
                <w:szCs w:val="17"/>
                <w:color w:val="auto"/>
              </w:rPr>
              <w:t>10</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3640" w:type="dxa"/>
            <w:vAlign w:val="bottom"/>
          </w:tcPr>
          <w:p>
            <w:pPr>
              <w:spacing w:after="0"/>
              <w:rPr>
                <w:sz w:val="24"/>
                <w:szCs w:val="24"/>
                <w:color w:val="auto"/>
              </w:rPr>
            </w:pPr>
          </w:p>
        </w:tc>
        <w:tc>
          <w:tcPr>
            <w:tcW w:w="346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1" w:right="259" w:bottom="1440" w:gutter="0" w:footer="0" w:header="0"/>
        </w:sectPr>
      </w:pPr>
    </w:p>
    <w:bookmarkStart w:id="10" w:name="page11"/>
    <w:bookmarkEnd w:id="1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AMC NETWORKS INC.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NOTES TO CONSOLIDATED FINANCIAL STATEMENTS - (Continued)</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(Dollars in thousands, except per share amounts)</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(Unaudited)</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summarize information relating to the Company’s identifiable intangible assets:</w:t>
      </w:r>
    </w:p>
    <w:p>
      <w:pPr>
        <w:spacing w:after="0" w:line="208" w:lineRule="exact"/>
        <w:rPr>
          <w:sz w:val="20"/>
          <w:szCs w:val="20"/>
          <w:color w:val="auto"/>
        </w:rPr>
      </w:pPr>
    </w:p>
    <w:tbl>
      <w:tblPr>
        <w:tblLayout w:type="fixed"/>
        <w:tblInd w:w="92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3"/>
                <w:szCs w:val="13"/>
                <w:b w:val="1"/>
                <w:bCs w:val="1"/>
                <w:color w:val="auto"/>
              </w:rPr>
              <w:t>March 31, 2012</w:t>
            </w:r>
          </w:p>
        </w:tc>
        <w:tc>
          <w:tcPr>
            <w:tcW w:w="2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20" w:type="dxa"/>
            <w:vAlign w:val="bottom"/>
            <w:gridSpan w:val="2"/>
          </w:tcPr>
          <w:p>
            <w:pPr>
              <w:jc w:val="right"/>
              <w:ind w:right="280"/>
              <w:spacing w:after="0" w:line="126" w:lineRule="exact"/>
              <w:rPr>
                <w:sz w:val="20"/>
                <w:szCs w:val="20"/>
                <w:color w:val="auto"/>
              </w:rPr>
            </w:pPr>
            <w:r>
              <w:rPr>
                <w:rFonts w:ascii="Arial" w:cs="Arial" w:eastAsia="Arial" w:hAnsi="Arial"/>
                <w:sz w:val="13"/>
                <w:szCs w:val="13"/>
                <w:b w:val="1"/>
                <w:bCs w:val="1"/>
                <w:color w:val="auto"/>
                <w:w w:val="88"/>
              </w:rPr>
              <w:t>Accumulated</w:t>
            </w: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ind w:right="157"/>
              <w:spacing w:after="0"/>
              <w:rPr>
                <w:sz w:val="20"/>
                <w:szCs w:val="20"/>
                <w:color w:val="auto"/>
              </w:rPr>
            </w:pPr>
            <w:r>
              <w:rPr>
                <w:rFonts w:ascii="Arial" w:cs="Arial" w:eastAsia="Arial" w:hAnsi="Arial"/>
                <w:sz w:val="13"/>
                <w:szCs w:val="13"/>
                <w:b w:val="1"/>
                <w:bCs w:val="1"/>
                <w:color w:val="auto"/>
              </w:rPr>
              <w:t>Gross</w:t>
            </w:r>
          </w:p>
        </w:tc>
        <w:tc>
          <w:tcPr>
            <w:tcW w:w="1480" w:type="dxa"/>
            <w:vAlign w:val="bottom"/>
            <w:gridSpan w:val="3"/>
          </w:tcPr>
          <w:p>
            <w:pPr>
              <w:jc w:val="right"/>
              <w:ind w:right="260"/>
              <w:spacing w:after="0"/>
              <w:rPr>
                <w:sz w:val="20"/>
                <w:szCs w:val="20"/>
                <w:color w:val="auto"/>
              </w:rPr>
            </w:pPr>
            <w:r>
              <w:rPr>
                <w:rFonts w:ascii="Arial" w:cs="Arial" w:eastAsia="Arial" w:hAnsi="Arial"/>
                <w:sz w:val="13"/>
                <w:szCs w:val="13"/>
                <w:b w:val="1"/>
                <w:bCs w:val="1"/>
                <w:color w:val="auto"/>
              </w:rPr>
              <w:t>Amortization</w:t>
            </w:r>
          </w:p>
        </w:tc>
        <w:tc>
          <w:tcPr>
            <w:tcW w:w="200" w:type="dxa"/>
            <w:vAlign w:val="bottom"/>
          </w:tcPr>
          <w:p>
            <w:pPr>
              <w:spacing w:after="0"/>
              <w:rPr>
                <w:sz w:val="13"/>
                <w:szCs w:val="13"/>
                <w:color w:val="auto"/>
              </w:rPr>
            </w:pPr>
          </w:p>
        </w:tc>
        <w:tc>
          <w:tcPr>
            <w:tcW w:w="760" w:type="dxa"/>
            <w:vAlign w:val="bottom"/>
            <w:gridSpan w:val="2"/>
          </w:tcPr>
          <w:p>
            <w:pPr>
              <w:ind w:left="220"/>
              <w:spacing w:after="0"/>
              <w:rPr>
                <w:sz w:val="20"/>
                <w:szCs w:val="20"/>
                <w:color w:val="auto"/>
              </w:rPr>
            </w:pPr>
            <w:r>
              <w:rPr>
                <w:rFonts w:ascii="Arial" w:cs="Arial" w:eastAsia="Arial" w:hAnsi="Arial"/>
                <w:sz w:val="13"/>
                <w:szCs w:val="13"/>
                <w:b w:val="1"/>
                <w:bCs w:val="1"/>
                <w:color w:val="auto"/>
              </w:rPr>
              <w:t>Net</w:t>
            </w:r>
          </w:p>
        </w:tc>
        <w:tc>
          <w:tcPr>
            <w:tcW w:w="0" w:type="dxa"/>
            <w:vAlign w:val="bottom"/>
          </w:tcPr>
          <w:p>
            <w:pPr>
              <w:spacing w:after="0"/>
              <w:rPr>
                <w:sz w:val="1"/>
                <w:szCs w:val="1"/>
                <w:color w:val="auto"/>
              </w:rPr>
            </w:pPr>
          </w:p>
        </w:tc>
      </w:tr>
      <w:tr>
        <w:trPr>
          <w:trHeight w:val="171"/>
        </w:trPr>
        <w:tc>
          <w:tcPr>
            <w:tcW w:w="20" w:type="dxa"/>
            <w:vAlign w:val="bottom"/>
            <w:tcBorders>
              <w:bottom w:val="single" w:sz="8" w:color="auto"/>
            </w:tcBorders>
          </w:tcPr>
          <w:p>
            <w:pPr>
              <w:spacing w:after="0"/>
              <w:rPr>
                <w:sz w:val="14"/>
                <w:szCs w:val="14"/>
                <w:color w:val="auto"/>
              </w:rPr>
            </w:pPr>
          </w:p>
        </w:tc>
        <w:tc>
          <w:tcPr>
            <w:tcW w:w="2060" w:type="dxa"/>
            <w:vAlign w:val="bottom"/>
            <w:tcBorders>
              <w:top w:val="single" w:sz="8" w:color="CCEEFF"/>
              <w:bottom w:val="single" w:sz="8" w:color="auto"/>
            </w:tcBorders>
            <w:shd w:val="clear" w:color="auto" w:fill="CCEEFF"/>
          </w:tcPr>
          <w:p>
            <w:pPr>
              <w:spacing w:after="0" w:line="151" w:lineRule="exact"/>
              <w:rPr>
                <w:sz w:val="20"/>
                <w:szCs w:val="20"/>
                <w:color w:val="auto"/>
              </w:rPr>
            </w:pPr>
            <w:r>
              <w:rPr>
                <w:rFonts w:ascii="Arial" w:cs="Arial" w:eastAsia="Arial" w:hAnsi="Arial"/>
                <w:sz w:val="17"/>
                <w:szCs w:val="17"/>
                <w:color w:val="auto"/>
                <w:w w:val="90"/>
              </w:rPr>
              <w:t>Amortizable intangible assets:</w:t>
            </w:r>
          </w:p>
        </w:tc>
        <w:tc>
          <w:tcPr>
            <w:tcW w:w="430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80" w:type="dxa"/>
            <w:vAlign w:val="bottom"/>
            <w:tcBorders>
              <w:top w:val="single" w:sz="8" w:color="auto"/>
              <w:bottom w:val="single" w:sz="8" w:color="CCEEFF"/>
            </w:tcBorders>
            <w:shd w:val="clear" w:color="auto" w:fill="CCEEFF"/>
          </w:tcPr>
          <w:p>
            <w:pPr>
              <w:spacing w:after="0"/>
              <w:rPr>
                <w:sz w:val="14"/>
                <w:szCs w:val="14"/>
                <w:color w:val="auto"/>
              </w:rPr>
            </w:pPr>
          </w:p>
        </w:tc>
        <w:tc>
          <w:tcPr>
            <w:tcW w:w="700" w:type="dxa"/>
            <w:vAlign w:val="bottom"/>
            <w:tcBorders>
              <w:top w:val="single" w:sz="8" w:color="auto"/>
              <w:bottom w:val="single" w:sz="8" w:color="CCEEFF"/>
            </w:tcBorders>
            <w:shd w:val="clear" w:color="auto" w:fill="CCEEFF"/>
          </w:tcPr>
          <w:p>
            <w:pPr>
              <w:spacing w:after="0"/>
              <w:rPr>
                <w:sz w:val="14"/>
                <w:szCs w:val="14"/>
                <w:color w:val="auto"/>
              </w:rPr>
            </w:pPr>
          </w:p>
        </w:tc>
        <w:tc>
          <w:tcPr>
            <w:tcW w:w="460" w:type="dxa"/>
            <w:vAlign w:val="bottom"/>
            <w:tcBorders>
              <w:top w:val="single" w:sz="8" w:color="CCEEFF"/>
              <w:bottom w:val="single" w:sz="8" w:color="CCEEFF"/>
            </w:tcBorders>
            <w:shd w:val="clear" w:color="auto" w:fill="CCEEFF"/>
          </w:tcPr>
          <w:p>
            <w:pPr>
              <w:spacing w:after="0"/>
              <w:rPr>
                <w:sz w:val="14"/>
                <w:szCs w:val="14"/>
                <w:color w:val="auto"/>
              </w:rPr>
            </w:pPr>
          </w:p>
        </w:tc>
        <w:tc>
          <w:tcPr>
            <w:tcW w:w="760" w:type="dxa"/>
            <w:vAlign w:val="bottom"/>
            <w:tcBorders>
              <w:top w:val="single" w:sz="8" w:color="auto"/>
              <w:bottom w:val="single" w:sz="8" w:color="CCEEFF"/>
            </w:tcBorders>
            <w:shd w:val="clear" w:color="auto" w:fill="CCEEFF"/>
          </w:tcPr>
          <w:p>
            <w:pPr>
              <w:spacing w:after="0"/>
              <w:rPr>
                <w:sz w:val="14"/>
                <w:szCs w:val="14"/>
                <w:color w:val="auto"/>
              </w:rPr>
            </w:pPr>
          </w:p>
        </w:tc>
        <w:tc>
          <w:tcPr>
            <w:tcW w:w="26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66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360" w:type="dxa"/>
            <w:vAlign w:val="bottom"/>
            <w:gridSpan w:val="3"/>
          </w:tcPr>
          <w:p>
            <w:pPr>
              <w:ind w:left="400"/>
              <w:spacing w:after="0"/>
              <w:rPr>
                <w:sz w:val="20"/>
                <w:szCs w:val="20"/>
                <w:color w:val="auto"/>
              </w:rPr>
            </w:pPr>
            <w:r>
              <w:rPr>
                <w:rFonts w:ascii="Arial" w:cs="Arial" w:eastAsia="Arial" w:hAnsi="Arial"/>
                <w:sz w:val="17"/>
                <w:szCs w:val="17"/>
                <w:color w:val="auto"/>
              </w:rPr>
              <w:t>Affiliation agreements and affiliate relationships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911,357</w:t>
            </w:r>
          </w:p>
        </w:tc>
        <w:tc>
          <w:tcPr>
            <w:tcW w:w="1480" w:type="dxa"/>
            <w:vAlign w:val="bottom"/>
            <w:gridSpan w:val="3"/>
          </w:tcPr>
          <w:p>
            <w:pPr>
              <w:jc w:val="right"/>
              <w:ind w:right="200"/>
              <w:spacing w:after="0"/>
              <w:rPr>
                <w:sz w:val="20"/>
                <w:szCs w:val="20"/>
                <w:color w:val="auto"/>
              </w:rPr>
            </w:pPr>
            <w:r>
              <w:rPr>
                <w:rFonts w:ascii="Arial" w:cs="Arial" w:eastAsia="Arial" w:hAnsi="Arial"/>
                <w:sz w:val="17"/>
                <w:szCs w:val="17"/>
                <w:color w:val="auto"/>
              </w:rPr>
              <w:t>$ (655,269)</w:t>
            </w: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$256,088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360" w:type="dxa"/>
            <w:vAlign w:val="bottom"/>
            <w:gridSpan w:val="3"/>
            <w:shd w:val="clear" w:color="auto" w:fill="CCEEFF"/>
          </w:tcPr>
          <w:p>
            <w:pPr>
              <w:ind w:left="400"/>
              <w:spacing w:after="0"/>
              <w:rPr>
                <w:sz w:val="20"/>
                <w:szCs w:val="20"/>
                <w:color w:val="auto"/>
              </w:rPr>
            </w:pPr>
            <w:r>
              <w:rPr>
                <w:rFonts w:ascii="Arial" w:cs="Arial" w:eastAsia="Arial" w:hAnsi="Arial"/>
                <w:sz w:val="17"/>
                <w:szCs w:val="17"/>
                <w:color w:val="auto"/>
              </w:rPr>
              <w:t>Advertiser relationships</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74,533</w:t>
            </w:r>
          </w:p>
        </w:tc>
        <w:tc>
          <w:tcPr>
            <w:tcW w:w="148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(64,848)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9,685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360" w:type="dxa"/>
            <w:vAlign w:val="bottom"/>
            <w:gridSpan w:val="3"/>
          </w:tcPr>
          <w:p>
            <w:pPr>
              <w:ind w:left="400"/>
              <w:spacing w:after="0"/>
              <w:rPr>
                <w:sz w:val="20"/>
                <w:szCs w:val="20"/>
                <w:color w:val="auto"/>
              </w:rPr>
            </w:pPr>
            <w:r>
              <w:rPr>
                <w:rFonts w:ascii="Arial" w:cs="Arial" w:eastAsia="Arial" w:hAnsi="Arial"/>
                <w:sz w:val="17"/>
                <w:szCs w:val="17"/>
                <w:color w:val="auto"/>
              </w:rPr>
              <w:t>Other amortizable intangible assets</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644</w:t>
            </w:r>
          </w:p>
        </w:tc>
        <w:tc>
          <w:tcPr>
            <w:tcW w:w="46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7"/>
                <w:szCs w:val="17"/>
                <w:color w:val="auto"/>
              </w:rPr>
              <w:t>(423)</w:t>
            </w: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221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vMerge w:val="continue"/>
          </w:tcPr>
          <w:p>
            <w:pPr>
              <w:spacing w:after="0"/>
              <w:rPr>
                <w:sz w:val="18"/>
                <w:szCs w:val="18"/>
                <w:color w:val="auto"/>
              </w:rPr>
            </w:pPr>
          </w:p>
        </w:tc>
        <w:tc>
          <w:tcPr>
            <w:tcW w:w="63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Total amortizable intangible assets</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986,534</w:t>
            </w:r>
          </w:p>
        </w:tc>
        <w:tc>
          <w:tcPr>
            <w:tcW w:w="4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(720,540)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265,994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6380" w:type="dxa"/>
            <w:vAlign w:val="bottom"/>
            <w:gridSpan w:val="4"/>
          </w:tcPr>
          <w:p>
            <w:pPr>
              <w:spacing w:after="0" w:line="177" w:lineRule="exact"/>
              <w:rPr>
                <w:sz w:val="20"/>
                <w:szCs w:val="20"/>
                <w:color w:val="auto"/>
              </w:rPr>
            </w:pPr>
            <w:r>
              <w:rPr>
                <w:rFonts w:ascii="Arial" w:cs="Arial" w:eastAsia="Arial" w:hAnsi="Arial"/>
                <w:sz w:val="17"/>
                <w:szCs w:val="17"/>
                <w:color w:val="auto"/>
              </w:rPr>
              <w:t>Indefinite-lived intangible assets:</w:t>
            </w:r>
          </w:p>
        </w:tc>
        <w:tc>
          <w:tcPr>
            <w:tcW w:w="8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auto"/>
            </w:tcBorders>
          </w:tcPr>
          <w:p>
            <w:pPr>
              <w:spacing w:after="0"/>
              <w:rPr>
                <w:sz w:val="19"/>
                <w:szCs w:val="19"/>
                <w:color w:val="auto"/>
              </w:rPr>
            </w:pPr>
          </w:p>
        </w:tc>
        <w:tc>
          <w:tcPr>
            <w:tcW w:w="2260" w:type="dxa"/>
            <w:vAlign w:val="bottom"/>
            <w:tcBorders>
              <w:top w:val="single" w:sz="8" w:color="auto"/>
            </w:tcBorders>
            <w:gridSpan w:val="2"/>
            <w:shd w:val="clear" w:color="auto" w:fill="CCEEFF"/>
          </w:tcPr>
          <w:p>
            <w:pPr>
              <w:ind w:left="400"/>
              <w:spacing w:after="0"/>
              <w:rPr>
                <w:sz w:val="20"/>
                <w:szCs w:val="20"/>
                <w:color w:val="auto"/>
              </w:rPr>
            </w:pPr>
            <w:r>
              <w:rPr>
                <w:rFonts w:ascii="Arial" w:cs="Arial" w:eastAsia="Arial" w:hAnsi="Arial"/>
                <w:sz w:val="17"/>
                <w:szCs w:val="17"/>
                <w:color w:val="auto"/>
              </w:rPr>
              <w:t>Trademarks</w:t>
            </w:r>
          </w:p>
        </w:tc>
        <w:tc>
          <w:tcPr>
            <w:tcW w:w="410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19,900</w:t>
            </w:r>
          </w:p>
        </w:tc>
        <w:tc>
          <w:tcPr>
            <w:tcW w:w="46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19,900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80" w:type="dxa"/>
            <w:vAlign w:val="bottom"/>
            <w:gridSpan w:val="4"/>
          </w:tcPr>
          <w:p>
            <w:pPr>
              <w:spacing w:after="0"/>
              <w:rPr>
                <w:sz w:val="20"/>
                <w:szCs w:val="20"/>
                <w:color w:val="auto"/>
              </w:rPr>
            </w:pPr>
            <w:r>
              <w:rPr>
                <w:rFonts w:ascii="Arial" w:cs="Arial" w:eastAsia="Arial" w:hAnsi="Arial"/>
                <w:sz w:val="17"/>
                <w:szCs w:val="17"/>
                <w:color w:val="auto"/>
              </w:rPr>
              <w:t>Total intangible assets</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tcPr>
          <w:p>
            <w:pPr>
              <w:jc w:val="right"/>
              <w:spacing w:after="0"/>
              <w:rPr>
                <w:sz w:val="20"/>
                <w:szCs w:val="20"/>
                <w:color w:val="auto"/>
              </w:rPr>
            </w:pPr>
            <w:r>
              <w:rPr>
                <w:rFonts w:ascii="Arial" w:cs="Arial" w:eastAsia="Arial" w:hAnsi="Arial"/>
                <w:sz w:val="17"/>
                <w:szCs w:val="17"/>
                <w:color w:val="auto"/>
                <w:w w:val="89"/>
              </w:rPr>
              <w:t>1,006,434</w:t>
            </w:r>
          </w:p>
        </w:tc>
        <w:tc>
          <w:tcPr>
            <w:tcW w:w="1480" w:type="dxa"/>
            <w:vAlign w:val="bottom"/>
            <w:gridSpan w:val="3"/>
          </w:tcPr>
          <w:p>
            <w:pPr>
              <w:jc w:val="right"/>
              <w:ind w:right="200"/>
              <w:spacing w:after="0"/>
              <w:rPr>
                <w:sz w:val="20"/>
                <w:szCs w:val="20"/>
                <w:color w:val="auto"/>
              </w:rPr>
            </w:pPr>
            <w:r>
              <w:rPr>
                <w:rFonts w:ascii="Arial" w:cs="Arial" w:eastAsia="Arial" w:hAnsi="Arial"/>
                <w:sz w:val="17"/>
                <w:szCs w:val="17"/>
                <w:color w:val="auto"/>
              </w:rPr>
              <w:t>$ (720,540)</w:t>
            </w:r>
          </w:p>
        </w:tc>
        <w:tc>
          <w:tcPr>
            <w:tcW w:w="86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285,894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3"/>
                <w:szCs w:val="13"/>
                <w:b w:val="1"/>
                <w:bCs w:val="1"/>
                <w:color w:val="auto"/>
              </w:rPr>
              <w:t>December 31, 2011</w:t>
            </w:r>
          </w:p>
        </w:tc>
        <w:tc>
          <w:tcPr>
            <w:tcW w:w="2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20" w:type="dxa"/>
            <w:vAlign w:val="bottom"/>
            <w:gridSpan w:val="2"/>
          </w:tcPr>
          <w:p>
            <w:pPr>
              <w:jc w:val="right"/>
              <w:ind w:right="280"/>
              <w:spacing w:after="0" w:line="126" w:lineRule="exact"/>
              <w:rPr>
                <w:sz w:val="20"/>
                <w:szCs w:val="20"/>
                <w:color w:val="auto"/>
              </w:rPr>
            </w:pPr>
            <w:r>
              <w:rPr>
                <w:rFonts w:ascii="Arial" w:cs="Arial" w:eastAsia="Arial" w:hAnsi="Arial"/>
                <w:sz w:val="13"/>
                <w:szCs w:val="13"/>
                <w:b w:val="1"/>
                <w:bCs w:val="1"/>
                <w:color w:val="auto"/>
                <w:w w:val="88"/>
              </w:rPr>
              <w:t>Accumulated</w:t>
            </w: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ind w:right="157"/>
              <w:spacing w:after="0"/>
              <w:rPr>
                <w:sz w:val="20"/>
                <w:szCs w:val="20"/>
                <w:color w:val="auto"/>
              </w:rPr>
            </w:pPr>
            <w:r>
              <w:rPr>
                <w:rFonts w:ascii="Arial" w:cs="Arial" w:eastAsia="Arial" w:hAnsi="Arial"/>
                <w:sz w:val="13"/>
                <w:szCs w:val="13"/>
                <w:b w:val="1"/>
                <w:bCs w:val="1"/>
                <w:color w:val="auto"/>
              </w:rPr>
              <w:t>Gross</w:t>
            </w:r>
          </w:p>
        </w:tc>
        <w:tc>
          <w:tcPr>
            <w:tcW w:w="1480" w:type="dxa"/>
            <w:vAlign w:val="bottom"/>
            <w:gridSpan w:val="3"/>
          </w:tcPr>
          <w:p>
            <w:pPr>
              <w:jc w:val="right"/>
              <w:ind w:right="260"/>
              <w:spacing w:after="0"/>
              <w:rPr>
                <w:sz w:val="20"/>
                <w:szCs w:val="20"/>
                <w:color w:val="auto"/>
              </w:rPr>
            </w:pPr>
            <w:r>
              <w:rPr>
                <w:rFonts w:ascii="Arial" w:cs="Arial" w:eastAsia="Arial" w:hAnsi="Arial"/>
                <w:sz w:val="13"/>
                <w:szCs w:val="13"/>
                <w:b w:val="1"/>
                <w:bCs w:val="1"/>
                <w:color w:val="auto"/>
              </w:rPr>
              <w:t>Amortization</w:t>
            </w:r>
          </w:p>
        </w:tc>
        <w:tc>
          <w:tcPr>
            <w:tcW w:w="200" w:type="dxa"/>
            <w:vAlign w:val="bottom"/>
          </w:tcPr>
          <w:p>
            <w:pPr>
              <w:spacing w:after="0"/>
              <w:rPr>
                <w:sz w:val="13"/>
                <w:szCs w:val="13"/>
                <w:color w:val="auto"/>
              </w:rPr>
            </w:pPr>
          </w:p>
        </w:tc>
        <w:tc>
          <w:tcPr>
            <w:tcW w:w="760" w:type="dxa"/>
            <w:vAlign w:val="bottom"/>
            <w:gridSpan w:val="2"/>
          </w:tcPr>
          <w:p>
            <w:pPr>
              <w:ind w:left="220"/>
              <w:spacing w:after="0"/>
              <w:rPr>
                <w:sz w:val="20"/>
                <w:szCs w:val="20"/>
                <w:color w:val="auto"/>
              </w:rPr>
            </w:pPr>
            <w:r>
              <w:rPr>
                <w:rFonts w:ascii="Arial" w:cs="Arial" w:eastAsia="Arial" w:hAnsi="Arial"/>
                <w:sz w:val="13"/>
                <w:szCs w:val="13"/>
                <w:b w:val="1"/>
                <w:bCs w:val="1"/>
                <w:color w:val="auto"/>
              </w:rPr>
              <w:t>Net</w:t>
            </w:r>
          </w:p>
        </w:tc>
        <w:tc>
          <w:tcPr>
            <w:tcW w:w="0" w:type="dxa"/>
            <w:vAlign w:val="bottom"/>
          </w:tcPr>
          <w:p>
            <w:pPr>
              <w:spacing w:after="0"/>
              <w:rPr>
                <w:sz w:val="1"/>
                <w:szCs w:val="1"/>
                <w:color w:val="auto"/>
              </w:rPr>
            </w:pPr>
          </w:p>
        </w:tc>
      </w:tr>
      <w:tr>
        <w:trPr>
          <w:trHeight w:val="171"/>
        </w:trPr>
        <w:tc>
          <w:tcPr>
            <w:tcW w:w="20" w:type="dxa"/>
            <w:vAlign w:val="bottom"/>
            <w:tcBorders>
              <w:bottom w:val="single" w:sz="8" w:color="auto"/>
            </w:tcBorders>
          </w:tcPr>
          <w:p>
            <w:pPr>
              <w:spacing w:after="0"/>
              <w:rPr>
                <w:sz w:val="14"/>
                <w:szCs w:val="14"/>
                <w:color w:val="auto"/>
              </w:rPr>
            </w:pPr>
          </w:p>
        </w:tc>
        <w:tc>
          <w:tcPr>
            <w:tcW w:w="2060" w:type="dxa"/>
            <w:vAlign w:val="bottom"/>
            <w:tcBorders>
              <w:top w:val="single" w:sz="8" w:color="CCEEFF"/>
              <w:bottom w:val="single" w:sz="8" w:color="auto"/>
            </w:tcBorders>
            <w:shd w:val="clear" w:color="auto" w:fill="CCEEFF"/>
          </w:tcPr>
          <w:p>
            <w:pPr>
              <w:spacing w:after="0" w:line="151" w:lineRule="exact"/>
              <w:rPr>
                <w:sz w:val="20"/>
                <w:szCs w:val="20"/>
                <w:color w:val="auto"/>
              </w:rPr>
            </w:pPr>
            <w:r>
              <w:rPr>
                <w:rFonts w:ascii="Arial" w:cs="Arial" w:eastAsia="Arial" w:hAnsi="Arial"/>
                <w:sz w:val="17"/>
                <w:szCs w:val="17"/>
                <w:color w:val="auto"/>
                <w:w w:val="90"/>
              </w:rPr>
              <w:t>Amortizable intangible assets:</w:t>
            </w:r>
          </w:p>
        </w:tc>
        <w:tc>
          <w:tcPr>
            <w:tcW w:w="430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80" w:type="dxa"/>
            <w:vAlign w:val="bottom"/>
            <w:tcBorders>
              <w:top w:val="single" w:sz="8" w:color="auto"/>
              <w:bottom w:val="single" w:sz="8" w:color="CCEEFF"/>
            </w:tcBorders>
            <w:shd w:val="clear" w:color="auto" w:fill="CCEEFF"/>
          </w:tcPr>
          <w:p>
            <w:pPr>
              <w:spacing w:after="0"/>
              <w:rPr>
                <w:sz w:val="14"/>
                <w:szCs w:val="14"/>
                <w:color w:val="auto"/>
              </w:rPr>
            </w:pPr>
          </w:p>
        </w:tc>
        <w:tc>
          <w:tcPr>
            <w:tcW w:w="700" w:type="dxa"/>
            <w:vAlign w:val="bottom"/>
            <w:tcBorders>
              <w:top w:val="single" w:sz="8" w:color="auto"/>
              <w:bottom w:val="single" w:sz="8" w:color="CCEEFF"/>
            </w:tcBorders>
            <w:shd w:val="clear" w:color="auto" w:fill="CCEEFF"/>
          </w:tcPr>
          <w:p>
            <w:pPr>
              <w:spacing w:after="0"/>
              <w:rPr>
                <w:sz w:val="14"/>
                <w:szCs w:val="14"/>
                <w:color w:val="auto"/>
              </w:rPr>
            </w:pPr>
          </w:p>
        </w:tc>
        <w:tc>
          <w:tcPr>
            <w:tcW w:w="460" w:type="dxa"/>
            <w:vAlign w:val="bottom"/>
            <w:tcBorders>
              <w:top w:val="single" w:sz="8" w:color="CCEEFF"/>
              <w:bottom w:val="single" w:sz="8" w:color="CCEEFF"/>
            </w:tcBorders>
            <w:shd w:val="clear" w:color="auto" w:fill="CCEEFF"/>
          </w:tcPr>
          <w:p>
            <w:pPr>
              <w:spacing w:after="0"/>
              <w:rPr>
                <w:sz w:val="14"/>
                <w:szCs w:val="14"/>
                <w:color w:val="auto"/>
              </w:rPr>
            </w:pPr>
          </w:p>
        </w:tc>
        <w:tc>
          <w:tcPr>
            <w:tcW w:w="760" w:type="dxa"/>
            <w:vAlign w:val="bottom"/>
            <w:tcBorders>
              <w:top w:val="single" w:sz="8" w:color="auto"/>
              <w:bottom w:val="single" w:sz="8" w:color="CCEEFF"/>
            </w:tcBorders>
            <w:shd w:val="clear" w:color="auto" w:fill="CCEEFF"/>
          </w:tcPr>
          <w:p>
            <w:pPr>
              <w:spacing w:after="0"/>
              <w:rPr>
                <w:sz w:val="14"/>
                <w:szCs w:val="14"/>
                <w:color w:val="auto"/>
              </w:rPr>
            </w:pPr>
          </w:p>
        </w:tc>
        <w:tc>
          <w:tcPr>
            <w:tcW w:w="26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66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360" w:type="dxa"/>
            <w:vAlign w:val="bottom"/>
            <w:gridSpan w:val="3"/>
          </w:tcPr>
          <w:p>
            <w:pPr>
              <w:ind w:left="400"/>
              <w:spacing w:after="0"/>
              <w:rPr>
                <w:sz w:val="20"/>
                <w:szCs w:val="20"/>
                <w:color w:val="auto"/>
              </w:rPr>
            </w:pPr>
            <w:r>
              <w:rPr>
                <w:rFonts w:ascii="Arial" w:cs="Arial" w:eastAsia="Arial" w:hAnsi="Arial"/>
                <w:sz w:val="17"/>
                <w:szCs w:val="17"/>
                <w:color w:val="auto"/>
              </w:rPr>
              <w:t>Affiliation agreements and affiliate relationships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911,357</w:t>
            </w:r>
          </w:p>
        </w:tc>
        <w:tc>
          <w:tcPr>
            <w:tcW w:w="1480" w:type="dxa"/>
            <w:vAlign w:val="bottom"/>
            <w:gridSpan w:val="3"/>
          </w:tcPr>
          <w:p>
            <w:pPr>
              <w:jc w:val="right"/>
              <w:ind w:right="200"/>
              <w:spacing w:after="0"/>
              <w:rPr>
                <w:sz w:val="20"/>
                <w:szCs w:val="20"/>
                <w:color w:val="auto"/>
              </w:rPr>
            </w:pPr>
            <w:r>
              <w:rPr>
                <w:rFonts w:ascii="Arial" w:cs="Arial" w:eastAsia="Arial" w:hAnsi="Arial"/>
                <w:sz w:val="17"/>
                <w:szCs w:val="17"/>
                <w:color w:val="auto"/>
              </w:rPr>
              <w:t>$ (637,394)</w:t>
            </w: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$273,963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360" w:type="dxa"/>
            <w:vAlign w:val="bottom"/>
            <w:gridSpan w:val="3"/>
            <w:shd w:val="clear" w:color="auto" w:fill="CCEEFF"/>
          </w:tcPr>
          <w:p>
            <w:pPr>
              <w:ind w:left="400"/>
              <w:spacing w:after="0"/>
              <w:rPr>
                <w:sz w:val="20"/>
                <w:szCs w:val="20"/>
                <w:color w:val="auto"/>
              </w:rPr>
            </w:pPr>
            <w:r>
              <w:rPr>
                <w:rFonts w:ascii="Arial" w:cs="Arial" w:eastAsia="Arial" w:hAnsi="Arial"/>
                <w:sz w:val="17"/>
                <w:szCs w:val="17"/>
                <w:color w:val="auto"/>
              </w:rPr>
              <w:t>Advertiser relationships</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103,723</w:t>
            </w:r>
          </w:p>
        </w:tc>
        <w:tc>
          <w:tcPr>
            <w:tcW w:w="148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(92,166)</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11,557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360" w:type="dxa"/>
            <w:vAlign w:val="bottom"/>
            <w:gridSpan w:val="3"/>
          </w:tcPr>
          <w:p>
            <w:pPr>
              <w:ind w:left="400"/>
              <w:spacing w:after="0"/>
              <w:rPr>
                <w:sz w:val="20"/>
                <w:szCs w:val="20"/>
                <w:color w:val="auto"/>
              </w:rPr>
            </w:pPr>
            <w:r>
              <w:rPr>
                <w:rFonts w:ascii="Arial" w:cs="Arial" w:eastAsia="Arial" w:hAnsi="Arial"/>
                <w:sz w:val="17"/>
                <w:szCs w:val="17"/>
                <w:color w:val="auto"/>
              </w:rPr>
              <w:t>Other amortizable intangible assets</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644</w:t>
            </w:r>
          </w:p>
        </w:tc>
        <w:tc>
          <w:tcPr>
            <w:tcW w:w="46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7"/>
                <w:szCs w:val="17"/>
                <w:color w:val="auto"/>
              </w:rPr>
              <w:t>(391)</w:t>
            </w: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253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vMerge w:val="continue"/>
          </w:tcPr>
          <w:p>
            <w:pPr>
              <w:spacing w:after="0"/>
              <w:rPr>
                <w:sz w:val="18"/>
                <w:szCs w:val="18"/>
                <w:color w:val="auto"/>
              </w:rPr>
            </w:pPr>
          </w:p>
        </w:tc>
        <w:tc>
          <w:tcPr>
            <w:tcW w:w="63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Total amortizable intangible assets</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1,015,724</w:t>
            </w:r>
          </w:p>
        </w:tc>
        <w:tc>
          <w:tcPr>
            <w:tcW w:w="4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(729,951)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285,773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6380" w:type="dxa"/>
            <w:vAlign w:val="bottom"/>
            <w:gridSpan w:val="4"/>
          </w:tcPr>
          <w:p>
            <w:pPr>
              <w:spacing w:after="0" w:line="177" w:lineRule="exact"/>
              <w:rPr>
                <w:sz w:val="20"/>
                <w:szCs w:val="20"/>
                <w:color w:val="auto"/>
              </w:rPr>
            </w:pPr>
            <w:r>
              <w:rPr>
                <w:rFonts w:ascii="Arial" w:cs="Arial" w:eastAsia="Arial" w:hAnsi="Arial"/>
                <w:sz w:val="17"/>
                <w:szCs w:val="17"/>
                <w:color w:val="auto"/>
              </w:rPr>
              <w:t>Indefinite-lived intangible assets:</w:t>
            </w:r>
          </w:p>
        </w:tc>
        <w:tc>
          <w:tcPr>
            <w:tcW w:w="8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auto"/>
            </w:tcBorders>
          </w:tcPr>
          <w:p>
            <w:pPr>
              <w:spacing w:after="0"/>
              <w:rPr>
                <w:sz w:val="19"/>
                <w:szCs w:val="19"/>
                <w:color w:val="auto"/>
              </w:rPr>
            </w:pPr>
          </w:p>
        </w:tc>
        <w:tc>
          <w:tcPr>
            <w:tcW w:w="2260" w:type="dxa"/>
            <w:vAlign w:val="bottom"/>
            <w:tcBorders>
              <w:top w:val="single" w:sz="8" w:color="auto"/>
            </w:tcBorders>
            <w:gridSpan w:val="2"/>
            <w:shd w:val="clear" w:color="auto" w:fill="CCEEFF"/>
          </w:tcPr>
          <w:p>
            <w:pPr>
              <w:ind w:left="400"/>
              <w:spacing w:after="0"/>
              <w:rPr>
                <w:sz w:val="20"/>
                <w:szCs w:val="20"/>
                <w:color w:val="auto"/>
              </w:rPr>
            </w:pPr>
            <w:r>
              <w:rPr>
                <w:rFonts w:ascii="Arial" w:cs="Arial" w:eastAsia="Arial" w:hAnsi="Arial"/>
                <w:sz w:val="17"/>
                <w:szCs w:val="17"/>
                <w:color w:val="auto"/>
              </w:rPr>
              <w:t>Trademarks</w:t>
            </w:r>
          </w:p>
        </w:tc>
        <w:tc>
          <w:tcPr>
            <w:tcW w:w="410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19,900</w:t>
            </w:r>
          </w:p>
        </w:tc>
        <w:tc>
          <w:tcPr>
            <w:tcW w:w="46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19,900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80" w:type="dxa"/>
            <w:vAlign w:val="bottom"/>
            <w:gridSpan w:val="4"/>
          </w:tcPr>
          <w:p>
            <w:pPr>
              <w:spacing w:after="0"/>
              <w:rPr>
                <w:sz w:val="20"/>
                <w:szCs w:val="20"/>
                <w:color w:val="auto"/>
              </w:rPr>
            </w:pPr>
            <w:r>
              <w:rPr>
                <w:rFonts w:ascii="Arial" w:cs="Arial" w:eastAsia="Arial" w:hAnsi="Arial"/>
                <w:sz w:val="17"/>
                <w:szCs w:val="17"/>
                <w:color w:val="auto"/>
              </w:rPr>
              <w:t>Total intangible assets</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tcPr>
          <w:p>
            <w:pPr>
              <w:jc w:val="right"/>
              <w:spacing w:after="0"/>
              <w:rPr>
                <w:sz w:val="20"/>
                <w:szCs w:val="20"/>
                <w:color w:val="auto"/>
              </w:rPr>
            </w:pPr>
            <w:r>
              <w:rPr>
                <w:rFonts w:ascii="Arial" w:cs="Arial" w:eastAsia="Arial" w:hAnsi="Arial"/>
                <w:sz w:val="17"/>
                <w:szCs w:val="17"/>
                <w:color w:val="auto"/>
                <w:w w:val="89"/>
              </w:rPr>
              <w:t>1,035,624</w:t>
            </w:r>
          </w:p>
        </w:tc>
        <w:tc>
          <w:tcPr>
            <w:tcW w:w="1480" w:type="dxa"/>
            <w:vAlign w:val="bottom"/>
            <w:gridSpan w:val="3"/>
          </w:tcPr>
          <w:p>
            <w:pPr>
              <w:jc w:val="right"/>
              <w:ind w:right="200"/>
              <w:spacing w:after="0"/>
              <w:rPr>
                <w:sz w:val="20"/>
                <w:szCs w:val="20"/>
                <w:color w:val="auto"/>
              </w:rPr>
            </w:pPr>
            <w:r>
              <w:rPr>
                <w:rFonts w:ascii="Arial" w:cs="Arial" w:eastAsia="Arial" w:hAnsi="Arial"/>
                <w:sz w:val="17"/>
                <w:szCs w:val="17"/>
                <w:color w:val="auto"/>
              </w:rPr>
              <w:t>$ (729,951)</w:t>
            </w:r>
          </w:p>
        </w:tc>
        <w:tc>
          <w:tcPr>
            <w:tcW w:w="86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305,673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During the three months ended March 31, 2012, the Company retired $29,190 of fully amortized advertiser relationships.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Aggregate amortization expense for amortizable intangible assets for the three months ended March 31, 2012 and 2011 was $19,777 and $19,778, respectively.</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The Company expects its aggregate amortization expense for existing intangible assets subject to amortization to be as follows:</w:t>
      </w:r>
    </w:p>
    <w:p>
      <w:pPr>
        <w:spacing w:after="0" w:line="191" w:lineRule="exact"/>
        <w:rPr>
          <w:sz w:val="20"/>
          <w:szCs w:val="20"/>
          <w:color w:val="auto"/>
        </w:rPr>
      </w:pPr>
    </w:p>
    <w:tbl>
      <w:tblPr>
        <w:tblLayout w:type="fixed"/>
        <w:tblInd w:w="1840" w:type="dxa"/>
        <w:tblCellMar>
          <w:top w:w="0" w:type="dxa"/>
          <w:left w:w="0" w:type="dxa"/>
          <w:bottom w:w="0" w:type="dxa"/>
          <w:right w:w="0" w:type="dxa"/>
        </w:tblCellMar>
      </w:tblPr>
      <w:tr>
        <w:trPr>
          <w:trHeight w:val="215"/>
        </w:trPr>
        <w:tc>
          <w:tcPr>
            <w:tcW w:w="20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w w:val="89"/>
              </w:rPr>
              <w:t>Years Ending December 31,</w:t>
            </w:r>
          </w:p>
        </w:tc>
        <w:tc>
          <w:tcPr>
            <w:tcW w:w="5740" w:type="dxa"/>
            <w:vAlign w:val="bottom"/>
            <w:tcBorders>
              <w:bottom w:val="single" w:sz="8" w:color="CCEEFF"/>
            </w:tcBorders>
            <w:shd w:val="clear" w:color="auto" w:fill="CCEEFF"/>
          </w:tcPr>
          <w:p>
            <w:pPr>
              <w:spacing w:after="0"/>
              <w:rPr>
                <w:sz w:val="18"/>
                <w:szCs w:val="18"/>
                <w:color w:val="auto"/>
              </w:rPr>
            </w:pPr>
          </w:p>
        </w:tc>
      </w:tr>
      <w:tr>
        <w:trPr>
          <w:trHeight w:val="211"/>
        </w:trPr>
        <w:tc>
          <w:tcPr>
            <w:tcW w:w="2020" w:type="dxa"/>
            <w:vAlign w:val="bottom"/>
          </w:tcPr>
          <w:p>
            <w:pPr>
              <w:spacing w:after="0"/>
              <w:rPr>
                <w:sz w:val="20"/>
                <w:szCs w:val="20"/>
                <w:color w:val="auto"/>
              </w:rPr>
            </w:pPr>
            <w:r>
              <w:rPr>
                <w:rFonts w:ascii="Arial" w:cs="Arial" w:eastAsia="Arial" w:hAnsi="Arial"/>
                <w:sz w:val="17"/>
                <w:szCs w:val="17"/>
                <w:color w:val="auto"/>
              </w:rPr>
              <w:t>2012</w:t>
            </w:r>
          </w:p>
        </w:tc>
        <w:tc>
          <w:tcPr>
            <w:tcW w:w="5740" w:type="dxa"/>
            <w:vAlign w:val="bottom"/>
          </w:tcPr>
          <w:p>
            <w:pPr>
              <w:jc w:val="right"/>
              <w:ind w:right="14"/>
              <w:spacing w:after="0"/>
              <w:rPr>
                <w:sz w:val="20"/>
                <w:szCs w:val="20"/>
                <w:color w:val="auto"/>
              </w:rPr>
            </w:pPr>
            <w:r>
              <w:rPr>
                <w:rFonts w:ascii="Arial" w:cs="Arial" w:eastAsia="Arial" w:hAnsi="Arial"/>
                <w:sz w:val="17"/>
                <w:szCs w:val="17"/>
                <w:color w:val="auto"/>
              </w:rPr>
              <w:t>$64,436</w:t>
            </w:r>
          </w:p>
        </w:tc>
      </w:tr>
      <w:tr>
        <w:trPr>
          <w:trHeight w:val="211"/>
        </w:trPr>
        <w:tc>
          <w:tcPr>
            <w:tcW w:w="2020" w:type="dxa"/>
            <w:vAlign w:val="bottom"/>
            <w:shd w:val="clear" w:color="auto" w:fill="CCEEFF"/>
          </w:tcPr>
          <w:p>
            <w:pPr>
              <w:spacing w:after="0"/>
              <w:rPr>
                <w:sz w:val="20"/>
                <w:szCs w:val="20"/>
                <w:color w:val="auto"/>
              </w:rPr>
            </w:pPr>
            <w:r>
              <w:rPr>
                <w:rFonts w:ascii="Arial" w:cs="Arial" w:eastAsia="Arial" w:hAnsi="Arial"/>
                <w:sz w:val="17"/>
                <w:szCs w:val="17"/>
                <w:color w:val="auto"/>
              </w:rPr>
              <w:t>2013</w:t>
            </w:r>
          </w:p>
        </w:tc>
        <w:tc>
          <w:tcPr>
            <w:tcW w:w="574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31,678</w:t>
            </w:r>
          </w:p>
        </w:tc>
      </w:tr>
      <w:tr>
        <w:trPr>
          <w:trHeight w:val="211"/>
        </w:trPr>
        <w:tc>
          <w:tcPr>
            <w:tcW w:w="2020" w:type="dxa"/>
            <w:vAlign w:val="bottom"/>
          </w:tcPr>
          <w:p>
            <w:pPr>
              <w:spacing w:after="0"/>
              <w:rPr>
                <w:sz w:val="20"/>
                <w:szCs w:val="20"/>
                <w:color w:val="auto"/>
              </w:rPr>
            </w:pPr>
            <w:r>
              <w:rPr>
                <w:rFonts w:ascii="Arial" w:cs="Arial" w:eastAsia="Arial" w:hAnsi="Arial"/>
                <w:sz w:val="17"/>
                <w:szCs w:val="17"/>
                <w:color w:val="auto"/>
              </w:rPr>
              <w:t>2014</w:t>
            </w:r>
          </w:p>
        </w:tc>
        <w:tc>
          <w:tcPr>
            <w:tcW w:w="5740" w:type="dxa"/>
            <w:vAlign w:val="bottom"/>
          </w:tcPr>
          <w:p>
            <w:pPr>
              <w:jc w:val="right"/>
              <w:ind w:right="14"/>
              <w:spacing w:after="0"/>
              <w:rPr>
                <w:sz w:val="20"/>
                <w:szCs w:val="20"/>
                <w:color w:val="auto"/>
              </w:rPr>
            </w:pPr>
            <w:r>
              <w:rPr>
                <w:rFonts w:ascii="Arial" w:cs="Arial" w:eastAsia="Arial" w:hAnsi="Arial"/>
                <w:sz w:val="17"/>
                <w:szCs w:val="17"/>
                <w:color w:val="auto"/>
              </w:rPr>
              <w:t>9,765</w:t>
            </w:r>
          </w:p>
        </w:tc>
      </w:tr>
      <w:tr>
        <w:trPr>
          <w:trHeight w:val="211"/>
        </w:trPr>
        <w:tc>
          <w:tcPr>
            <w:tcW w:w="2020" w:type="dxa"/>
            <w:vAlign w:val="bottom"/>
            <w:shd w:val="clear" w:color="auto" w:fill="CCEEFF"/>
          </w:tcPr>
          <w:p>
            <w:pPr>
              <w:spacing w:after="0"/>
              <w:rPr>
                <w:sz w:val="20"/>
                <w:szCs w:val="20"/>
                <w:color w:val="auto"/>
              </w:rPr>
            </w:pPr>
            <w:r>
              <w:rPr>
                <w:rFonts w:ascii="Arial" w:cs="Arial" w:eastAsia="Arial" w:hAnsi="Arial"/>
                <w:sz w:val="17"/>
                <w:szCs w:val="17"/>
                <w:color w:val="auto"/>
              </w:rPr>
              <w:t>2015</w:t>
            </w:r>
          </w:p>
        </w:tc>
        <w:tc>
          <w:tcPr>
            <w:tcW w:w="574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9,746</w:t>
            </w:r>
          </w:p>
        </w:tc>
      </w:tr>
      <w:tr>
        <w:trPr>
          <w:trHeight w:val="217"/>
        </w:trPr>
        <w:tc>
          <w:tcPr>
            <w:tcW w:w="2020" w:type="dxa"/>
            <w:vAlign w:val="bottom"/>
          </w:tcPr>
          <w:p>
            <w:pPr>
              <w:spacing w:after="0"/>
              <w:rPr>
                <w:sz w:val="20"/>
                <w:szCs w:val="20"/>
                <w:color w:val="auto"/>
              </w:rPr>
            </w:pPr>
            <w:r>
              <w:rPr>
                <w:rFonts w:ascii="Arial" w:cs="Arial" w:eastAsia="Arial" w:hAnsi="Arial"/>
                <w:sz w:val="17"/>
                <w:szCs w:val="17"/>
                <w:color w:val="auto"/>
              </w:rPr>
              <w:t>2016</w:t>
            </w:r>
          </w:p>
        </w:tc>
        <w:tc>
          <w:tcPr>
            <w:tcW w:w="5740" w:type="dxa"/>
            <w:vAlign w:val="bottom"/>
          </w:tcPr>
          <w:p>
            <w:pPr>
              <w:jc w:val="right"/>
              <w:ind w:right="14"/>
              <w:spacing w:after="0"/>
              <w:rPr>
                <w:sz w:val="20"/>
                <w:szCs w:val="20"/>
                <w:color w:val="auto"/>
              </w:rPr>
            </w:pPr>
            <w:r>
              <w:rPr>
                <w:rFonts w:ascii="Arial" w:cs="Arial" w:eastAsia="Arial" w:hAnsi="Arial"/>
                <w:sz w:val="17"/>
                <w:szCs w:val="17"/>
                <w:color w:val="auto"/>
              </w:rPr>
              <w:t>9,746</w:t>
            </w:r>
          </w:p>
        </w:tc>
      </w:tr>
    </w:tbl>
    <w:p>
      <w:pPr>
        <w:spacing w:after="0" w:line="223"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Impairment of Goodwill and Identifiable Indefinite-Lived Intangible Assets</w:t>
      </w:r>
    </w:p>
    <w:p>
      <w:pPr>
        <w:spacing w:after="0" w:line="94" w:lineRule="exact"/>
        <w:rPr>
          <w:sz w:val="20"/>
          <w:szCs w:val="20"/>
          <w:color w:val="auto"/>
        </w:rPr>
      </w:pPr>
    </w:p>
    <w:p>
      <w:pPr>
        <w:ind w:firstLine="457"/>
        <w:spacing w:after="0" w:line="263" w:lineRule="auto"/>
        <w:rPr>
          <w:sz w:val="20"/>
          <w:szCs w:val="20"/>
          <w:color w:val="auto"/>
        </w:rPr>
      </w:pPr>
      <w:r>
        <w:rPr>
          <w:rFonts w:ascii="Arial" w:cs="Arial" w:eastAsia="Arial" w:hAnsi="Arial"/>
          <w:sz w:val="17"/>
          <w:szCs w:val="17"/>
          <w:color w:val="auto"/>
        </w:rPr>
        <w:t>In accordance with the accounting guidance adopted on January 1, 2012, the annual goodwill impairment test allows for the option to first assess qualitative factors to determine whether it is more likely than not that the fair value of a reporting unit is less than its carrying amount. An entity may choose to perform the qualitative assessment on none, some or all of its reporting units or an entity may bypass the qualitative assessment for any reporting unit and proceed directly to step one of the quantitative impairment test. If it is determined, on the basis of qualitative factors, that the fair value of a reporting unit is, more likely than not, less than its carrying value, the quantitative impairment test is required. The quantitative impairment test is a two-step process. The first step compares the carrying amount of a reporting unit, including goodwill, with its fair value utilizing an enterprise-value based approach. If the carrying amount of a reporting unit exceeds its fair value, the second step of the goodwill</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400"/>
          </w:cols>
          <w:pgMar w:left="240" w:top="451" w:right="259" w:bottom="1440" w:gutter="0" w:footer="0" w:header="0"/>
        </w:sectPr>
      </w:pPr>
    </w:p>
    <w:bookmarkStart w:id="11" w:name="page12"/>
    <w:bookmarkEnd w:id="1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AMC NETWORKS INC.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NOTES TO CONSOLIDATED FINANCIAL STATEMENTS - (Continued)</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(Dollars in thousands, except per share amounts)</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(Unaudited)</w:t>
      </w:r>
    </w:p>
    <w:p>
      <w:pPr>
        <w:spacing w:after="0" w:line="154" w:lineRule="exact"/>
        <w:rPr>
          <w:sz w:val="20"/>
          <w:szCs w:val="20"/>
          <w:color w:val="auto"/>
        </w:rPr>
      </w:pPr>
    </w:p>
    <w:p>
      <w:pPr>
        <w:ind w:right="120"/>
        <w:spacing w:after="0" w:line="267" w:lineRule="auto"/>
        <w:rPr>
          <w:sz w:val="20"/>
          <w:szCs w:val="20"/>
          <w:color w:val="auto"/>
        </w:rPr>
      </w:pPr>
      <w:r>
        <w:rPr>
          <w:rFonts w:ascii="Arial" w:cs="Arial" w:eastAsia="Arial" w:hAnsi="Arial"/>
          <w:sz w:val="17"/>
          <w:szCs w:val="17"/>
          <w:color w:val="auto"/>
        </w:rPr>
        <w:t>impairment test is performed to measure the amount of the goodwill impairment loss, if any. The second step compares the implied fair value of the reporting unit’s goodwill with the carrying amount of that goodwill. If the carrying amount of the reporting unit’s goodwill exceeds the implied fair value of that goodwill, an impairment loss is recognized in an amount equal to that excess. The implied fair value of goodwill is determined in the same manner as the amount of goodwill that would be recognized in a business combination.</w:t>
      </w:r>
    </w:p>
    <w:p>
      <w:pPr>
        <w:spacing w:after="0" w:line="131" w:lineRule="exact"/>
        <w:rPr>
          <w:sz w:val="20"/>
          <w:szCs w:val="20"/>
          <w:color w:val="auto"/>
        </w:rPr>
      </w:pPr>
    </w:p>
    <w:p>
      <w:pPr>
        <w:ind w:right="100" w:firstLine="457"/>
        <w:spacing w:after="0" w:line="299" w:lineRule="auto"/>
        <w:rPr>
          <w:sz w:val="20"/>
          <w:szCs w:val="20"/>
          <w:color w:val="auto"/>
        </w:rPr>
      </w:pPr>
      <w:r>
        <w:rPr>
          <w:rFonts w:ascii="Arial" w:cs="Arial" w:eastAsia="Arial" w:hAnsi="Arial"/>
          <w:sz w:val="15"/>
          <w:szCs w:val="15"/>
          <w:color w:val="auto"/>
        </w:rPr>
        <w:t>In assessing the recoverability of goodwill and other long-lived assets, the Company must make assumptions regarding estimated future cash flows and other factors to determine the fair value of the respective assets. These estimates and assumptions could have a significant impact on whether an impairment charge is recognized and also the magnitude of any such charge. Fair value estimates are made at a specific point in time, based on relevant information. These estimates are subjective in nature and involve uncertainties and matters of significant judgments and therefore cannot be determined with precision. Changes in assumptions could significantly affect the estimates. Estimates of fair value are primarily determined using discounted cash flows and comparable market transactions. These valuations are based on estimates and assumptions including projected future cash flows, discount rate and determination of appropriate market comparables and determination of whether a premium or discount should be applied to comparables. These valuations also include assumptions for the projected number of subscribers and the projected average rates per basic and viewing subscribers and growth in fixed price contractual arrangements used to determine affiliation fee revenue, access to program rights and the cost of such program rights, amount of programming time that is advertiser supported, number of advertising spots available and the sell through rates for those spots, average fee per advertising spot and operating margins, among other assumptions. If these estimates or material related assumptions change in the future, we may be required to record impairment charges related to our long-lived assets.</w:t>
      </w:r>
    </w:p>
    <w:p>
      <w:pPr>
        <w:spacing w:after="0" w:line="112" w:lineRule="exact"/>
        <w:rPr>
          <w:sz w:val="20"/>
          <w:szCs w:val="20"/>
          <w:color w:val="auto"/>
        </w:rPr>
      </w:pPr>
    </w:p>
    <w:p>
      <w:pPr>
        <w:ind w:right="320" w:firstLine="457"/>
        <w:spacing w:after="0" w:line="265" w:lineRule="auto"/>
        <w:rPr>
          <w:sz w:val="20"/>
          <w:szCs w:val="20"/>
          <w:color w:val="auto"/>
        </w:rPr>
      </w:pPr>
      <w:r>
        <w:rPr>
          <w:rFonts w:ascii="Arial" w:cs="Arial" w:eastAsia="Arial" w:hAnsi="Arial"/>
          <w:sz w:val="17"/>
          <w:szCs w:val="17"/>
          <w:color w:val="auto"/>
        </w:rPr>
        <w:t>The impairment test for identifiable indefinite-lived intangible assets consists of a comparison of the estimated fair value of the intangible asset with its carrying value. If the carrying value exceeds its fair value, an impairment loss is recognized in an amount equal to that excess. Significant judgments inherent in a valuation include the selection of appropriate discount and royalty rates, estimating the amount and timing of estimated future cash flows and identification of appropriate continuing growth rate assumptions. The discount rates used in the analysis are intended to reflect the risk inherent in the projected future cash flows generated by the respective intangible assets.</w:t>
      </w:r>
    </w:p>
    <w:p>
      <w:pPr>
        <w:spacing w:after="0" w:line="132" w:lineRule="exact"/>
        <w:rPr>
          <w:sz w:val="20"/>
          <w:szCs w:val="20"/>
          <w:color w:val="auto"/>
        </w:rPr>
      </w:pPr>
    </w:p>
    <w:p>
      <w:pPr>
        <w:ind w:right="60" w:firstLine="457"/>
        <w:spacing w:after="0" w:line="305" w:lineRule="auto"/>
        <w:rPr>
          <w:sz w:val="20"/>
          <w:szCs w:val="20"/>
          <w:color w:val="auto"/>
        </w:rPr>
      </w:pPr>
      <w:r>
        <w:rPr>
          <w:rFonts w:ascii="Arial" w:cs="Arial" w:eastAsia="Arial" w:hAnsi="Arial"/>
          <w:sz w:val="15"/>
          <w:szCs w:val="15"/>
          <w:color w:val="auto"/>
        </w:rPr>
        <w:t>Based on the Company’s annual impairment test for goodwill and identifiable indefinite-lived intangible assets during the first quarter of 2012, no impairment charge was required for any of the reporting units. The Company performed a qualitative assessment for the AMC, WE tv, IFC and AMC Networks Broadcasting and Technology reporting units, which included, but was not limited to, consideration of the historical significant excesses of the estimated fair value of each reporting unit over its respective carrying value (including allocated goodwill), macroeconomic conditions, industry and market considerations, cost factors and historical and projected cash flows. The Company performed a quantitative assessment for the Sundance Channel reporting unit. Based on the quantitative assessment, if the fair value of the Sundance Channel reporting unit decreased by 11%, the Company would be required to perform step-two of the quantitative assessment.</w:t>
      </w:r>
    </w:p>
    <w:p>
      <w:pPr>
        <w:spacing w:after="0" w:line="107" w:lineRule="exact"/>
        <w:rPr>
          <w:sz w:val="20"/>
          <w:szCs w:val="20"/>
          <w:color w:val="auto"/>
        </w:rPr>
      </w:pPr>
    </w:p>
    <w:p>
      <w:pPr>
        <w:ind w:right="160" w:firstLine="457"/>
        <w:spacing w:after="0" w:line="313" w:lineRule="auto"/>
        <w:rPr>
          <w:sz w:val="20"/>
          <w:szCs w:val="20"/>
          <w:color w:val="auto"/>
        </w:rPr>
      </w:pPr>
      <w:r>
        <w:rPr>
          <w:rFonts w:ascii="Arial" w:cs="Arial" w:eastAsia="Arial" w:hAnsi="Arial"/>
          <w:sz w:val="15"/>
          <w:szCs w:val="15"/>
          <w:color w:val="auto"/>
        </w:rPr>
        <w:t>The Company’s indefinite-lived trademark intangible assets relate to Sundance Channel trademarks, which were valued using a relief-from-royalty method in which the expected benefits are valued by discounting estimated royalty revenue over projected revenues covered by the trademarks. In order to evaluate the sensitivity of the fair value calculations for the Company’s identifiable indefinite-lived intangible assets, the Company applied a hypothetical 20% decrease to the estimated fair value of the identifiable indefinite-lived intangible assets. This hypothetical decrease in estimated fair value would not result in an impairment.</w:t>
      </w:r>
    </w:p>
    <w:p>
      <w:pPr>
        <w:spacing w:after="0" w:line="214" w:lineRule="exact"/>
        <w:rPr>
          <w:sz w:val="20"/>
          <w:szCs w:val="20"/>
          <w:color w:val="auto"/>
        </w:rPr>
      </w:pPr>
    </w:p>
    <w:p>
      <w:pPr>
        <w:spacing w:after="0"/>
        <w:tabs>
          <w:tab w:leader="none" w:pos="1020" w:val="left"/>
        </w:tabs>
        <w:rPr>
          <w:sz w:val="20"/>
          <w:szCs w:val="20"/>
          <w:color w:val="auto"/>
        </w:rPr>
      </w:pPr>
      <w:r>
        <w:rPr>
          <w:rFonts w:ascii="Arial" w:cs="Arial" w:eastAsia="Arial" w:hAnsi="Arial"/>
          <w:sz w:val="17"/>
          <w:szCs w:val="17"/>
          <w:b w:val="1"/>
          <w:bCs w:val="1"/>
          <w:color w:val="auto"/>
        </w:rPr>
        <w:t>Note 4.</w:t>
      </w:r>
      <w:r>
        <w:rPr>
          <w:sz w:val="20"/>
          <w:szCs w:val="20"/>
          <w:color w:val="auto"/>
        </w:rPr>
        <w:tab/>
      </w:r>
      <w:r>
        <w:rPr>
          <w:rFonts w:ascii="Arial" w:cs="Arial" w:eastAsia="Arial" w:hAnsi="Arial"/>
          <w:sz w:val="14"/>
          <w:szCs w:val="14"/>
          <w:b w:val="1"/>
          <w:bCs w:val="1"/>
          <w:color w:val="auto"/>
        </w:rPr>
        <w:t>Income Taxes</w:t>
      </w:r>
    </w:p>
    <w:p>
      <w:pPr>
        <w:spacing w:after="0" w:line="100" w:lineRule="exact"/>
        <w:rPr>
          <w:sz w:val="20"/>
          <w:szCs w:val="20"/>
          <w:color w:val="auto"/>
        </w:rPr>
      </w:pPr>
    </w:p>
    <w:p>
      <w:pPr>
        <w:ind w:firstLine="457"/>
        <w:spacing w:after="0" w:line="267" w:lineRule="auto"/>
        <w:rPr>
          <w:sz w:val="20"/>
          <w:szCs w:val="20"/>
          <w:color w:val="auto"/>
        </w:rPr>
      </w:pPr>
      <w:r>
        <w:rPr>
          <w:rFonts w:ascii="Arial" w:cs="Arial" w:eastAsia="Arial" w:hAnsi="Arial"/>
          <w:sz w:val="17"/>
          <w:szCs w:val="17"/>
          <w:color w:val="auto"/>
        </w:rPr>
        <w:t>For the three months ended March 31, 2012, income tax expense attributable to continuing operations was $23,970, representing an effective tax rate of 36%. The effective tax rate differs from the federal statutory rate of 35% due primarily to state income tax expense of $1,354, tax expense of $764 related to uncertain tax positions, including accrued interest, partially offset by a tax benefit of $2,015 resulting from a decrease in the valuation allowance with regard to certain local income tax credit carry forwards.</w:t>
      </w:r>
    </w:p>
    <w:p>
      <w:pPr>
        <w:spacing w:after="0" w:line="131" w:lineRule="exact"/>
        <w:rPr>
          <w:sz w:val="20"/>
          <w:szCs w:val="20"/>
          <w:color w:val="auto"/>
        </w:rPr>
      </w:pPr>
    </w:p>
    <w:p>
      <w:pPr>
        <w:ind w:right="180" w:firstLine="457"/>
        <w:spacing w:after="0" w:line="284" w:lineRule="auto"/>
        <w:rPr>
          <w:sz w:val="20"/>
          <w:szCs w:val="20"/>
          <w:color w:val="auto"/>
        </w:rPr>
      </w:pPr>
      <w:r>
        <w:rPr>
          <w:rFonts w:ascii="Arial" w:cs="Arial" w:eastAsia="Arial" w:hAnsi="Arial"/>
          <w:sz w:val="17"/>
          <w:szCs w:val="17"/>
          <w:color w:val="auto"/>
        </w:rPr>
        <w:t>For the three months ended March 31, 2011, income tax expense attributable to continuing operations was $23,136, representing an effective tax rate of 44%. The effective tax rate differs from the federal statutory rate of</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420"/>
          </w:cols>
          <w:pgMar w:left="240" w:top="451" w:right="239" w:bottom="1440" w:gutter="0" w:footer="0" w:header="0"/>
        </w:sectPr>
      </w:pPr>
    </w:p>
    <w:bookmarkStart w:id="12" w:name="page13"/>
    <w:bookmarkEnd w:id="1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2340" cy="3810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AMC NETWORKS INC. AND SUBSIDIARIES</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NOTES TO CONSOLIDATED FINANCIAL STATEMENTS - (Continued)</w:t>
      </w:r>
    </w:p>
    <w:p>
      <w:pPr>
        <w:spacing w:after="0" w:line="15"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(Dollars in thousands, except per share amounts)</w:t>
      </w:r>
    </w:p>
    <w:p>
      <w:pPr>
        <w:spacing w:after="0" w:line="15"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(Unaudited)</w:t>
      </w:r>
    </w:p>
    <w:p>
      <w:pPr>
        <w:spacing w:after="0" w:line="154" w:lineRule="exact"/>
        <w:rPr>
          <w:sz w:val="20"/>
          <w:szCs w:val="20"/>
          <w:color w:val="auto"/>
        </w:rPr>
      </w:pPr>
    </w:p>
    <w:p>
      <w:pPr>
        <w:spacing w:after="0" w:line="284" w:lineRule="auto"/>
        <w:rPr>
          <w:sz w:val="20"/>
          <w:szCs w:val="20"/>
          <w:color w:val="auto"/>
        </w:rPr>
      </w:pPr>
      <w:r>
        <w:rPr>
          <w:rFonts w:ascii="Arial" w:cs="Arial" w:eastAsia="Arial" w:hAnsi="Arial"/>
          <w:sz w:val="17"/>
          <w:szCs w:val="17"/>
          <w:color w:val="auto"/>
        </w:rPr>
        <w:t>35% due primarily to state income tax expense of $2,803, tax expense of $1,523 related to uncertain tax positions, including accrued interest and tax expense of $385 resulting from an increase in the valuation allowance with regard to certain local income tax credit carry forwards.</w:t>
      </w:r>
    </w:p>
    <w:p>
      <w:pPr>
        <w:spacing w:after="0" w:line="117" w:lineRule="exact"/>
        <w:rPr>
          <w:sz w:val="20"/>
          <w:szCs w:val="20"/>
          <w:color w:val="auto"/>
        </w:rPr>
      </w:pPr>
    </w:p>
    <w:p>
      <w:pPr>
        <w:ind w:right="20" w:firstLine="457"/>
        <w:spacing w:after="0" w:line="305" w:lineRule="auto"/>
        <w:rPr>
          <w:sz w:val="20"/>
          <w:szCs w:val="20"/>
          <w:color w:val="auto"/>
        </w:rPr>
      </w:pPr>
      <w:r>
        <w:rPr>
          <w:rFonts w:ascii="Arial" w:cs="Arial" w:eastAsia="Arial" w:hAnsi="Arial"/>
          <w:sz w:val="15"/>
          <w:szCs w:val="15"/>
          <w:color w:val="auto"/>
        </w:rPr>
        <w:t>At March 31, 2012, the Company had federal net operating loss carry forwards (“NOLs”) of approximately $96,000, expiring on various dates from 2023 through 2025, and foreign tax credit carry forwards of approximately $14,800, expiring on various dates from 2014 through 2022. The Company has recorded a deferred tax asset related to $74,000 of such NOLs. A deferred tax asset has not been recorded for the remaining NOL of $22,000 as this portion relates to excess tax benefits that have not yet been realized (as determined on a ‘with-and-without’ approach), including ‘windfall’ deductions on share-based compensation awards and amortization of certain tax deductible goodwill. Upon realization as a reduction in tax liability, such excess tax benefits will be recorded as an increase to paid-in capital with regard to share-based compensation awards and as a decrease in goodwill with regard to certain tax deductible goodwill.</w:t>
      </w:r>
    </w:p>
    <w:p>
      <w:pPr>
        <w:spacing w:after="0" w:line="107" w:lineRule="exact"/>
        <w:rPr>
          <w:sz w:val="20"/>
          <w:szCs w:val="20"/>
          <w:color w:val="auto"/>
        </w:rPr>
      </w:pPr>
    </w:p>
    <w:p>
      <w:pPr>
        <w:jc w:val="both"/>
        <w:ind w:right="440" w:firstLine="457"/>
        <w:spacing w:after="0" w:line="271" w:lineRule="auto"/>
        <w:rPr>
          <w:sz w:val="20"/>
          <w:szCs w:val="20"/>
          <w:color w:val="auto"/>
        </w:rPr>
      </w:pPr>
      <w:r>
        <w:rPr>
          <w:rFonts w:ascii="Arial" w:cs="Arial" w:eastAsia="Arial" w:hAnsi="Arial"/>
          <w:sz w:val="17"/>
          <w:szCs w:val="17"/>
          <w:color w:val="auto"/>
        </w:rPr>
        <w:t>Under the Company’s Tax Disaffiliation Agreement with Cablevision, Cablevision is liable for all income taxes of the Company for periods prior to the Distribution except for New York City Unincorporated Business Tax. The City of New York is currently auditing the Company’s Unincorporated Business Tax Returns for the years 2006 through 2008.</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80" w:type="dxa"/>
            <w:vAlign w:val="bottom"/>
          </w:tcPr>
          <w:p>
            <w:pPr>
              <w:spacing w:after="0"/>
              <w:rPr>
                <w:sz w:val="20"/>
                <w:szCs w:val="20"/>
                <w:color w:val="auto"/>
              </w:rPr>
            </w:pPr>
            <w:r>
              <w:rPr>
                <w:rFonts w:ascii="Arial" w:cs="Arial" w:eastAsia="Arial" w:hAnsi="Arial"/>
                <w:sz w:val="17"/>
                <w:szCs w:val="17"/>
                <w:b w:val="1"/>
                <w:bCs w:val="1"/>
                <w:color w:val="auto"/>
              </w:rPr>
              <w:t>Note 5.</w:t>
            </w:r>
          </w:p>
        </w:tc>
        <w:tc>
          <w:tcPr>
            <w:tcW w:w="4820" w:type="dxa"/>
            <w:vAlign w:val="bottom"/>
            <w:gridSpan w:val="3"/>
          </w:tcPr>
          <w:p>
            <w:pPr>
              <w:ind w:left="260"/>
              <w:spacing w:after="0"/>
              <w:rPr>
                <w:sz w:val="20"/>
                <w:szCs w:val="20"/>
                <w:color w:val="auto"/>
              </w:rPr>
            </w:pPr>
            <w:r>
              <w:rPr>
                <w:rFonts w:ascii="Arial" w:cs="Arial" w:eastAsia="Arial" w:hAnsi="Arial"/>
                <w:sz w:val="17"/>
                <w:szCs w:val="17"/>
                <w:b w:val="1"/>
                <w:bCs w:val="1"/>
                <w:color w:val="auto"/>
              </w:rPr>
              <w:t>Debt</w:t>
            </w:r>
          </w:p>
        </w:tc>
        <w:tc>
          <w:tcPr>
            <w:tcW w:w="2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90"/>
        </w:trPr>
        <w:tc>
          <w:tcPr>
            <w:tcW w:w="5600" w:type="dxa"/>
            <w:vAlign w:val="bottom"/>
            <w:gridSpan w:val="4"/>
          </w:tcPr>
          <w:p>
            <w:pPr>
              <w:ind w:left="460"/>
              <w:spacing w:after="0"/>
              <w:rPr>
                <w:sz w:val="20"/>
                <w:szCs w:val="20"/>
                <w:color w:val="auto"/>
              </w:rPr>
            </w:pPr>
            <w:r>
              <w:rPr>
                <w:rFonts w:ascii="Arial" w:cs="Arial" w:eastAsia="Arial" w:hAnsi="Arial"/>
                <w:sz w:val="17"/>
                <w:szCs w:val="17"/>
                <w:color w:val="auto"/>
              </w:rPr>
              <w:t>Long-term debt consists of:</w:t>
            </w:r>
          </w:p>
        </w:tc>
        <w:tc>
          <w:tcPr>
            <w:tcW w:w="2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32"/>
        </w:trPr>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jc w:val="right"/>
              <w:ind w:right="19"/>
              <w:spacing w:after="0"/>
              <w:rPr>
                <w:sz w:val="20"/>
                <w:szCs w:val="20"/>
                <w:color w:val="auto"/>
              </w:rPr>
            </w:pPr>
            <w:r>
              <w:rPr>
                <w:rFonts w:ascii="Arial" w:cs="Arial" w:eastAsia="Arial" w:hAnsi="Arial"/>
                <w:sz w:val="13"/>
                <w:szCs w:val="13"/>
                <w:b w:val="1"/>
                <w:bCs w:val="1"/>
                <w:color w:val="auto"/>
                <w:w w:val="93"/>
              </w:rPr>
              <w:t>March 31,</w:t>
            </w:r>
          </w:p>
        </w:tc>
        <w:tc>
          <w:tcPr>
            <w:tcW w:w="1320" w:type="dxa"/>
            <w:vAlign w:val="bottom"/>
            <w:gridSpan w:val="3"/>
          </w:tcPr>
          <w:p>
            <w:pPr>
              <w:ind w:left="440"/>
              <w:spacing w:after="0"/>
              <w:rPr>
                <w:sz w:val="20"/>
                <w:szCs w:val="20"/>
                <w:color w:val="auto"/>
              </w:rPr>
            </w:pPr>
            <w:r>
              <w:rPr>
                <w:rFonts w:ascii="Arial" w:cs="Arial" w:eastAsia="Arial" w:hAnsi="Arial"/>
                <w:sz w:val="13"/>
                <w:szCs w:val="13"/>
                <w:b w:val="1"/>
                <w:bCs w:val="1"/>
                <w:color w:val="auto"/>
              </w:rPr>
              <w:t>December 31,</w:t>
            </w:r>
          </w:p>
        </w:tc>
      </w:tr>
      <w:tr>
        <w:trPr>
          <w:trHeight w:val="158"/>
        </w:trPr>
        <w:tc>
          <w:tcPr>
            <w:tcW w:w="7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2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ind w:right="179"/>
              <w:spacing w:after="0"/>
              <w:rPr>
                <w:sz w:val="20"/>
                <w:szCs w:val="20"/>
                <w:color w:val="auto"/>
              </w:rPr>
            </w:pPr>
            <w:r>
              <w:rPr>
                <w:rFonts w:ascii="Arial" w:cs="Arial" w:eastAsia="Arial" w:hAnsi="Arial"/>
                <w:sz w:val="13"/>
                <w:szCs w:val="13"/>
                <w:b w:val="1"/>
                <w:bCs w:val="1"/>
                <w:color w:val="auto"/>
              </w:rPr>
              <w:t>2012</w:t>
            </w:r>
          </w:p>
        </w:tc>
        <w:tc>
          <w:tcPr>
            <w:tcW w:w="1220" w:type="dxa"/>
            <w:vAlign w:val="bottom"/>
            <w:gridSpan w:val="2"/>
          </w:tcPr>
          <w:p>
            <w:pPr>
              <w:jc w:val="right"/>
              <w:ind w:right="174"/>
              <w:spacing w:after="0"/>
              <w:rPr>
                <w:sz w:val="20"/>
                <w:szCs w:val="20"/>
                <w:color w:val="auto"/>
              </w:rPr>
            </w:pPr>
            <w:r>
              <w:rPr>
                <w:rFonts w:ascii="Arial" w:cs="Arial" w:eastAsia="Arial" w:hAnsi="Arial"/>
                <w:sz w:val="13"/>
                <w:szCs w:val="13"/>
                <w:b w:val="1"/>
                <w:bCs w:val="1"/>
                <w:color w:val="auto"/>
              </w:rPr>
              <w:t>2011</w:t>
            </w:r>
          </w:p>
        </w:tc>
        <w:tc>
          <w:tcPr>
            <w:tcW w:w="100" w:type="dxa"/>
            <w:vAlign w:val="bottom"/>
          </w:tcPr>
          <w:p>
            <w:pPr>
              <w:spacing w:after="0"/>
              <w:rPr>
                <w:sz w:val="13"/>
                <w:szCs w:val="13"/>
                <w:color w:val="auto"/>
              </w:rPr>
            </w:pPr>
          </w:p>
        </w:tc>
      </w:tr>
      <w:tr>
        <w:trPr>
          <w:trHeight w:val="191"/>
        </w:trPr>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20" w:type="dxa"/>
            <w:vAlign w:val="bottom"/>
            <w:tcBorders>
              <w:top w:val="single" w:sz="8" w:color="CCEEFF"/>
            </w:tcBorders>
            <w:shd w:val="clear" w:color="auto" w:fill="CCEEFF"/>
          </w:tcPr>
          <w:p>
            <w:pPr>
              <w:spacing w:after="0" w:line="191" w:lineRule="exact"/>
              <w:rPr>
                <w:sz w:val="20"/>
                <w:szCs w:val="20"/>
                <w:color w:val="auto"/>
              </w:rPr>
            </w:pPr>
            <w:r>
              <w:rPr>
                <w:rFonts w:ascii="Arial" w:cs="Arial" w:eastAsia="Arial" w:hAnsi="Arial"/>
                <w:sz w:val="17"/>
                <w:szCs w:val="17"/>
                <w:color w:val="auto"/>
              </w:rPr>
              <w:t xml:space="preserve">Credit facility debt: </w:t>
            </w:r>
            <w:r>
              <w:rPr>
                <w:rFonts w:ascii="Arial" w:cs="Arial" w:eastAsia="Arial" w:hAnsi="Arial"/>
                <w:sz w:val="10"/>
                <w:szCs w:val="10"/>
                <w:color w:val="auto"/>
              </w:rPr>
              <w:t>(a)</w:t>
            </w:r>
          </w:p>
        </w:tc>
        <w:tc>
          <w:tcPr>
            <w:tcW w:w="23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11"/>
        </w:trPr>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20" w:type="dxa"/>
            <w:vAlign w:val="bottom"/>
          </w:tcPr>
          <w:p>
            <w:pPr>
              <w:ind w:left="420"/>
              <w:spacing w:after="0"/>
              <w:rPr>
                <w:sz w:val="20"/>
                <w:szCs w:val="20"/>
                <w:color w:val="auto"/>
              </w:rPr>
            </w:pPr>
            <w:r>
              <w:rPr>
                <w:rFonts w:ascii="Arial" w:cs="Arial" w:eastAsia="Arial" w:hAnsi="Arial"/>
                <w:sz w:val="17"/>
                <w:szCs w:val="17"/>
                <w:color w:val="auto"/>
              </w:rPr>
              <w:t>Term A Facility</w:t>
            </w:r>
          </w:p>
        </w:tc>
        <w:tc>
          <w:tcPr>
            <w:tcW w:w="24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975,426</w:t>
            </w: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$1,025,065</w:t>
            </w:r>
          </w:p>
        </w:tc>
        <w:tc>
          <w:tcPr>
            <w:tcW w:w="100" w:type="dxa"/>
            <w:vAlign w:val="bottom"/>
          </w:tcPr>
          <w:p>
            <w:pPr>
              <w:spacing w:after="0"/>
              <w:rPr>
                <w:sz w:val="18"/>
                <w:szCs w:val="18"/>
                <w:color w:val="auto"/>
              </w:rPr>
            </w:pPr>
          </w:p>
        </w:tc>
      </w:tr>
      <w:tr>
        <w:trPr>
          <w:trHeight w:val="211"/>
        </w:trPr>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20" w:type="dxa"/>
            <w:vAlign w:val="bottom"/>
            <w:shd w:val="clear" w:color="auto" w:fill="CCEEFF"/>
          </w:tcPr>
          <w:p>
            <w:pPr>
              <w:ind w:left="420"/>
              <w:spacing w:after="0"/>
              <w:rPr>
                <w:sz w:val="20"/>
                <w:szCs w:val="20"/>
                <w:color w:val="auto"/>
              </w:rPr>
            </w:pPr>
            <w:r>
              <w:rPr>
                <w:rFonts w:ascii="Arial" w:cs="Arial" w:eastAsia="Arial" w:hAnsi="Arial"/>
                <w:sz w:val="17"/>
                <w:szCs w:val="17"/>
                <w:color w:val="auto"/>
              </w:rPr>
              <w:t>Term B Facility</w:t>
            </w:r>
          </w:p>
        </w:tc>
        <w:tc>
          <w:tcPr>
            <w:tcW w:w="2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578,671</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579,781</w:t>
            </w:r>
          </w:p>
        </w:tc>
        <w:tc>
          <w:tcPr>
            <w:tcW w:w="100" w:type="dxa"/>
            <w:vAlign w:val="bottom"/>
            <w:shd w:val="clear" w:color="auto" w:fill="CCEEFF"/>
          </w:tcPr>
          <w:p>
            <w:pPr>
              <w:spacing w:after="0"/>
              <w:rPr>
                <w:sz w:val="18"/>
                <w:szCs w:val="18"/>
                <w:color w:val="auto"/>
              </w:rPr>
            </w:pPr>
          </w:p>
        </w:tc>
      </w:tr>
      <w:tr>
        <w:trPr>
          <w:trHeight w:val="217"/>
        </w:trPr>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7"/>
                <w:szCs w:val="17"/>
                <w:color w:val="auto"/>
              </w:rPr>
              <w:t>Senior Notes</w:t>
            </w:r>
          </w:p>
        </w:tc>
        <w:tc>
          <w:tcPr>
            <w:tcW w:w="23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686,671</w:t>
            </w:r>
          </w:p>
        </w:tc>
        <w:tc>
          <w:tcPr>
            <w:tcW w:w="44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686,434</w:t>
            </w:r>
          </w:p>
        </w:tc>
        <w:tc>
          <w:tcPr>
            <w:tcW w:w="100" w:type="dxa"/>
            <w:vAlign w:val="bottom"/>
          </w:tcPr>
          <w:p>
            <w:pPr>
              <w:spacing w:after="0"/>
              <w:rPr>
                <w:sz w:val="18"/>
                <w:szCs w:val="18"/>
                <w:color w:val="auto"/>
              </w:rPr>
            </w:pPr>
          </w:p>
        </w:tc>
      </w:tr>
      <w:tr>
        <w:trPr>
          <w:trHeight w:val="211"/>
        </w:trPr>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2,240,768</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2,291,280</w:t>
            </w:r>
          </w:p>
        </w:tc>
        <w:tc>
          <w:tcPr>
            <w:tcW w:w="100" w:type="dxa"/>
            <w:vAlign w:val="bottom"/>
            <w:shd w:val="clear" w:color="auto" w:fill="CCEEFF"/>
          </w:tcPr>
          <w:p>
            <w:pPr>
              <w:spacing w:after="0"/>
              <w:rPr>
                <w:sz w:val="18"/>
                <w:szCs w:val="18"/>
                <w:color w:val="auto"/>
              </w:rPr>
            </w:pPr>
          </w:p>
        </w:tc>
      </w:tr>
      <w:tr>
        <w:trPr>
          <w:trHeight w:val="217"/>
        </w:trPr>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20" w:type="dxa"/>
            <w:vAlign w:val="bottom"/>
          </w:tcPr>
          <w:p>
            <w:pPr>
              <w:ind w:left="420"/>
              <w:spacing w:after="0"/>
              <w:rPr>
                <w:sz w:val="20"/>
                <w:szCs w:val="20"/>
                <w:color w:val="auto"/>
              </w:rPr>
            </w:pPr>
            <w:r>
              <w:rPr>
                <w:rFonts w:ascii="Arial" w:cs="Arial" w:eastAsia="Arial" w:hAnsi="Arial"/>
                <w:sz w:val="17"/>
                <w:szCs w:val="17"/>
                <w:color w:val="auto"/>
              </w:rPr>
              <w:t>Less: current portion</w:t>
            </w:r>
          </w:p>
        </w:tc>
        <w:tc>
          <w:tcPr>
            <w:tcW w:w="23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5,950</w:t>
            </w:r>
          </w:p>
        </w:tc>
        <w:tc>
          <w:tcPr>
            <w:tcW w:w="44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5,950</w:t>
            </w:r>
          </w:p>
        </w:tc>
        <w:tc>
          <w:tcPr>
            <w:tcW w:w="100" w:type="dxa"/>
            <w:vAlign w:val="bottom"/>
          </w:tcPr>
          <w:p>
            <w:pPr>
              <w:spacing w:after="0"/>
              <w:rPr>
                <w:sz w:val="18"/>
                <w:szCs w:val="18"/>
                <w:color w:val="auto"/>
              </w:rPr>
            </w:pPr>
          </w:p>
        </w:tc>
      </w:tr>
      <w:tr>
        <w:trPr>
          <w:trHeight w:val="211"/>
        </w:trPr>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20" w:type="dxa"/>
            <w:vAlign w:val="bottom"/>
            <w:shd w:val="clear" w:color="auto" w:fill="CCEEFF"/>
          </w:tcPr>
          <w:p>
            <w:pPr>
              <w:ind w:left="420"/>
              <w:spacing w:after="0"/>
              <w:rPr>
                <w:sz w:val="20"/>
                <w:szCs w:val="20"/>
                <w:color w:val="auto"/>
              </w:rPr>
            </w:pPr>
            <w:r>
              <w:rPr>
                <w:rFonts w:ascii="Arial" w:cs="Arial" w:eastAsia="Arial" w:hAnsi="Arial"/>
                <w:sz w:val="17"/>
                <w:szCs w:val="17"/>
                <w:color w:val="auto"/>
              </w:rPr>
              <w:t>Total</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2,234,818</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2,285,330</w:t>
            </w:r>
          </w:p>
        </w:tc>
        <w:tc>
          <w:tcPr>
            <w:tcW w:w="100" w:type="dxa"/>
            <w:vAlign w:val="bottom"/>
            <w:shd w:val="clear" w:color="auto" w:fill="CCEEFF"/>
          </w:tcPr>
          <w:p>
            <w:pPr>
              <w:spacing w:after="0"/>
              <w:rPr>
                <w:sz w:val="18"/>
                <w:szCs w:val="18"/>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98"/>
        </w:trPr>
        <w:tc>
          <w:tcPr>
            <w:tcW w:w="7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4220" w:type="dxa"/>
            <w:vAlign w:val="bottom"/>
          </w:tcPr>
          <w:p>
            <w:pPr>
              <w:spacing w:after="0"/>
              <w:rPr>
                <w:sz w:val="8"/>
                <w:szCs w:val="8"/>
                <w:color w:val="auto"/>
              </w:rPr>
            </w:pPr>
          </w:p>
        </w:tc>
        <w:tc>
          <w:tcPr>
            <w:tcW w:w="238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8" w:lineRule="exact"/>
        <w:rPr>
          <w:sz w:val="20"/>
          <w:szCs w:val="20"/>
          <w:color w:val="auto"/>
        </w:rPr>
      </w:pPr>
    </w:p>
    <w:p>
      <w:pPr>
        <w:ind w:left="460" w:right="540" w:hanging="455"/>
        <w:spacing w:after="0" w:line="284" w:lineRule="auto"/>
        <w:tabs>
          <w:tab w:leader="none" w:pos="4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$500,000 revolving credit facility remains undrawn at March 31, 2012. Total undrawn revolver commitments are available to be drawn for general corporate purposes of the Company.</w:t>
      </w:r>
    </w:p>
    <w:p>
      <w:pPr>
        <w:spacing w:after="0" w:line="117" w:lineRule="exact"/>
        <w:rPr>
          <w:sz w:val="20"/>
          <w:szCs w:val="20"/>
          <w:color w:val="auto"/>
        </w:rPr>
      </w:pPr>
    </w:p>
    <w:p>
      <w:pPr>
        <w:ind w:right="80" w:firstLine="457"/>
        <w:spacing w:after="0" w:line="289" w:lineRule="auto"/>
        <w:rPr>
          <w:sz w:val="20"/>
          <w:szCs w:val="20"/>
          <w:color w:val="auto"/>
        </w:rPr>
      </w:pPr>
      <w:r>
        <w:rPr>
          <w:rFonts w:ascii="Arial" w:cs="Arial" w:eastAsia="Arial" w:hAnsi="Arial"/>
          <w:sz w:val="16"/>
          <w:szCs w:val="16"/>
          <w:color w:val="auto"/>
        </w:rPr>
        <w:t>During the three months ended March 31, 2012, the Company voluntarily prepaid $50,000 under the Term A Facility. This voluntary prepayment was applied to the earliest required quarterly installments due, and was in addition to the regularly scheduled quarterly principal payment made under the Term B Facility. As a result of the voluntary prepayment, the next required quarterly installment under the Term A Facility will be due on June 30, 2014 in the amount of $19,500. The Company wrote-off $312 of deferred financing costs associated with the voluntary prepayment during the three months ended March 31, 2012.</w:t>
      </w:r>
    </w:p>
    <w:p>
      <w:pPr>
        <w:spacing w:after="0" w:line="227" w:lineRule="exact"/>
        <w:rPr>
          <w:sz w:val="20"/>
          <w:szCs w:val="20"/>
          <w:color w:val="auto"/>
        </w:rPr>
      </w:pPr>
    </w:p>
    <w:p>
      <w:pPr>
        <w:spacing w:after="0"/>
        <w:tabs>
          <w:tab w:leader="none" w:pos="1020" w:val="left"/>
        </w:tabs>
        <w:rPr>
          <w:sz w:val="20"/>
          <w:szCs w:val="20"/>
          <w:color w:val="auto"/>
        </w:rPr>
      </w:pPr>
      <w:r>
        <w:rPr>
          <w:rFonts w:ascii="Arial" w:cs="Arial" w:eastAsia="Arial" w:hAnsi="Arial"/>
          <w:sz w:val="17"/>
          <w:szCs w:val="17"/>
          <w:b w:val="1"/>
          <w:bCs w:val="1"/>
          <w:color w:val="auto"/>
        </w:rPr>
        <w:t>Note 6.</w:t>
      </w:r>
      <w:r>
        <w:rPr>
          <w:sz w:val="20"/>
          <w:szCs w:val="20"/>
          <w:color w:val="auto"/>
        </w:rPr>
        <w:tab/>
      </w:r>
      <w:r>
        <w:rPr>
          <w:rFonts w:ascii="Arial" w:cs="Arial" w:eastAsia="Arial" w:hAnsi="Arial"/>
          <w:sz w:val="15"/>
          <w:szCs w:val="15"/>
          <w:b w:val="1"/>
          <w:bCs w:val="1"/>
          <w:color w:val="auto"/>
        </w:rPr>
        <w:t>Derivative Financial Instruments</w:t>
      </w:r>
    </w:p>
    <w:p>
      <w:pPr>
        <w:spacing w:after="0" w:line="100" w:lineRule="exact"/>
        <w:rPr>
          <w:sz w:val="20"/>
          <w:szCs w:val="20"/>
          <w:color w:val="auto"/>
        </w:rPr>
      </w:pPr>
    </w:p>
    <w:p>
      <w:pPr>
        <w:ind w:right="80" w:firstLine="457"/>
        <w:spacing w:after="0" w:line="285" w:lineRule="auto"/>
        <w:rPr>
          <w:sz w:val="20"/>
          <w:szCs w:val="20"/>
          <w:color w:val="auto"/>
        </w:rPr>
      </w:pPr>
      <w:r>
        <w:rPr>
          <w:rFonts w:ascii="Arial" w:cs="Arial" w:eastAsia="Arial" w:hAnsi="Arial"/>
          <w:sz w:val="16"/>
          <w:szCs w:val="16"/>
          <w:color w:val="auto"/>
        </w:rPr>
        <w:t>To manage interest rate risk, the Company enters into interest rate swap contracts to adjust the amount of total debt that is subject to variable interest rates. Such contracts effectively fix the borrowing rates on floating rate debt to limit the exposure against the risk of rising interest rates. The Company does not enter into interest rate swap contracts for speculative or trading purposes and it has only entered into interest rate swap contracts with financial institutions that it believes are creditworthy counterparties. The Company monitors the financial institutions that are counterparties to its interest rate swap contracts and to the extent possible diversifies its swap contracts among various counterparties to mitigate exposure to any single financial institution.</w:t>
      </w:r>
    </w:p>
    <w:p>
      <w:pPr>
        <w:spacing w:after="0" w:line="119" w:lineRule="exact"/>
        <w:rPr>
          <w:sz w:val="20"/>
          <w:szCs w:val="20"/>
          <w:color w:val="auto"/>
        </w:rPr>
      </w:pPr>
    </w:p>
    <w:p>
      <w:pPr>
        <w:ind w:right="180" w:firstLine="457"/>
        <w:spacing w:after="0" w:line="284" w:lineRule="auto"/>
        <w:rPr>
          <w:sz w:val="20"/>
          <w:szCs w:val="20"/>
          <w:color w:val="auto"/>
        </w:rPr>
      </w:pPr>
      <w:r>
        <w:rPr>
          <w:rFonts w:ascii="Arial" w:cs="Arial" w:eastAsia="Arial" w:hAnsi="Arial"/>
          <w:sz w:val="17"/>
          <w:szCs w:val="17"/>
          <w:color w:val="auto"/>
        </w:rPr>
        <w:t>The Company’s interest rate swap contracts are designated as cash flow hedges for accounting and tax purposes. The Company assesses, both at the hedge’s inception and on an ongoing basis, hedge effectiveness based</w:t>
      </w:r>
    </w:p>
    <w:p>
      <w:pPr>
        <w:spacing w:after="0" w:line="104"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340"/>
          </w:cols>
          <w:pgMar w:left="240" w:top="451" w:right="319" w:bottom="1440" w:gutter="0" w:footer="0" w:header="0"/>
        </w:sectPr>
      </w:pPr>
    </w:p>
    <w:bookmarkStart w:id="13" w:name="page14"/>
    <w:bookmarkEnd w:id="1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2340" cy="3810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AMC NETWORKS INC. AND SUBSIDIARIES</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NOTES TO CONSOLIDATED FINANCIAL STATEMENTS - (Continued)</w:t>
      </w:r>
    </w:p>
    <w:p>
      <w:pPr>
        <w:spacing w:after="0" w:line="15"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(Dollars in thousands, except per share amounts)</w:t>
      </w:r>
    </w:p>
    <w:p>
      <w:pPr>
        <w:spacing w:after="0" w:line="15"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(Unaudited)</w:t>
      </w:r>
    </w:p>
    <w:p>
      <w:pPr>
        <w:spacing w:after="0" w:line="154" w:lineRule="exact"/>
        <w:rPr>
          <w:sz w:val="20"/>
          <w:szCs w:val="20"/>
          <w:color w:val="auto"/>
        </w:rPr>
      </w:pPr>
    </w:p>
    <w:p>
      <w:pPr>
        <w:ind w:right="20"/>
        <w:spacing w:after="0" w:line="284" w:lineRule="auto"/>
        <w:rPr>
          <w:sz w:val="20"/>
          <w:szCs w:val="20"/>
          <w:color w:val="auto"/>
        </w:rPr>
      </w:pPr>
      <w:r>
        <w:rPr>
          <w:rFonts w:ascii="Arial" w:cs="Arial" w:eastAsia="Arial" w:hAnsi="Arial"/>
          <w:sz w:val="17"/>
          <w:szCs w:val="17"/>
          <w:color w:val="auto"/>
        </w:rPr>
        <w:t>on the overall changes in the fair value of the interest rate swap contracts. Hedge effectiveness of the interest rate swap contracts is based on a hypothetical derivative methodology. Any ineffective portion of the interest rate swap contracts is recorded in current-period earnings.</w:t>
      </w:r>
    </w:p>
    <w:p>
      <w:pPr>
        <w:spacing w:after="0" w:line="117" w:lineRule="exact"/>
        <w:rPr>
          <w:sz w:val="20"/>
          <w:szCs w:val="20"/>
          <w:color w:val="auto"/>
        </w:rPr>
      </w:pPr>
    </w:p>
    <w:p>
      <w:pPr>
        <w:ind w:firstLine="457"/>
        <w:spacing w:after="0" w:line="267" w:lineRule="auto"/>
        <w:rPr>
          <w:sz w:val="20"/>
          <w:szCs w:val="20"/>
          <w:color w:val="auto"/>
        </w:rPr>
      </w:pPr>
      <w:r>
        <w:rPr>
          <w:rFonts w:ascii="Arial" w:cs="Arial" w:eastAsia="Arial" w:hAnsi="Arial"/>
          <w:sz w:val="17"/>
          <w:szCs w:val="17"/>
          <w:color w:val="auto"/>
        </w:rPr>
        <w:t>As of March 31, 2012, the Company had interest rate swap contracts outstanding with notional amounts aggregating $935,000, which includes interest rate swap contracts with notional amounts aggregating $200,000 that are effective beginning July 2012. The Company’s outstanding interest rate swap contracts have varying maturities ranging from September 2015 to July 2017. At March 31, 2012, the Company’s interest rate cash flow hedges were highly effective, in all material respects.</w:t>
      </w:r>
    </w:p>
    <w:p>
      <w:pPr>
        <w:spacing w:after="0" w:line="131" w:lineRule="exact"/>
        <w:rPr>
          <w:sz w:val="20"/>
          <w:szCs w:val="20"/>
          <w:color w:val="auto"/>
        </w:rPr>
      </w:pPr>
    </w:p>
    <w:p>
      <w:pPr>
        <w:ind w:right="60" w:firstLine="457"/>
        <w:spacing w:after="0" w:line="265" w:lineRule="auto"/>
        <w:rPr>
          <w:sz w:val="20"/>
          <w:szCs w:val="20"/>
          <w:color w:val="auto"/>
        </w:rPr>
      </w:pPr>
      <w:r>
        <w:rPr>
          <w:rFonts w:ascii="Arial" w:cs="Arial" w:eastAsia="Arial" w:hAnsi="Arial"/>
          <w:sz w:val="17"/>
          <w:szCs w:val="17"/>
          <w:color w:val="auto"/>
        </w:rPr>
        <w:t>The Company’s risk management objective and strategy with respect to interest rate swap contracts is to protect the Company against adverse fluctuations in interest rates by reducing its exposure to variability in cash flows relating to interest payments on a portion of its outstanding debt. The Company is meeting its objective by hedging the risk of changes in its cash flows (interest payments) attributable to changes in the LIBOR index rate, the designated benchmark interest rate being hedged (the “hedged risk”), on an amount of the Company’s debt principal equal to the then-outstanding swap notional. The forecasted interest payments are deemed to be probable of occurring.</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fair values of the Company’s derivative financial instruments included in the consolidated balance sheets are as follows:</w:t>
      </w:r>
    </w:p>
    <w:p>
      <w:pPr>
        <w:spacing w:after="0" w:line="208" w:lineRule="exact"/>
        <w:rPr>
          <w:sz w:val="20"/>
          <w:szCs w:val="20"/>
          <w:color w:val="auto"/>
        </w:rPr>
      </w:pPr>
    </w:p>
    <w:tbl>
      <w:tblPr>
        <w:tblLayout w:type="fixed"/>
        <w:tblInd w:w="92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45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3"/>
          </w:tcPr>
          <w:p>
            <w:pPr>
              <w:spacing w:after="0"/>
              <w:rPr>
                <w:sz w:val="20"/>
                <w:szCs w:val="20"/>
                <w:color w:val="auto"/>
              </w:rPr>
            </w:pPr>
            <w:r>
              <w:rPr>
                <w:rFonts w:ascii="Arial" w:cs="Arial" w:eastAsia="Arial" w:hAnsi="Arial"/>
                <w:sz w:val="13"/>
                <w:szCs w:val="13"/>
                <w:b w:val="1"/>
                <w:bCs w:val="1"/>
                <w:color w:val="auto"/>
                <w:w w:val="94"/>
              </w:rPr>
              <w:t>Liability Derivatives</w:t>
            </w:r>
          </w:p>
        </w:tc>
        <w:tc>
          <w:tcPr>
            <w:tcW w:w="5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320" w:type="dxa"/>
            <w:vAlign w:val="bottom"/>
            <w:tcBorders>
              <w:bottom w:val="single" w:sz="8" w:color="auto"/>
            </w:tcBorders>
          </w:tcPr>
          <w:p>
            <w:pPr>
              <w:jc w:val="center"/>
              <w:spacing w:after="0" w:line="138" w:lineRule="exact"/>
              <w:rPr>
                <w:sz w:val="20"/>
                <w:szCs w:val="20"/>
                <w:color w:val="auto"/>
              </w:rPr>
            </w:pPr>
            <w:r>
              <w:rPr>
                <w:rFonts w:ascii="Arial" w:cs="Arial" w:eastAsia="Arial" w:hAnsi="Arial"/>
                <w:sz w:val="13"/>
                <w:szCs w:val="13"/>
                <w:b w:val="1"/>
                <w:bCs w:val="1"/>
                <w:color w:val="auto"/>
                <w:w w:val="88"/>
              </w:rPr>
              <w:t>Balance Sheet Location</w:t>
            </w:r>
          </w:p>
        </w:tc>
        <w:tc>
          <w:tcPr>
            <w:tcW w:w="50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2"/>
          </w:tcPr>
          <w:p>
            <w:pPr>
              <w:jc w:val="right"/>
              <w:ind w:right="100"/>
              <w:spacing w:after="0" w:line="138" w:lineRule="exact"/>
              <w:rPr>
                <w:sz w:val="20"/>
                <w:szCs w:val="20"/>
                <w:color w:val="auto"/>
              </w:rPr>
            </w:pPr>
            <w:r>
              <w:rPr>
                <w:rFonts w:ascii="Arial" w:cs="Arial" w:eastAsia="Arial" w:hAnsi="Arial"/>
                <w:sz w:val="13"/>
                <w:szCs w:val="13"/>
                <w:b w:val="1"/>
                <w:bCs w:val="1"/>
                <w:color w:val="auto"/>
                <w:w w:val="93"/>
              </w:rPr>
              <w:t>Fair Value</w:t>
            </w:r>
          </w:p>
        </w:tc>
        <w:tc>
          <w:tcPr>
            <w:tcW w:w="6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45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80" w:type="dxa"/>
            <w:vAlign w:val="bottom"/>
            <w:gridSpan w:val="2"/>
          </w:tcPr>
          <w:p>
            <w:pPr>
              <w:spacing w:after="0" w:line="126" w:lineRule="exact"/>
              <w:rPr>
                <w:sz w:val="20"/>
                <w:szCs w:val="20"/>
                <w:color w:val="auto"/>
              </w:rPr>
            </w:pPr>
            <w:r>
              <w:rPr>
                <w:rFonts w:ascii="Arial" w:cs="Arial" w:eastAsia="Arial" w:hAnsi="Arial"/>
                <w:sz w:val="13"/>
                <w:szCs w:val="13"/>
                <w:b w:val="1"/>
                <w:bCs w:val="1"/>
                <w:color w:val="auto"/>
              </w:rPr>
              <w:t>March 31,</w:t>
            </w:r>
          </w:p>
        </w:tc>
        <w:tc>
          <w:tcPr>
            <w:tcW w:w="1300" w:type="dxa"/>
            <w:vAlign w:val="bottom"/>
            <w:gridSpan w:val="3"/>
          </w:tcPr>
          <w:p>
            <w:pPr>
              <w:jc w:val="right"/>
              <w:spacing w:after="0" w:line="126" w:lineRule="exact"/>
              <w:rPr>
                <w:sz w:val="20"/>
                <w:szCs w:val="20"/>
                <w:color w:val="auto"/>
              </w:rPr>
            </w:pPr>
            <w:r>
              <w:rPr>
                <w:rFonts w:ascii="Arial" w:cs="Arial" w:eastAsia="Arial" w:hAnsi="Arial"/>
                <w:sz w:val="13"/>
                <w:szCs w:val="13"/>
                <w:b w:val="1"/>
                <w:bCs w:val="1"/>
                <w:color w:val="auto"/>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5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80" w:type="dxa"/>
            <w:vAlign w:val="bottom"/>
            <w:gridSpan w:val="2"/>
          </w:tcPr>
          <w:p>
            <w:pPr>
              <w:jc w:val="center"/>
              <w:ind w:left="434"/>
              <w:spacing w:after="0"/>
              <w:rPr>
                <w:sz w:val="20"/>
                <w:szCs w:val="20"/>
                <w:color w:val="auto"/>
              </w:rPr>
            </w:pPr>
            <w:r>
              <w:rPr>
                <w:rFonts w:ascii="Arial" w:cs="Arial" w:eastAsia="Arial" w:hAnsi="Arial"/>
                <w:sz w:val="13"/>
                <w:szCs w:val="13"/>
                <w:b w:val="1"/>
                <w:bCs w:val="1"/>
                <w:color w:val="auto"/>
                <w:w w:val="89"/>
              </w:rPr>
              <w:t>2012</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ind w:right="181"/>
              <w:spacing w:after="0"/>
              <w:rPr>
                <w:sz w:val="20"/>
                <w:szCs w:val="20"/>
                <w:color w:val="auto"/>
              </w:rPr>
            </w:pPr>
            <w:r>
              <w:rPr>
                <w:rFonts w:ascii="Arial" w:cs="Arial" w:eastAsia="Arial" w:hAnsi="Arial"/>
                <w:sz w:val="13"/>
                <w:szCs w:val="13"/>
                <w:b w:val="1"/>
                <w:bCs w:val="1"/>
                <w:color w:val="auto"/>
              </w:rPr>
              <w:t>2011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540" w:type="dxa"/>
            <w:vAlign w:val="bottom"/>
            <w:tcBorders>
              <w:top w:val="single" w:sz="8" w:color="CCEEFF"/>
            </w:tcBorders>
            <w:shd w:val="clear" w:color="auto" w:fill="CCEEFF"/>
          </w:tcPr>
          <w:p>
            <w:pPr>
              <w:spacing w:after="0" w:line="191" w:lineRule="exact"/>
              <w:rPr>
                <w:sz w:val="20"/>
                <w:szCs w:val="20"/>
                <w:color w:val="auto"/>
              </w:rPr>
            </w:pPr>
            <w:r>
              <w:rPr>
                <w:rFonts w:ascii="Arial" w:cs="Arial" w:eastAsia="Arial" w:hAnsi="Arial"/>
                <w:sz w:val="17"/>
                <w:szCs w:val="17"/>
                <w:b w:val="1"/>
                <w:bCs w:val="1"/>
                <w:color w:val="auto"/>
              </w:rPr>
              <w:t>Derivatives designated as hedging instruments:</w:t>
            </w:r>
          </w:p>
        </w:tc>
        <w:tc>
          <w:tcPr>
            <w:tcW w:w="1140" w:type="dxa"/>
            <w:vAlign w:val="bottom"/>
            <w:tcBorders>
              <w:top w:val="single" w:sz="8" w:color="CCEEFF"/>
            </w:tcBorders>
            <w:shd w:val="clear" w:color="auto" w:fill="CCEEFF"/>
          </w:tcPr>
          <w:p>
            <w:pPr>
              <w:spacing w:after="0"/>
              <w:rPr>
                <w:sz w:val="16"/>
                <w:szCs w:val="16"/>
                <w:color w:val="auto"/>
              </w:rPr>
            </w:pPr>
          </w:p>
        </w:tc>
        <w:tc>
          <w:tcPr>
            <w:tcW w:w="132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7"/>
                <w:szCs w:val="17"/>
                <w:color w:val="auto"/>
              </w:rPr>
              <w:t>Interest rate swap contracts</w:t>
            </w:r>
          </w:p>
        </w:tc>
        <w:tc>
          <w:tcPr>
            <w:tcW w:w="114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7"/>
                <w:szCs w:val="17"/>
                <w:color w:val="auto"/>
                <w:w w:val="95"/>
              </w:rPr>
              <w:t>Other liabilities</w:t>
            </w:r>
          </w:p>
        </w:tc>
        <w:tc>
          <w:tcPr>
            <w:tcW w:w="50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7"/>
                <w:szCs w:val="17"/>
                <w:color w:val="auto"/>
                <w:w w:val="87"/>
              </w:rPr>
              <w:t>$ 19,911</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19,091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Total derivatives</w:t>
            </w:r>
          </w:p>
        </w:tc>
        <w:tc>
          <w:tcPr>
            <w:tcW w:w="1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7"/>
              </w:rPr>
              <w:t>$ 19,911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19,091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amounts of the gains and losses related to the Company’s derivative financial instruments designated as hedging instruments are as follows:</w:t>
      </w:r>
    </w:p>
    <w:p>
      <w:pPr>
        <w:spacing w:after="0" w:line="215"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3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300" w:type="dxa"/>
            <w:vAlign w:val="bottom"/>
          </w:tcPr>
          <w:p>
            <w:pPr>
              <w:jc w:val="center"/>
              <w:spacing w:after="0"/>
              <w:rPr>
                <w:sz w:val="20"/>
                <w:szCs w:val="20"/>
                <w:color w:val="auto"/>
              </w:rPr>
            </w:pPr>
            <w:r>
              <w:rPr>
                <w:rFonts w:ascii="Arial" w:cs="Arial" w:eastAsia="Arial" w:hAnsi="Arial"/>
                <w:sz w:val="13"/>
                <w:szCs w:val="13"/>
                <w:b w:val="1"/>
                <w:bCs w:val="1"/>
                <w:color w:val="auto"/>
                <w:w w:val="90"/>
              </w:rPr>
              <w:t>Location of Loss</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5"/>
        </w:trPr>
        <w:tc>
          <w:tcPr>
            <w:tcW w:w="3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0" w:type="dxa"/>
            <w:vAlign w:val="bottom"/>
            <w:gridSpan w:val="3"/>
          </w:tcPr>
          <w:p>
            <w:pPr>
              <w:jc w:val="center"/>
              <w:ind w:left="11"/>
              <w:spacing w:after="0" w:line="145" w:lineRule="exact"/>
              <w:rPr>
                <w:sz w:val="20"/>
                <w:szCs w:val="20"/>
                <w:color w:val="auto"/>
              </w:rPr>
            </w:pPr>
            <w:r>
              <w:rPr>
                <w:rFonts w:ascii="Arial" w:cs="Arial" w:eastAsia="Arial" w:hAnsi="Arial"/>
                <w:sz w:val="13"/>
                <w:szCs w:val="13"/>
                <w:b w:val="1"/>
                <w:bCs w:val="1"/>
                <w:color w:val="auto"/>
                <w:w w:val="90"/>
              </w:rPr>
              <w:t>Amount of Loss Recognized in</w:t>
            </w: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300" w:type="dxa"/>
            <w:vAlign w:val="bottom"/>
          </w:tcPr>
          <w:p>
            <w:pPr>
              <w:jc w:val="center"/>
              <w:spacing w:after="0" w:line="145" w:lineRule="exact"/>
              <w:rPr>
                <w:sz w:val="20"/>
                <w:szCs w:val="20"/>
                <w:color w:val="auto"/>
              </w:rPr>
            </w:pPr>
            <w:r>
              <w:rPr>
                <w:rFonts w:ascii="Arial" w:cs="Arial" w:eastAsia="Arial" w:hAnsi="Arial"/>
                <w:sz w:val="13"/>
                <w:szCs w:val="13"/>
                <w:b w:val="1"/>
                <w:bCs w:val="1"/>
                <w:color w:val="auto"/>
                <w:w w:val="90"/>
              </w:rPr>
              <w:t>Reclassified from</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5"/>
        </w:trPr>
        <w:tc>
          <w:tcPr>
            <w:tcW w:w="3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0" w:type="dxa"/>
            <w:vAlign w:val="bottom"/>
            <w:gridSpan w:val="3"/>
          </w:tcPr>
          <w:p>
            <w:pPr>
              <w:jc w:val="center"/>
              <w:ind w:left="11"/>
              <w:spacing w:after="0" w:line="145" w:lineRule="exact"/>
              <w:rPr>
                <w:sz w:val="20"/>
                <w:szCs w:val="20"/>
                <w:color w:val="auto"/>
              </w:rPr>
            </w:pPr>
            <w:r>
              <w:rPr>
                <w:rFonts w:ascii="Arial" w:cs="Arial" w:eastAsia="Arial" w:hAnsi="Arial"/>
                <w:sz w:val="13"/>
                <w:szCs w:val="13"/>
                <w:b w:val="1"/>
                <w:bCs w:val="1"/>
                <w:color w:val="auto"/>
                <w:w w:val="92"/>
              </w:rPr>
              <w:t>Other Comprehensive Income</w:t>
            </w: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300" w:type="dxa"/>
            <w:vAlign w:val="bottom"/>
          </w:tcPr>
          <w:p>
            <w:pPr>
              <w:jc w:val="center"/>
              <w:spacing w:after="0" w:line="145" w:lineRule="exact"/>
              <w:rPr>
                <w:sz w:val="20"/>
                <w:szCs w:val="20"/>
                <w:color w:val="auto"/>
              </w:rPr>
            </w:pPr>
            <w:r>
              <w:rPr>
                <w:rFonts w:ascii="Arial" w:cs="Arial" w:eastAsia="Arial" w:hAnsi="Arial"/>
                <w:sz w:val="13"/>
                <w:szCs w:val="13"/>
                <w:b w:val="1"/>
                <w:bCs w:val="1"/>
                <w:color w:val="auto"/>
                <w:w w:val="94"/>
              </w:rPr>
              <w:t>Accumulated OCI into</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60" w:type="dxa"/>
            <w:vAlign w:val="bottom"/>
            <w:gridSpan w:val="4"/>
          </w:tcPr>
          <w:p>
            <w:pPr>
              <w:jc w:val="center"/>
              <w:ind w:left="71"/>
              <w:spacing w:after="0" w:line="145" w:lineRule="exact"/>
              <w:rPr>
                <w:sz w:val="20"/>
                <w:szCs w:val="20"/>
                <w:color w:val="auto"/>
              </w:rPr>
            </w:pPr>
            <w:r>
              <w:rPr>
                <w:rFonts w:ascii="Arial" w:cs="Arial" w:eastAsia="Arial" w:hAnsi="Arial"/>
                <w:sz w:val="13"/>
                <w:szCs w:val="13"/>
                <w:b w:val="1"/>
                <w:bCs w:val="1"/>
                <w:color w:val="auto"/>
                <w:w w:val="88"/>
              </w:rPr>
              <w:t>Amount of Loss Reclassified</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5"/>
        </w:trPr>
        <w:tc>
          <w:tcPr>
            <w:tcW w:w="3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0" w:type="dxa"/>
            <w:vAlign w:val="bottom"/>
            <w:gridSpan w:val="3"/>
          </w:tcPr>
          <w:p>
            <w:pPr>
              <w:jc w:val="center"/>
              <w:ind w:left="11"/>
              <w:spacing w:after="0" w:line="145" w:lineRule="exact"/>
              <w:rPr>
                <w:sz w:val="20"/>
                <w:szCs w:val="20"/>
                <w:color w:val="auto"/>
              </w:rPr>
            </w:pPr>
            <w:r>
              <w:rPr>
                <w:rFonts w:ascii="Arial" w:cs="Arial" w:eastAsia="Arial" w:hAnsi="Arial"/>
                <w:sz w:val="13"/>
                <w:szCs w:val="13"/>
                <w:b w:val="1"/>
                <w:bCs w:val="1"/>
                <w:color w:val="auto"/>
                <w:w w:val="94"/>
              </w:rPr>
              <w:t>(“OCI”) on Derivatives (Effective</w:t>
            </w: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300" w:type="dxa"/>
            <w:vAlign w:val="bottom"/>
          </w:tcPr>
          <w:p>
            <w:pPr>
              <w:jc w:val="center"/>
              <w:spacing w:after="0" w:line="145" w:lineRule="exact"/>
              <w:rPr>
                <w:sz w:val="20"/>
                <w:szCs w:val="20"/>
                <w:color w:val="auto"/>
              </w:rPr>
            </w:pPr>
            <w:r>
              <w:rPr>
                <w:rFonts w:ascii="Arial" w:cs="Arial" w:eastAsia="Arial" w:hAnsi="Arial"/>
                <w:sz w:val="13"/>
                <w:szCs w:val="13"/>
                <w:b w:val="1"/>
                <w:bCs w:val="1"/>
                <w:color w:val="auto"/>
                <w:w w:val="93"/>
              </w:rPr>
              <w:t>Earnings (Effective</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60" w:type="dxa"/>
            <w:vAlign w:val="bottom"/>
            <w:gridSpan w:val="4"/>
          </w:tcPr>
          <w:p>
            <w:pPr>
              <w:jc w:val="center"/>
              <w:ind w:left="71"/>
              <w:spacing w:after="0" w:line="145" w:lineRule="exact"/>
              <w:rPr>
                <w:sz w:val="20"/>
                <w:szCs w:val="20"/>
                <w:color w:val="auto"/>
              </w:rPr>
            </w:pPr>
            <w:r>
              <w:rPr>
                <w:rFonts w:ascii="Arial" w:cs="Arial" w:eastAsia="Arial" w:hAnsi="Arial"/>
                <w:sz w:val="13"/>
                <w:szCs w:val="13"/>
                <w:b w:val="1"/>
                <w:bCs w:val="1"/>
                <w:color w:val="auto"/>
                <w:w w:val="93"/>
              </w:rPr>
              <w:t>from Accumulated OCI into</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8"/>
        </w:trPr>
        <w:tc>
          <w:tcPr>
            <w:tcW w:w="3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80" w:type="dxa"/>
            <w:vAlign w:val="bottom"/>
            <w:gridSpan w:val="2"/>
          </w:tcPr>
          <w:p>
            <w:pPr>
              <w:jc w:val="center"/>
              <w:ind w:right="620"/>
              <w:spacing w:after="0"/>
              <w:rPr>
                <w:sz w:val="20"/>
                <w:szCs w:val="20"/>
                <w:color w:val="auto"/>
              </w:rPr>
            </w:pPr>
            <w:r>
              <w:rPr>
                <w:rFonts w:ascii="Arial" w:cs="Arial" w:eastAsia="Arial" w:hAnsi="Arial"/>
                <w:sz w:val="13"/>
                <w:szCs w:val="13"/>
                <w:b w:val="1"/>
                <w:bCs w:val="1"/>
                <w:color w:val="auto"/>
                <w:w w:val="92"/>
              </w:rPr>
              <w:t>Portion)</w:t>
            </w: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300" w:type="dxa"/>
            <w:vAlign w:val="bottom"/>
          </w:tcPr>
          <w:p>
            <w:pPr>
              <w:jc w:val="center"/>
              <w:spacing w:after="0"/>
              <w:rPr>
                <w:sz w:val="20"/>
                <w:szCs w:val="20"/>
                <w:color w:val="auto"/>
              </w:rPr>
            </w:pPr>
            <w:r>
              <w:rPr>
                <w:rFonts w:ascii="Arial" w:cs="Arial" w:eastAsia="Arial" w:hAnsi="Arial"/>
                <w:sz w:val="13"/>
                <w:szCs w:val="13"/>
                <w:b w:val="1"/>
                <w:bCs w:val="1"/>
                <w:color w:val="auto"/>
                <w:w w:val="92"/>
              </w:rPr>
              <w:t>Portion)</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rPr>
              <w:t>Earnings</w:t>
            </w:r>
          </w:p>
        </w:tc>
        <w:tc>
          <w:tcPr>
            <w:tcW w:w="1500" w:type="dxa"/>
            <w:vAlign w:val="bottom"/>
            <w:gridSpan w:val="4"/>
          </w:tcPr>
          <w:p>
            <w:pPr>
              <w:ind w:left="20"/>
              <w:spacing w:after="0"/>
              <w:rPr>
                <w:sz w:val="20"/>
                <w:szCs w:val="20"/>
                <w:color w:val="auto"/>
              </w:rPr>
            </w:pPr>
            <w:r>
              <w:rPr>
                <w:rFonts w:ascii="Arial" w:cs="Arial" w:eastAsia="Arial" w:hAnsi="Arial"/>
                <w:sz w:val="13"/>
                <w:szCs w:val="13"/>
                <w:b w:val="1"/>
                <w:bCs w:val="1"/>
                <w:color w:val="auto"/>
              </w:rPr>
              <w:t>(Effective Portion)(a)</w:t>
            </w:r>
          </w:p>
        </w:tc>
      </w:tr>
      <w:tr>
        <w:trPr>
          <w:trHeight w:val="138"/>
        </w:trPr>
        <w:tc>
          <w:tcPr>
            <w:tcW w:w="310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2000" w:type="dxa"/>
            <w:vAlign w:val="bottom"/>
            <w:tcBorders>
              <w:top w:val="single" w:sz="8" w:color="auto"/>
              <w:bottom w:val="single" w:sz="8" w:color="auto"/>
            </w:tcBorders>
            <w:gridSpan w:val="3"/>
          </w:tcPr>
          <w:p>
            <w:pPr>
              <w:jc w:val="center"/>
              <w:ind w:left="11"/>
              <w:spacing w:after="0" w:line="138" w:lineRule="exact"/>
              <w:rPr>
                <w:sz w:val="20"/>
                <w:szCs w:val="20"/>
                <w:color w:val="auto"/>
              </w:rPr>
            </w:pPr>
            <w:r>
              <w:rPr>
                <w:rFonts w:ascii="Arial" w:cs="Arial" w:eastAsia="Arial" w:hAnsi="Arial"/>
                <w:sz w:val="13"/>
                <w:szCs w:val="13"/>
                <w:b w:val="1"/>
                <w:bCs w:val="1"/>
                <w:color w:val="auto"/>
                <w:w w:val="93"/>
              </w:rPr>
              <w:t>Three Months Ended March 31,</w:t>
            </w:r>
          </w:p>
        </w:tc>
        <w:tc>
          <w:tcPr>
            <w:tcW w:w="280" w:type="dxa"/>
            <w:vAlign w:val="bottom"/>
            <w:tcBorders>
              <w:top w:val="single" w:sz="8" w:color="auto"/>
              <w:bottom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2020" w:type="dxa"/>
            <w:vAlign w:val="bottom"/>
            <w:tcBorders>
              <w:top w:val="single" w:sz="8" w:color="auto"/>
              <w:bottom w:val="single" w:sz="8" w:color="auto"/>
            </w:tcBorders>
            <w:gridSpan w:val="5"/>
          </w:tcPr>
          <w:p>
            <w:pPr>
              <w:jc w:val="center"/>
              <w:ind w:right="34"/>
              <w:spacing w:after="0" w:line="138" w:lineRule="exact"/>
              <w:rPr>
                <w:sz w:val="20"/>
                <w:szCs w:val="20"/>
                <w:color w:val="auto"/>
              </w:rPr>
            </w:pPr>
            <w:r>
              <w:rPr>
                <w:rFonts w:ascii="Arial" w:cs="Arial" w:eastAsia="Arial" w:hAnsi="Arial"/>
                <w:sz w:val="13"/>
                <w:szCs w:val="13"/>
                <w:b w:val="1"/>
                <w:bCs w:val="1"/>
                <w:color w:val="auto"/>
                <w:w w:val="94"/>
              </w:rPr>
              <w:t>Three Months Ended March 31,</w:t>
            </w:r>
          </w:p>
        </w:tc>
        <w:tc>
          <w:tcPr>
            <w:tcW w:w="100" w:type="dxa"/>
            <w:vAlign w:val="bottom"/>
          </w:tcPr>
          <w:p>
            <w:pPr>
              <w:spacing w:after="0"/>
              <w:rPr>
                <w:sz w:val="12"/>
                <w:szCs w:val="12"/>
                <w:color w:val="auto"/>
              </w:rPr>
            </w:pPr>
          </w:p>
        </w:tc>
      </w:tr>
      <w:tr>
        <w:trPr>
          <w:trHeight w:val="138"/>
        </w:trPr>
        <w:tc>
          <w:tcPr>
            <w:tcW w:w="3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ind w:right="251"/>
              <w:spacing w:after="0" w:line="138" w:lineRule="exact"/>
              <w:rPr>
                <w:sz w:val="20"/>
                <w:szCs w:val="20"/>
                <w:color w:val="auto"/>
              </w:rPr>
            </w:pPr>
            <w:r>
              <w:rPr>
                <w:rFonts w:ascii="Arial" w:cs="Arial" w:eastAsia="Arial" w:hAnsi="Arial"/>
                <w:sz w:val="13"/>
                <w:szCs w:val="13"/>
                <w:b w:val="1"/>
                <w:bCs w:val="1"/>
                <w:color w:val="auto"/>
              </w:rPr>
              <w:t>2012</w:t>
            </w:r>
          </w:p>
        </w:tc>
        <w:tc>
          <w:tcPr>
            <w:tcW w:w="1560" w:type="dxa"/>
            <w:vAlign w:val="bottom"/>
            <w:gridSpan w:val="3"/>
          </w:tcPr>
          <w:p>
            <w:pPr>
              <w:jc w:val="right"/>
              <w:ind w:right="154"/>
              <w:spacing w:after="0" w:line="138" w:lineRule="exact"/>
              <w:rPr>
                <w:sz w:val="20"/>
                <w:szCs w:val="20"/>
                <w:color w:val="auto"/>
              </w:rPr>
            </w:pPr>
            <w:r>
              <w:rPr>
                <w:rFonts w:ascii="Arial" w:cs="Arial" w:eastAsia="Arial" w:hAnsi="Arial"/>
                <w:sz w:val="13"/>
                <w:szCs w:val="13"/>
                <w:b w:val="1"/>
                <w:bCs w:val="1"/>
                <w:color w:val="auto"/>
              </w:rPr>
              <w:t>2011</w:t>
            </w:r>
          </w:p>
        </w:tc>
        <w:tc>
          <w:tcPr>
            <w:tcW w:w="7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ind w:right="151"/>
              <w:spacing w:after="0" w:line="138" w:lineRule="exact"/>
              <w:rPr>
                <w:sz w:val="20"/>
                <w:szCs w:val="20"/>
                <w:color w:val="auto"/>
              </w:rPr>
            </w:pPr>
            <w:r>
              <w:rPr>
                <w:rFonts w:ascii="Arial" w:cs="Arial" w:eastAsia="Arial" w:hAnsi="Arial"/>
                <w:sz w:val="13"/>
                <w:szCs w:val="13"/>
                <w:b w:val="1"/>
                <w:bCs w:val="1"/>
                <w:color w:val="auto"/>
              </w:rPr>
              <w:t>2012</w:t>
            </w:r>
          </w:p>
        </w:tc>
        <w:tc>
          <w:tcPr>
            <w:tcW w:w="20" w:type="dxa"/>
            <w:vAlign w:val="bottom"/>
          </w:tcPr>
          <w:p>
            <w:pPr>
              <w:spacing w:after="0"/>
              <w:rPr>
                <w:sz w:val="12"/>
                <w:szCs w:val="12"/>
                <w:color w:val="auto"/>
              </w:rPr>
            </w:pPr>
          </w:p>
        </w:tc>
        <w:tc>
          <w:tcPr>
            <w:tcW w:w="1400" w:type="dxa"/>
            <w:vAlign w:val="bottom"/>
            <w:gridSpan w:val="3"/>
          </w:tcPr>
          <w:p>
            <w:pPr>
              <w:jc w:val="right"/>
              <w:ind w:right="74"/>
              <w:spacing w:after="0" w:line="138" w:lineRule="exact"/>
              <w:rPr>
                <w:sz w:val="20"/>
                <w:szCs w:val="20"/>
                <w:color w:val="auto"/>
              </w:rPr>
            </w:pPr>
            <w:r>
              <w:rPr>
                <w:rFonts w:ascii="Arial" w:cs="Arial" w:eastAsia="Arial" w:hAnsi="Arial"/>
                <w:sz w:val="13"/>
                <w:szCs w:val="13"/>
                <w:b w:val="1"/>
                <w:bCs w:val="1"/>
                <w:color w:val="auto"/>
              </w:rPr>
              <w:t>2011</w:t>
            </w:r>
          </w:p>
        </w:tc>
        <w:tc>
          <w:tcPr>
            <w:tcW w:w="100" w:type="dxa"/>
            <w:vAlign w:val="bottom"/>
          </w:tcPr>
          <w:p>
            <w:pPr>
              <w:spacing w:after="0"/>
              <w:rPr>
                <w:sz w:val="12"/>
                <w:szCs w:val="12"/>
                <w:color w:val="auto"/>
              </w:rPr>
            </w:pPr>
          </w:p>
        </w:tc>
      </w:tr>
      <w:tr>
        <w:trPr>
          <w:trHeight w:val="176"/>
        </w:trPr>
        <w:tc>
          <w:tcPr>
            <w:tcW w:w="3100" w:type="dxa"/>
            <w:vAlign w:val="bottom"/>
            <w:tcBorders>
              <w:top w:val="single" w:sz="8" w:color="CCEEFF"/>
            </w:tcBorders>
            <w:shd w:val="clear" w:color="auto" w:fill="CCEEFF"/>
          </w:tcPr>
          <w:p>
            <w:pPr>
              <w:spacing w:after="0" w:line="176" w:lineRule="exact"/>
              <w:rPr>
                <w:sz w:val="20"/>
                <w:szCs w:val="20"/>
                <w:color w:val="auto"/>
              </w:rPr>
            </w:pPr>
            <w:r>
              <w:rPr>
                <w:rFonts w:ascii="Arial" w:cs="Arial" w:eastAsia="Arial" w:hAnsi="Arial"/>
                <w:sz w:val="17"/>
                <w:szCs w:val="17"/>
                <w:b w:val="1"/>
                <w:bCs w:val="1"/>
                <w:color w:val="auto"/>
              </w:rPr>
              <w:t>Derivatives in Cash Flow</w:t>
            </w:r>
          </w:p>
        </w:tc>
        <w:tc>
          <w:tcPr>
            <w:tcW w:w="18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CCEEFF"/>
            </w:tcBorders>
            <w:shd w:val="clear" w:color="auto" w:fill="CCEEFF"/>
          </w:tcPr>
          <w:p>
            <w:pPr>
              <w:spacing w:after="0"/>
              <w:rPr>
                <w:sz w:val="15"/>
                <w:szCs w:val="15"/>
                <w:color w:val="auto"/>
              </w:rPr>
            </w:pPr>
          </w:p>
        </w:tc>
        <w:tc>
          <w:tcPr>
            <w:tcW w:w="130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25"/>
        </w:trPr>
        <w:tc>
          <w:tcPr>
            <w:tcW w:w="3100" w:type="dxa"/>
            <w:vAlign w:val="bottom"/>
            <w:shd w:val="clear" w:color="auto" w:fill="CCEEFF"/>
          </w:tcPr>
          <w:p>
            <w:pPr>
              <w:ind w:left="220"/>
              <w:spacing w:after="0"/>
              <w:rPr>
                <w:sz w:val="20"/>
                <w:szCs w:val="20"/>
                <w:color w:val="auto"/>
              </w:rPr>
            </w:pPr>
            <w:r>
              <w:rPr>
                <w:rFonts w:ascii="Arial" w:cs="Arial" w:eastAsia="Arial" w:hAnsi="Arial"/>
                <w:sz w:val="17"/>
                <w:szCs w:val="17"/>
                <w:b w:val="1"/>
                <w:bCs w:val="1"/>
                <w:color w:val="auto"/>
              </w:rPr>
              <w:t>Hedging Relationships:</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1"/>
        </w:trPr>
        <w:tc>
          <w:tcPr>
            <w:tcW w:w="3100" w:type="dxa"/>
            <w:vAlign w:val="bottom"/>
          </w:tcPr>
          <w:p>
            <w:pPr>
              <w:spacing w:after="0"/>
              <w:rPr>
                <w:sz w:val="20"/>
                <w:szCs w:val="20"/>
                <w:color w:val="auto"/>
              </w:rPr>
            </w:pPr>
            <w:r>
              <w:rPr>
                <w:rFonts w:ascii="Arial" w:cs="Arial" w:eastAsia="Arial" w:hAnsi="Arial"/>
                <w:sz w:val="17"/>
                <w:szCs w:val="17"/>
                <w:color w:val="auto"/>
              </w:rPr>
              <w:t>Interest rate swap contracts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2,934</w:t>
            </w:r>
          </w:p>
        </w:tc>
        <w:tc>
          <w:tcPr>
            <w:tcW w:w="128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280" w:type="dxa"/>
            <w:vAlign w:val="bottom"/>
          </w:tcPr>
          <w:p>
            <w:pPr>
              <w:jc w:val="right"/>
              <w:ind w:right="14"/>
              <w:spacing w:after="0"/>
              <w:rPr>
                <w:sz w:val="20"/>
                <w:szCs w:val="20"/>
                <w:color w:val="auto"/>
              </w:rPr>
            </w:pPr>
            <w:r>
              <w:rPr>
                <w:rFonts w:ascii="Arial" w:cs="Arial" w:eastAsia="Arial" w:hAnsi="Arial"/>
                <w:sz w:val="17"/>
                <w:szCs w:val="17"/>
                <w:color w:val="auto"/>
                <w:w w:val="93"/>
              </w:rPr>
              <w:t>—</w:t>
            </w:r>
          </w:p>
        </w:tc>
        <w:tc>
          <w:tcPr>
            <w:tcW w:w="74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7"/>
                <w:szCs w:val="17"/>
                <w:color w:val="auto"/>
                <w:w w:val="87"/>
              </w:rPr>
              <w:t>Interest expense</w:t>
            </w: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7"/>
                <w:szCs w:val="17"/>
                <w:color w:val="auto"/>
              </w:rPr>
              <w:t>2,114</w:t>
            </w:r>
          </w:p>
        </w:tc>
        <w:tc>
          <w:tcPr>
            <w:tcW w:w="114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360" w:type="dxa"/>
            <w:vAlign w:val="bottom"/>
            <w:gridSpan w:val="2"/>
          </w:tcPr>
          <w:p>
            <w:pPr>
              <w:ind w:left="20"/>
              <w:spacing w:after="0"/>
              <w:rPr>
                <w:sz w:val="20"/>
                <w:szCs w:val="20"/>
                <w:color w:val="auto"/>
              </w:rPr>
            </w:pPr>
            <w:r>
              <w:rPr>
                <w:rFonts w:ascii="Arial" w:cs="Arial" w:eastAsia="Arial" w:hAnsi="Arial"/>
                <w:sz w:val="17"/>
                <w:szCs w:val="17"/>
                <w:color w:val="auto"/>
              </w:rPr>
              <w:t>—</w:t>
            </w:r>
          </w:p>
        </w:tc>
      </w:tr>
      <w:tr>
        <w:trPr>
          <w:trHeight w:val="20"/>
        </w:trPr>
        <w:tc>
          <w:tcPr>
            <w:tcW w:w="3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460" w:right="120" w:hanging="455"/>
        <w:spacing w:after="0" w:line="284" w:lineRule="auto"/>
        <w:tabs>
          <w:tab w:leader="none" w:pos="4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There were no gains or losses recognized in earnings related to any ineffective portion of the hedging relationship or related to any amount excluded from the assessment of hedge effectiveness for the three months ended March 31, 2012 and 2011.</w:t>
      </w:r>
    </w:p>
    <w:p>
      <w:pPr>
        <w:spacing w:after="0" w:line="229" w:lineRule="exact"/>
        <w:rPr>
          <w:sz w:val="20"/>
          <w:szCs w:val="20"/>
          <w:color w:val="auto"/>
        </w:rPr>
      </w:pPr>
    </w:p>
    <w:p>
      <w:pPr>
        <w:spacing w:after="0"/>
        <w:tabs>
          <w:tab w:leader="none" w:pos="1020" w:val="left"/>
        </w:tabs>
        <w:rPr>
          <w:sz w:val="20"/>
          <w:szCs w:val="20"/>
          <w:color w:val="auto"/>
        </w:rPr>
      </w:pPr>
      <w:r>
        <w:rPr>
          <w:rFonts w:ascii="Arial" w:cs="Arial" w:eastAsia="Arial" w:hAnsi="Arial"/>
          <w:sz w:val="17"/>
          <w:szCs w:val="17"/>
          <w:b w:val="1"/>
          <w:bCs w:val="1"/>
          <w:color w:val="auto"/>
        </w:rPr>
        <w:t>Note 7.</w:t>
      </w:r>
      <w:r>
        <w:rPr>
          <w:sz w:val="20"/>
          <w:szCs w:val="20"/>
          <w:color w:val="auto"/>
        </w:rPr>
        <w:tab/>
      </w:r>
      <w:r>
        <w:rPr>
          <w:rFonts w:ascii="Arial" w:cs="Arial" w:eastAsia="Arial" w:hAnsi="Arial"/>
          <w:sz w:val="15"/>
          <w:szCs w:val="15"/>
          <w:b w:val="1"/>
          <w:bCs w:val="1"/>
          <w:color w:val="auto"/>
        </w:rPr>
        <w:t>Commitments and Contingencies</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Commitments</w:t>
      </w:r>
    </w:p>
    <w:p>
      <w:pPr>
        <w:spacing w:after="0" w:line="100" w:lineRule="exact"/>
        <w:rPr>
          <w:sz w:val="20"/>
          <w:szCs w:val="20"/>
          <w:color w:val="auto"/>
        </w:rPr>
      </w:pPr>
    </w:p>
    <w:p>
      <w:pPr>
        <w:ind w:right="280" w:firstLine="457"/>
        <w:spacing w:after="0" w:line="271" w:lineRule="auto"/>
        <w:rPr>
          <w:sz w:val="20"/>
          <w:szCs w:val="20"/>
          <w:color w:val="auto"/>
        </w:rPr>
      </w:pPr>
      <w:r>
        <w:rPr>
          <w:rFonts w:ascii="Arial" w:cs="Arial" w:eastAsia="Arial" w:hAnsi="Arial"/>
          <w:sz w:val="17"/>
          <w:szCs w:val="17"/>
          <w:color w:val="auto"/>
        </w:rPr>
        <w:t>As of March 31, 2012, the Company’s off-balance sheet arrangements not reflected on the Company’s consolidated balance sheet decreased approximately $21,800 to approximately $321,800 as compared to approximately $343,600 at December 31, 2011. The decrease relates primarily to future program rights obligations.</w:t>
      </w:r>
    </w:p>
    <w:p>
      <w:pPr>
        <w:spacing w:after="0" w:line="115"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360"/>
          </w:cols>
          <w:pgMar w:left="240" w:top="451" w:right="299" w:bottom="1440" w:gutter="0" w:footer="0" w:header="0"/>
        </w:sectPr>
      </w:pPr>
    </w:p>
    <w:bookmarkStart w:id="14" w:name="page15"/>
    <w:bookmarkEnd w:id="1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AMC NETWORKS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NOTES TO CONSOLIDATED FINANCIAL STATEMENTS - (Continued)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(Dollars in thousands, except per share amounts)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Legal Matters</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DISH Network Contract Dispute</w:t>
      </w:r>
    </w:p>
    <w:p>
      <w:pPr>
        <w:spacing w:after="0" w:line="94" w:lineRule="exact"/>
        <w:rPr>
          <w:sz w:val="20"/>
          <w:szCs w:val="20"/>
          <w:color w:val="auto"/>
        </w:rPr>
      </w:pPr>
    </w:p>
    <w:p>
      <w:pPr>
        <w:ind w:firstLine="457"/>
        <w:spacing w:after="0" w:line="277" w:lineRule="auto"/>
        <w:rPr>
          <w:sz w:val="20"/>
          <w:szCs w:val="20"/>
          <w:color w:val="auto"/>
        </w:rPr>
      </w:pPr>
      <w:r>
        <w:rPr>
          <w:rFonts w:ascii="Arial" w:cs="Arial" w:eastAsia="Arial" w:hAnsi="Arial"/>
          <w:sz w:val="16"/>
          <w:szCs w:val="16"/>
          <w:color w:val="auto"/>
        </w:rPr>
        <w:t>In 2005, subsidiaries of the Company entered into agreements with EchoStar Communications Corporation and its affiliates by which EchoStar Media Holdings Corporation acquired a 20% interest in VOOM HD and EchoStar Satellite LLC (the predecessor to DISH Network, LLC (“DISH Network”)) agreed to distribute VOOM on DISH Network for a 15-year term. The affiliation agreement with DISH Network for such distribution provides that if VOOM HD fails to spend $100,000 per year (subject to reduction to the extent that the number of offered channels is reduced to fewer than 21), up to a maximum of $500,000 in the aggregate, on VOOM, DISH Network may seek to terminate the agreement under certain circumstances. On January 30, 2008, DISH Network purported to terminate the affiliation agreement, effective February 1, 2008, based on its assertion that VOOM HD had failed to comply with this spending provision in 2006. On January 31, 2008, VOOM HD sought and obtained a temporary restraining order from the New York Supreme Court for New York County prohibiting DISH Network from terminating the affiliation agreement. In conjunction with its request for a temporary restraining order, VOOM HD also requested a preliminary injunction and filed a lawsuit against DISH Network asserting that DISH Network did not have the right to terminate the affiliation agreement. In a decision filed on May 5, 2008, the court denied VOOM HD’s motion for a preliminary injunction. On or about May 13, 2008, DISH Network ceased distribution of VOOM on its DISH Network. On May 27, 2008, VOOM HD amended its complaint to seek damages for DISH Network’s improper termination of the affiliation agreement. On June 24, 2008, DISH Network answered VOOM HD’s amended complaint and asserted counterclaims alleging breach of contract and breach of the duty of good faith and fair dealing with respect to the affiliation agreement. On July 14, 2008, VOOM HD replied to DISH Network’s counterclaims. The Company believes that the counterclaims asserted by DISH Network are without merit. VOOM HD and DISH Network each filed cross-motions for summary judgment. In November 2010, the court denied both parties’ cross-motions for summary judgment but granted VOOM HD’s motion for sanctions based on DISH Network’s spoliation of evidence as well as its motion to exclude DISH Network’s principal damages expert. DISH Network appealed these latter two rulings. On January 31, 2012, the Appellate Division of the New York Supreme Court issued a decision affirming (i) the trial court’s finding of spoliation and imposition of the sanction of an adverse inference at trial; and (ii) the trial court’s decision to exclude DISH Network’s damages expert. On February 6, 2012, DISH Network filed a motion seeking leave from the Appellate Division to appeal the order. On April 26, 2012, the Apellate Division denied DISH Network’s motion, thereby precluding any further appeal of the trial court rulings. The stay of the pending trial court proceedings was lifted on May 1, 2012. The Company expects the court to set a date for trial shortly.</w:t>
      </w:r>
    </w:p>
    <w:p>
      <w:pPr>
        <w:spacing w:after="0" w:line="125" w:lineRule="exact"/>
        <w:rPr>
          <w:sz w:val="20"/>
          <w:szCs w:val="20"/>
          <w:color w:val="auto"/>
        </w:rPr>
      </w:pPr>
    </w:p>
    <w:p>
      <w:pPr>
        <w:ind w:right="240" w:firstLine="457"/>
        <w:spacing w:after="0" w:line="305" w:lineRule="auto"/>
        <w:rPr>
          <w:sz w:val="20"/>
          <w:szCs w:val="20"/>
          <w:color w:val="auto"/>
        </w:rPr>
      </w:pPr>
      <w:r>
        <w:rPr>
          <w:rFonts w:ascii="Arial" w:cs="Arial" w:eastAsia="Arial" w:hAnsi="Arial"/>
          <w:sz w:val="15"/>
          <w:szCs w:val="15"/>
          <w:color w:val="auto"/>
        </w:rPr>
        <w:t>In connection with the Distribution, CSC Holdings and AMC Networks and Rainbow Programming Holdings, LLC, an indirect wholly-owned subsidiary of AMC Networks (collectively, the “AMC Parties”) entered into an agreement which provides that from and after the Distribution date, CSC Holdings retains full control over the pending litigation with DISH Network. Any decision with respect to settlement will be made jointly by CSC Holdings and the AMC Parties. CSC Holdings and the AMC Parties will share equally in the proceeds (including in the value of any non-cash consideration) of any settlement or final judgment in the pending litigation with DISH Network that are received by subsidiaries of the Company from VOOM HD. The AMC Parties are responsible for the legal fees and costs until such costs reach an agreed upon threshold, at which point CSC Holdings and the AMC Parties will bear such fees and expenses equally.</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Other Legal Matters</w:t>
      </w:r>
    </w:p>
    <w:p>
      <w:pPr>
        <w:spacing w:after="0" w:line="94" w:lineRule="exact"/>
        <w:rPr>
          <w:sz w:val="20"/>
          <w:szCs w:val="20"/>
          <w:color w:val="auto"/>
        </w:rPr>
      </w:pPr>
    </w:p>
    <w:p>
      <w:pPr>
        <w:ind w:right="60" w:firstLine="457"/>
        <w:spacing w:after="0" w:line="263" w:lineRule="auto"/>
        <w:rPr>
          <w:sz w:val="20"/>
          <w:szCs w:val="20"/>
          <w:color w:val="auto"/>
        </w:rPr>
      </w:pPr>
      <w:r>
        <w:rPr>
          <w:rFonts w:ascii="Arial" w:cs="Arial" w:eastAsia="Arial" w:hAnsi="Arial"/>
          <w:sz w:val="17"/>
          <w:szCs w:val="17"/>
          <w:color w:val="auto"/>
        </w:rPr>
        <w:t>On April 15, 2011, Thomas C. Dolan, a director of the Company and Executive Vice President, Strategy and Development, in the Office of the Chairman and a director of Cablevision, filed a lawsuit against Cablevision and RMH in New York Supreme Court. The lawsuit raises compensation-related claims (seeking approximately $11,000) related to events in 2005. The matter is being handled under the direction of an independent committee of the board of directors of Cablevision. In connection with the Distribution Agreement, Cablevision indemnified the Company and RMH against any liabilities and expenses related to this lawsuit. Based on the indemnification and Cablevision’s and the Company’s assessment of this possible loss contingency, no provision has been made for this matter in the consolidated financial statements.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420"/>
          </w:cols>
          <w:pgMar w:left="240" w:top="451" w:right="239" w:bottom="1440" w:gutter="0" w:footer="0" w:header="0"/>
        </w:sectPr>
      </w:pPr>
    </w:p>
    <w:bookmarkStart w:id="15" w:name="page16"/>
    <w:bookmarkEnd w:id="1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AMC NETWORKS INC.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NOTES TO CONSOLIDATED FINANCIAL STATEMENTS - (Continued)</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(Dollars in thousands, except per share amounts)</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(Unaudited)</w:t>
      </w:r>
    </w:p>
    <w:p>
      <w:pPr>
        <w:spacing w:after="0" w:line="154" w:lineRule="exact"/>
        <w:rPr>
          <w:sz w:val="20"/>
          <w:szCs w:val="20"/>
          <w:color w:val="auto"/>
        </w:rPr>
      </w:pPr>
    </w:p>
    <w:p>
      <w:pPr>
        <w:ind w:right="240" w:firstLine="457"/>
        <w:spacing w:after="0" w:line="288" w:lineRule="auto"/>
        <w:rPr>
          <w:sz w:val="20"/>
          <w:szCs w:val="20"/>
          <w:color w:val="auto"/>
        </w:rPr>
      </w:pPr>
      <w:r>
        <w:rPr>
          <w:rFonts w:ascii="Arial" w:cs="Arial" w:eastAsia="Arial" w:hAnsi="Arial"/>
          <w:sz w:val="16"/>
          <w:szCs w:val="16"/>
          <w:color w:val="auto"/>
        </w:rPr>
        <w:t>In addition to the matters discussed above, the Company is party to various lawsuits and claims in the ordinary course of business. Although the outcome of these other matters cannot be predicted with certainty and the impact of the final resolution of these other matters on the Company’s results of operations in a particular subsequent reporting period is not known, management does not believe that the resolution of these matters will have a material adverse effect on the financial position of the Company or the ability of the Company to meet its financial obligations as they become due.</w:t>
      </w:r>
    </w:p>
    <w:p>
      <w:pPr>
        <w:spacing w:after="0" w:line="230" w:lineRule="exact"/>
        <w:rPr>
          <w:sz w:val="20"/>
          <w:szCs w:val="20"/>
          <w:color w:val="auto"/>
        </w:rPr>
      </w:pPr>
    </w:p>
    <w:p>
      <w:pPr>
        <w:spacing w:after="0"/>
        <w:tabs>
          <w:tab w:leader="none" w:pos="1020" w:val="left"/>
        </w:tabs>
        <w:rPr>
          <w:sz w:val="20"/>
          <w:szCs w:val="20"/>
          <w:color w:val="auto"/>
        </w:rPr>
      </w:pPr>
      <w:r>
        <w:rPr>
          <w:rFonts w:ascii="Arial" w:cs="Arial" w:eastAsia="Arial" w:hAnsi="Arial"/>
          <w:sz w:val="17"/>
          <w:szCs w:val="17"/>
          <w:b w:val="1"/>
          <w:bCs w:val="1"/>
          <w:color w:val="auto"/>
        </w:rPr>
        <w:t>Note 8.</w:t>
      </w:r>
      <w:r>
        <w:rPr>
          <w:sz w:val="20"/>
          <w:szCs w:val="20"/>
          <w:color w:val="auto"/>
        </w:rPr>
        <w:tab/>
      </w:r>
      <w:r>
        <w:rPr>
          <w:rFonts w:ascii="Arial" w:cs="Arial" w:eastAsia="Arial" w:hAnsi="Arial"/>
          <w:sz w:val="15"/>
          <w:szCs w:val="15"/>
          <w:b w:val="1"/>
          <w:bCs w:val="1"/>
          <w:color w:val="auto"/>
        </w:rPr>
        <w:t>Equity and Long-Term Incentive Plans</w:t>
      </w:r>
    </w:p>
    <w:p>
      <w:pPr>
        <w:spacing w:after="0" w:line="100" w:lineRule="exact"/>
        <w:rPr>
          <w:sz w:val="20"/>
          <w:szCs w:val="20"/>
          <w:color w:val="auto"/>
        </w:rPr>
      </w:pPr>
    </w:p>
    <w:p>
      <w:pPr>
        <w:jc w:val="both"/>
        <w:ind w:right="180" w:firstLine="457"/>
        <w:spacing w:after="0" w:line="271" w:lineRule="auto"/>
        <w:rPr>
          <w:sz w:val="20"/>
          <w:szCs w:val="20"/>
          <w:color w:val="auto"/>
        </w:rPr>
      </w:pPr>
      <w:r>
        <w:rPr>
          <w:rFonts w:ascii="Arial" w:cs="Arial" w:eastAsia="Arial" w:hAnsi="Arial"/>
          <w:sz w:val="17"/>
          <w:szCs w:val="17"/>
          <w:color w:val="auto"/>
        </w:rPr>
        <w:t>In connection with the Distribution, the Company adopted the AMC Networks Inc. 2011 Employee Stock Plan (the “2011 Employee Stock Plan”), the AMC Networks Inc. 2011 Stock Plan for Non-Employee Directors (the “2011 Non-Employee Director Plan”) and the AMC Networks Inc. 2011 Cash Incentive Plan (the “2011 Cash Incentive Plan”).</w:t>
      </w:r>
    </w:p>
    <w:p>
      <w:pPr>
        <w:spacing w:after="0" w:line="128" w:lineRule="exact"/>
        <w:rPr>
          <w:sz w:val="20"/>
          <w:szCs w:val="20"/>
          <w:color w:val="auto"/>
        </w:rPr>
      </w:pPr>
    </w:p>
    <w:p>
      <w:pPr>
        <w:ind w:right="20" w:firstLine="457"/>
        <w:spacing w:after="0" w:line="267" w:lineRule="auto"/>
        <w:rPr>
          <w:sz w:val="20"/>
          <w:szCs w:val="20"/>
          <w:color w:val="auto"/>
        </w:rPr>
      </w:pPr>
      <w:r>
        <w:rPr>
          <w:rFonts w:ascii="Arial" w:cs="Arial" w:eastAsia="Arial" w:hAnsi="Arial"/>
          <w:sz w:val="17"/>
          <w:szCs w:val="17"/>
          <w:color w:val="auto"/>
        </w:rPr>
        <w:t>In March 2012, AMC Networks granted 441,111 restricted share units to certain executive officers and employees under the 2011 Employee Stock Plan that vest on the third anniversary of the grant date. The vesting criteria for 97,915 of those restricted share units include the achievement of certain performance targets by the Company. Also in March 2012, AMC Networks granted three-year performance based awards to certain executive officers and employees under the 2011 Cash Incentive Plan.</w:t>
      </w:r>
    </w:p>
    <w:p>
      <w:pPr>
        <w:spacing w:after="0" w:line="131" w:lineRule="exact"/>
        <w:rPr>
          <w:sz w:val="20"/>
          <w:szCs w:val="20"/>
          <w:color w:val="auto"/>
        </w:rPr>
      </w:pPr>
    </w:p>
    <w:p>
      <w:pPr>
        <w:ind w:right="40" w:firstLine="457"/>
        <w:spacing w:after="0" w:line="300" w:lineRule="auto"/>
        <w:rPr>
          <w:sz w:val="20"/>
          <w:szCs w:val="20"/>
          <w:color w:val="auto"/>
        </w:rPr>
      </w:pPr>
      <w:r>
        <w:rPr>
          <w:rFonts w:ascii="Arial" w:cs="Arial" w:eastAsia="Arial" w:hAnsi="Arial"/>
          <w:sz w:val="15"/>
          <w:szCs w:val="15"/>
          <w:color w:val="auto"/>
        </w:rPr>
        <w:t>Share-based compensation expense included in continuing operations, a component of selling, general and administrative expense, for the three months ended March 31, 2012 was $3,583, related to equity classified awards. For the three months ended March 31, 2011, share-based compensation expense allocated by Cablevision was $3,931, related to equity classified awards. For the three months ended March 31, 2012, there was no share-based compensation expense included in continuing operations for liability classified awards (stock appreciation rights). For the three months ended March 31, 2011, there was $46 of share-based compensation expense included in continuing operations for liability classified awards. For periods prior to the Distribution, the Company’s share-based compensation includes amounts related to Company employees participating in the Cablevision equity awards programs, as well as amounts related to Cablevision corporate employees and non-employee directors to the extent allocated to the Company. For periods after the Distribution, the Company no longer receives an allocation of share-based compensation expense for Cablevision corporate employees and non-employee directors, including expense related to the Company’s Executive Chairman with respect to his participation in the Cablevision equity awards program (since he remained an executive officer of Cablevision).</w:t>
      </w:r>
    </w:p>
    <w:p>
      <w:pPr>
        <w:spacing w:after="0" w:line="114" w:lineRule="exact"/>
        <w:rPr>
          <w:sz w:val="20"/>
          <w:szCs w:val="20"/>
          <w:color w:val="auto"/>
        </w:rPr>
      </w:pPr>
    </w:p>
    <w:p>
      <w:pPr>
        <w:jc w:val="both"/>
        <w:ind w:right="200" w:firstLine="457"/>
        <w:spacing w:after="0" w:line="267" w:lineRule="auto"/>
        <w:rPr>
          <w:sz w:val="20"/>
          <w:szCs w:val="20"/>
          <w:color w:val="auto"/>
        </w:rPr>
      </w:pPr>
      <w:r>
        <w:rPr>
          <w:rFonts w:ascii="Arial" w:cs="Arial" w:eastAsia="Arial" w:hAnsi="Arial"/>
          <w:sz w:val="17"/>
          <w:szCs w:val="17"/>
          <w:color w:val="auto"/>
        </w:rPr>
        <w:t>During the three months ended March 31, 2012, 1,030,832 shares of AMC Networks Class A common stock previously issued to employees of Cablevision, MSG and the Company vested. In connection with the employees’ satisfaction of the statutory minimum tax withholding obligations for the applicable income and other employment taxes, 351,724 of these shares, with an aggregate value of $15,937, were surrendered to the Company. These acquired shares, as well as 36,968 forfeited unvested restricted shares, have been classified as treasury stock.</w:t>
      </w:r>
    </w:p>
    <w:p>
      <w:pPr>
        <w:spacing w:after="0" w:line="131" w:lineRule="exact"/>
        <w:rPr>
          <w:sz w:val="20"/>
          <w:szCs w:val="20"/>
          <w:color w:val="auto"/>
        </w:rPr>
      </w:pPr>
    </w:p>
    <w:p>
      <w:pPr>
        <w:ind w:right="60" w:firstLine="457"/>
        <w:spacing w:after="0" w:line="295" w:lineRule="auto"/>
        <w:rPr>
          <w:sz w:val="20"/>
          <w:szCs w:val="20"/>
          <w:color w:val="auto"/>
        </w:rPr>
      </w:pPr>
      <w:r>
        <w:rPr>
          <w:rFonts w:ascii="Arial" w:cs="Arial" w:eastAsia="Arial" w:hAnsi="Arial"/>
          <w:sz w:val="15"/>
          <w:szCs w:val="15"/>
          <w:color w:val="auto"/>
        </w:rPr>
        <w:t>Long-term incentive plan compensation expense included in continuing operations for the three months ended March 31, 2012 was $3,025. For the three months ended March 31, 2011, long-term incentive plan compensation expense allocated by Cablevision was $3,318. Such amount is accrued for performance-based awards for which the performance criteria had not yet been met as the awards are based on achievement of certain performance criteria through December 31,</w:t>
      </w:r>
    </w:p>
    <w:p>
      <w:pPr>
        <w:spacing w:after="0" w:line="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2014. The Company has accrued the pro-rata amount earned that it currently believes will ultimately be paid based upon the performance criteria established for these performance-based awards. If the Company subsequently determines that the performance criteria for the awards are not probable of being achieved, the Company would reverse the accrual in respect of the award at that time.</w:t>
      </w:r>
    </w:p>
    <w:p>
      <w:pPr>
        <w:spacing w:after="0" w:line="242" w:lineRule="exact"/>
        <w:rPr>
          <w:sz w:val="20"/>
          <w:szCs w:val="20"/>
          <w:color w:val="auto"/>
        </w:rPr>
      </w:pPr>
    </w:p>
    <w:p>
      <w:pPr>
        <w:spacing w:after="0"/>
        <w:tabs>
          <w:tab w:leader="none" w:pos="1020" w:val="left"/>
        </w:tabs>
        <w:rPr>
          <w:sz w:val="20"/>
          <w:szCs w:val="20"/>
          <w:color w:val="auto"/>
        </w:rPr>
      </w:pPr>
      <w:r>
        <w:rPr>
          <w:rFonts w:ascii="Arial" w:cs="Arial" w:eastAsia="Arial" w:hAnsi="Arial"/>
          <w:sz w:val="17"/>
          <w:szCs w:val="17"/>
          <w:b w:val="1"/>
          <w:bCs w:val="1"/>
          <w:color w:val="auto"/>
        </w:rPr>
        <w:t>Note 9.</w:t>
      </w:r>
      <w:r>
        <w:rPr>
          <w:sz w:val="20"/>
          <w:szCs w:val="20"/>
          <w:color w:val="auto"/>
        </w:rPr>
        <w:tab/>
      </w:r>
      <w:r>
        <w:rPr>
          <w:rFonts w:ascii="Arial" w:cs="Arial" w:eastAsia="Arial" w:hAnsi="Arial"/>
          <w:sz w:val="15"/>
          <w:szCs w:val="15"/>
          <w:b w:val="1"/>
          <w:bCs w:val="1"/>
          <w:color w:val="auto"/>
        </w:rPr>
        <w:t>Fair Value Measurement</w:t>
      </w:r>
    </w:p>
    <w:p>
      <w:pPr>
        <w:spacing w:after="0" w:line="100" w:lineRule="exact"/>
        <w:rPr>
          <w:sz w:val="20"/>
          <w:szCs w:val="20"/>
          <w:color w:val="auto"/>
        </w:rPr>
      </w:pPr>
    </w:p>
    <w:p>
      <w:pPr>
        <w:jc w:val="both"/>
        <w:ind w:right="120" w:firstLine="457"/>
        <w:spacing w:after="0" w:line="323" w:lineRule="auto"/>
        <w:rPr>
          <w:sz w:val="20"/>
          <w:szCs w:val="20"/>
          <w:color w:val="auto"/>
        </w:rPr>
      </w:pPr>
      <w:r>
        <w:rPr>
          <w:rFonts w:ascii="Arial" w:cs="Arial" w:eastAsia="Arial" w:hAnsi="Arial"/>
          <w:sz w:val="15"/>
          <w:szCs w:val="15"/>
          <w:color w:val="auto"/>
        </w:rPr>
        <w:t>The fair value hierarchy is based on inputs to valuation techniques that are used to measure fair value that are either observable or unobservable. Observable inputs reflect assumptions market participants would use in pricing an asset or liability based on market data obtained from independent sources while unobservable inputs reflect a reporting entity’s pricing based upon their own market assumptions. The fair value hierarchy consists of the following three levels:</w:t>
      </w:r>
    </w:p>
    <w:p>
      <w:pPr>
        <w:spacing w:after="0" w:line="15" w:lineRule="exact"/>
        <w:rPr>
          <w:sz w:val="20"/>
          <w:szCs w:val="20"/>
          <w:color w:val="auto"/>
        </w:rPr>
      </w:pPr>
    </w:p>
    <w:p>
      <w:pPr>
        <w:ind w:left="900" w:hanging="328"/>
        <w:spacing w:after="0"/>
        <w:tabs>
          <w:tab w:leader="none" w:pos="900" w:val="left"/>
        </w:tabs>
        <w:numPr>
          <w:ilvl w:val="0"/>
          <w:numId w:val="6"/>
        </w:numPr>
        <w:rPr>
          <w:rFonts w:ascii="Arial" w:cs="Arial" w:eastAsia="Arial" w:hAnsi="Arial"/>
          <w:sz w:val="17"/>
          <w:szCs w:val="17"/>
          <w:color w:val="auto"/>
        </w:rPr>
      </w:pPr>
      <w:r>
        <w:rPr>
          <w:rFonts w:ascii="Arial" w:cs="Arial" w:eastAsia="Arial" w:hAnsi="Arial"/>
          <w:sz w:val="17"/>
          <w:szCs w:val="17"/>
          <w:color w:val="auto"/>
        </w:rPr>
        <w:t>Level I - Quoted prices for identical instruments in active markets.</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1380"/>
          </w:cols>
          <w:pgMar w:left="240" w:top="451" w:right="279" w:bottom="1440" w:gutter="0" w:footer="0" w:header="0"/>
        </w:sectPr>
      </w:pPr>
    </w:p>
    <w:bookmarkStart w:id="16" w:name="page17"/>
    <w:bookmarkEnd w:id="1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AMC NETWORKS INC.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NOTES TO CONSOLIDATED FINANCIAL STATEMENTS - (Continued)</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(Dollars in thousands, except per share amounts)</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(Unaudited)</w:t>
      </w:r>
    </w:p>
    <w:p>
      <w:pPr>
        <w:spacing w:after="0" w:line="154" w:lineRule="exact"/>
        <w:rPr>
          <w:sz w:val="20"/>
          <w:szCs w:val="20"/>
          <w:color w:val="auto"/>
        </w:rPr>
      </w:pPr>
    </w:p>
    <w:p>
      <w:pPr>
        <w:ind w:left="900" w:right="240" w:hanging="328"/>
        <w:spacing w:after="0" w:line="284" w:lineRule="auto"/>
        <w:tabs>
          <w:tab w:leader="none" w:pos="900" w:val="left"/>
        </w:tabs>
        <w:numPr>
          <w:ilvl w:val="0"/>
          <w:numId w:val="7"/>
        </w:numPr>
        <w:rPr>
          <w:rFonts w:ascii="Arial" w:cs="Arial" w:eastAsia="Arial" w:hAnsi="Arial"/>
          <w:sz w:val="17"/>
          <w:szCs w:val="17"/>
          <w:color w:val="auto"/>
        </w:rPr>
      </w:pPr>
      <w:r>
        <w:rPr>
          <w:rFonts w:ascii="Arial" w:cs="Arial" w:eastAsia="Arial" w:hAnsi="Arial"/>
          <w:sz w:val="17"/>
          <w:szCs w:val="17"/>
          <w:color w:val="auto"/>
        </w:rPr>
        <w:t>Level II - Quoted prices for similar instruments in active markets; quoted prices for identical or similar instruments in markets that are not active; and model-derived valuations whose inputs are observable or whose significant value drivers are observable.</w:t>
      </w:r>
    </w:p>
    <w:p>
      <w:pPr>
        <w:spacing w:after="0" w:line="37" w:lineRule="exact"/>
        <w:rPr>
          <w:rFonts w:ascii="Arial" w:cs="Arial" w:eastAsia="Arial" w:hAnsi="Arial"/>
          <w:sz w:val="17"/>
          <w:szCs w:val="17"/>
          <w:color w:val="auto"/>
        </w:rPr>
      </w:pPr>
    </w:p>
    <w:p>
      <w:pPr>
        <w:ind w:left="900" w:hanging="328"/>
        <w:spacing w:after="0"/>
        <w:tabs>
          <w:tab w:leader="none" w:pos="900" w:val="left"/>
        </w:tabs>
        <w:numPr>
          <w:ilvl w:val="0"/>
          <w:numId w:val="7"/>
        </w:numPr>
        <w:rPr>
          <w:rFonts w:ascii="Arial" w:cs="Arial" w:eastAsia="Arial" w:hAnsi="Arial"/>
          <w:sz w:val="17"/>
          <w:szCs w:val="17"/>
          <w:color w:val="auto"/>
        </w:rPr>
      </w:pPr>
      <w:r>
        <w:rPr>
          <w:rFonts w:ascii="Arial" w:cs="Arial" w:eastAsia="Arial" w:hAnsi="Arial"/>
          <w:sz w:val="17"/>
          <w:szCs w:val="17"/>
          <w:color w:val="auto"/>
        </w:rPr>
        <w:t>Level III - Instruments whose significant value drivers are unobservable.</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for each of these hierarchy levels, the Company’s financial assets and liabilities that are measured at fair value on a recurring</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basis:</w:t>
      </w:r>
    </w:p>
    <w:p>
      <w:pPr>
        <w:spacing w:after="0" w:line="203" w:lineRule="exact"/>
        <w:rPr>
          <w:sz w:val="20"/>
          <w:szCs w:val="20"/>
          <w:color w:val="auto"/>
        </w:rPr>
      </w:pPr>
    </w:p>
    <w:tbl>
      <w:tblPr>
        <w:tblLayout w:type="fixed"/>
        <w:tblInd w:w="460" w:type="dxa"/>
        <w:tblCellMar>
          <w:top w:w="0" w:type="dxa"/>
          <w:left w:w="0" w:type="dxa"/>
          <w:bottom w:w="0" w:type="dxa"/>
          <w:right w:w="0" w:type="dxa"/>
        </w:tblCellMar>
      </w:tblPr>
      <w:tr>
        <w:trPr>
          <w:trHeight w:val="158"/>
        </w:trPr>
        <w:tc>
          <w:tcPr>
            <w:tcW w:w="6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ind w:left="40"/>
              <w:spacing w:after="0"/>
              <w:rPr>
                <w:sz w:val="20"/>
                <w:szCs w:val="20"/>
                <w:color w:val="auto"/>
              </w:rPr>
            </w:pPr>
            <w:r>
              <w:rPr>
                <w:rFonts w:ascii="Arial" w:cs="Arial" w:eastAsia="Arial" w:hAnsi="Arial"/>
                <w:sz w:val="13"/>
                <w:szCs w:val="13"/>
                <w:b w:val="1"/>
                <w:bCs w:val="1"/>
                <w:color w:val="auto"/>
              </w:rPr>
              <w:t>Level I</w:t>
            </w:r>
          </w:p>
        </w:tc>
        <w:tc>
          <w:tcPr>
            <w:tcW w:w="800" w:type="dxa"/>
            <w:vAlign w:val="bottom"/>
            <w:gridSpan w:val="3"/>
          </w:tcPr>
          <w:p>
            <w:pPr>
              <w:jc w:val="right"/>
              <w:ind w:right="300"/>
              <w:spacing w:after="0"/>
              <w:rPr>
                <w:sz w:val="20"/>
                <w:szCs w:val="20"/>
                <w:color w:val="auto"/>
              </w:rPr>
            </w:pPr>
            <w:r>
              <w:rPr>
                <w:rFonts w:ascii="Arial" w:cs="Arial" w:eastAsia="Arial" w:hAnsi="Arial"/>
                <w:sz w:val="13"/>
                <w:szCs w:val="13"/>
                <w:b w:val="1"/>
                <w:bCs w:val="1"/>
                <w:color w:val="auto"/>
              </w:rPr>
              <w:t>Level II</w:t>
            </w:r>
          </w:p>
        </w:tc>
        <w:tc>
          <w:tcPr>
            <w:tcW w:w="240" w:type="dxa"/>
            <w:vAlign w:val="bottom"/>
          </w:tcPr>
          <w:p>
            <w:pPr>
              <w:spacing w:after="0"/>
              <w:rPr>
                <w:sz w:val="13"/>
                <w:szCs w:val="13"/>
                <w:color w:val="auto"/>
              </w:rPr>
            </w:pPr>
          </w:p>
        </w:tc>
        <w:tc>
          <w:tcPr>
            <w:tcW w:w="980" w:type="dxa"/>
            <w:vAlign w:val="bottom"/>
            <w:gridSpan w:val="3"/>
          </w:tcPr>
          <w:p>
            <w:pPr>
              <w:spacing w:after="0"/>
              <w:rPr>
                <w:sz w:val="20"/>
                <w:szCs w:val="20"/>
                <w:color w:val="auto"/>
              </w:rPr>
            </w:pPr>
            <w:r>
              <w:rPr>
                <w:rFonts w:ascii="Arial" w:cs="Arial" w:eastAsia="Arial" w:hAnsi="Arial"/>
                <w:sz w:val="13"/>
                <w:szCs w:val="13"/>
                <w:b w:val="1"/>
                <w:bCs w:val="1"/>
                <w:color w:val="auto"/>
              </w:rPr>
              <w:t>Level III</w:t>
            </w:r>
          </w:p>
        </w:tc>
        <w:tc>
          <w:tcPr>
            <w:tcW w:w="80" w:type="dxa"/>
            <w:vAlign w:val="bottom"/>
          </w:tcPr>
          <w:p>
            <w:pPr>
              <w:spacing w:after="0"/>
              <w:rPr>
                <w:sz w:val="13"/>
                <w:szCs w:val="13"/>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Total</w:t>
            </w:r>
          </w:p>
        </w:tc>
      </w:tr>
      <w:tr>
        <w:trPr>
          <w:trHeight w:val="191"/>
        </w:trPr>
        <w:tc>
          <w:tcPr>
            <w:tcW w:w="6600" w:type="dxa"/>
            <w:vAlign w:val="bottom"/>
            <w:tcBorders>
              <w:top w:val="single" w:sz="8" w:color="CCEEFF"/>
            </w:tcBorders>
            <w:shd w:val="clear" w:color="auto" w:fill="CCEEFF"/>
          </w:tcPr>
          <w:p>
            <w:pPr>
              <w:spacing w:after="0" w:line="191" w:lineRule="exact"/>
              <w:rPr>
                <w:sz w:val="20"/>
                <w:szCs w:val="20"/>
                <w:color w:val="auto"/>
              </w:rPr>
            </w:pPr>
            <w:r>
              <w:rPr>
                <w:rFonts w:ascii="Arial" w:cs="Arial" w:eastAsia="Arial" w:hAnsi="Arial"/>
                <w:sz w:val="17"/>
                <w:szCs w:val="17"/>
                <w:b w:val="1"/>
                <w:bCs w:val="1"/>
                <w:color w:val="auto"/>
              </w:rPr>
              <w:t>At March 31, 2012:</w:t>
            </w:r>
          </w:p>
        </w:tc>
        <w:tc>
          <w:tcPr>
            <w:tcW w:w="10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11"/>
        </w:trPr>
        <w:tc>
          <w:tcPr>
            <w:tcW w:w="6600" w:type="dxa"/>
            <w:vAlign w:val="bottom"/>
          </w:tcPr>
          <w:p>
            <w:pPr>
              <w:spacing w:after="0"/>
              <w:rPr>
                <w:sz w:val="20"/>
                <w:szCs w:val="20"/>
                <w:color w:val="auto"/>
              </w:rPr>
            </w:pPr>
            <w:r>
              <w:rPr>
                <w:rFonts w:ascii="Arial" w:cs="Arial" w:eastAsia="Arial" w:hAnsi="Arial"/>
                <w:sz w:val="17"/>
                <w:szCs w:val="17"/>
                <w:b w:val="1"/>
                <w:bCs w:val="1"/>
                <w:color w:val="auto"/>
              </w:rPr>
              <w:t>Assets: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1"/>
        </w:trPr>
        <w:tc>
          <w:tcPr>
            <w:tcW w:w="6600" w:type="dxa"/>
            <w:vAlign w:val="bottom"/>
            <w:shd w:val="clear" w:color="auto" w:fill="CCEEFF"/>
          </w:tcPr>
          <w:p>
            <w:pPr>
              <w:ind w:left="420"/>
              <w:spacing w:after="0"/>
              <w:rPr>
                <w:sz w:val="20"/>
                <w:szCs w:val="20"/>
                <w:color w:val="auto"/>
              </w:rPr>
            </w:pPr>
            <w:r>
              <w:rPr>
                <w:rFonts w:ascii="Arial" w:cs="Arial" w:eastAsia="Arial" w:hAnsi="Arial"/>
                <w:sz w:val="17"/>
                <w:szCs w:val="17"/>
                <w:color w:val="auto"/>
              </w:rPr>
              <w:t xml:space="preserve">Cash equivalents </w:t>
            </w:r>
            <w:r>
              <w:rPr>
                <w:rFonts w:ascii="Arial" w:cs="Arial" w:eastAsia="Arial" w:hAnsi="Arial"/>
                <w:sz w:val="10"/>
                <w:szCs w:val="10"/>
                <w:color w:val="auto"/>
              </w:rPr>
              <w:t>(a)</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198,396</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87"/>
              </w:rPr>
              <w:t>198,396</w:t>
            </w:r>
          </w:p>
        </w:tc>
      </w:tr>
      <w:tr>
        <w:trPr>
          <w:trHeight w:val="211"/>
        </w:trPr>
        <w:tc>
          <w:tcPr>
            <w:tcW w:w="6600" w:type="dxa"/>
            <w:vAlign w:val="bottom"/>
          </w:tcPr>
          <w:p>
            <w:pPr>
              <w:spacing w:after="0"/>
              <w:rPr>
                <w:sz w:val="20"/>
                <w:szCs w:val="20"/>
                <w:color w:val="auto"/>
              </w:rPr>
            </w:pPr>
            <w:r>
              <w:rPr>
                <w:rFonts w:ascii="Arial" w:cs="Arial" w:eastAsia="Arial" w:hAnsi="Arial"/>
                <w:sz w:val="17"/>
                <w:szCs w:val="17"/>
                <w:b w:val="1"/>
                <w:bCs w:val="1"/>
                <w:color w:val="auto"/>
              </w:rPr>
              <w:t>Liabilities: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1"/>
        </w:trPr>
        <w:tc>
          <w:tcPr>
            <w:tcW w:w="6600" w:type="dxa"/>
            <w:vAlign w:val="bottom"/>
            <w:shd w:val="clear" w:color="auto" w:fill="CCEEFF"/>
          </w:tcPr>
          <w:p>
            <w:pPr>
              <w:ind w:left="420"/>
              <w:spacing w:after="0"/>
              <w:rPr>
                <w:sz w:val="20"/>
                <w:szCs w:val="20"/>
                <w:color w:val="auto"/>
              </w:rPr>
            </w:pPr>
            <w:r>
              <w:rPr>
                <w:rFonts w:ascii="Arial" w:cs="Arial" w:eastAsia="Arial" w:hAnsi="Arial"/>
                <w:sz w:val="17"/>
                <w:szCs w:val="17"/>
                <w:color w:val="auto"/>
              </w:rPr>
              <w:t>Interest rate swap contracts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w w:val="88"/>
              </w:rPr>
              <w:t>19,911</w:t>
            </w: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19,911</w:t>
            </w:r>
          </w:p>
        </w:tc>
      </w:tr>
      <w:tr>
        <w:trPr>
          <w:trHeight w:val="313"/>
        </w:trPr>
        <w:tc>
          <w:tcPr>
            <w:tcW w:w="6600" w:type="dxa"/>
            <w:vAlign w:val="bottom"/>
          </w:tcPr>
          <w:p>
            <w:pPr>
              <w:spacing w:after="0"/>
              <w:rPr>
                <w:sz w:val="20"/>
                <w:szCs w:val="20"/>
                <w:color w:val="auto"/>
              </w:rPr>
            </w:pPr>
            <w:r>
              <w:rPr>
                <w:rFonts w:ascii="Arial" w:cs="Arial" w:eastAsia="Arial" w:hAnsi="Arial"/>
                <w:sz w:val="17"/>
                <w:szCs w:val="17"/>
                <w:b w:val="1"/>
                <w:bCs w:val="1"/>
                <w:color w:val="auto"/>
              </w:rPr>
              <w:t>At December 31, 2011:</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3"/>
        </w:trPr>
        <w:tc>
          <w:tcPr>
            <w:tcW w:w="66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Assets: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1"/>
        </w:trPr>
        <w:tc>
          <w:tcPr>
            <w:tcW w:w="6600" w:type="dxa"/>
            <w:vAlign w:val="bottom"/>
          </w:tcPr>
          <w:p>
            <w:pPr>
              <w:ind w:left="420"/>
              <w:spacing w:after="0"/>
              <w:rPr>
                <w:sz w:val="20"/>
                <w:szCs w:val="20"/>
                <w:color w:val="auto"/>
              </w:rPr>
            </w:pPr>
            <w:r>
              <w:rPr>
                <w:rFonts w:ascii="Arial" w:cs="Arial" w:eastAsia="Arial" w:hAnsi="Arial"/>
                <w:sz w:val="17"/>
                <w:szCs w:val="17"/>
                <w:color w:val="auto"/>
              </w:rPr>
              <w:t xml:space="preserve">Cash equivalents </w:t>
            </w:r>
            <w:r>
              <w:rPr>
                <w:rFonts w:ascii="Arial" w:cs="Arial" w:eastAsia="Arial" w:hAnsi="Arial"/>
                <w:sz w:val="10"/>
                <w:szCs w:val="10"/>
                <w:color w:val="auto"/>
              </w:rPr>
              <w:t>(a)</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7"/>
                <w:szCs w:val="17"/>
                <w:color w:val="auto"/>
                <w:w w:val="87"/>
              </w:rPr>
              <w:t>202,276</w:t>
            </w:r>
          </w:p>
        </w:tc>
        <w:tc>
          <w:tcPr>
            <w:tcW w:w="4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400" w:type="dxa"/>
            <w:vAlign w:val="bottom"/>
            <w:gridSpan w:val="2"/>
          </w:tcPr>
          <w:p>
            <w:pPr>
              <w:ind w:left="240"/>
              <w:spacing w:after="0"/>
              <w:rPr>
                <w:sz w:val="20"/>
                <w:szCs w:val="20"/>
                <w:color w:val="auto"/>
              </w:rPr>
            </w:pPr>
            <w:r>
              <w:rPr>
                <w:rFonts w:ascii="Arial" w:cs="Arial" w:eastAsia="Arial" w:hAnsi="Arial"/>
                <w:sz w:val="17"/>
                <w:szCs w:val="17"/>
                <w:color w:val="auto"/>
              </w:rPr>
              <w:t>$</w:t>
            </w:r>
          </w:p>
        </w:tc>
        <w:tc>
          <w:tcPr>
            <w:tcW w:w="820" w:type="dxa"/>
            <w:vAlign w:val="bottom"/>
            <w:gridSpan w:val="2"/>
          </w:tcPr>
          <w:p>
            <w:pPr>
              <w:ind w:left="80"/>
              <w:spacing w:after="0"/>
              <w:rPr>
                <w:sz w:val="20"/>
                <w:szCs w:val="20"/>
                <w:color w:val="auto"/>
              </w:rPr>
            </w:pPr>
            <w:r>
              <w:rPr>
                <w:rFonts w:ascii="Arial" w:cs="Arial" w:eastAsia="Arial" w:hAnsi="Arial"/>
                <w:sz w:val="17"/>
                <w:szCs w:val="17"/>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00"/>
              <w:spacing w:after="0"/>
              <w:rPr>
                <w:sz w:val="20"/>
                <w:szCs w:val="20"/>
                <w:color w:val="auto"/>
              </w:rPr>
            </w:pPr>
            <w:r>
              <w:rPr>
                <w:rFonts w:ascii="Arial" w:cs="Arial" w:eastAsia="Arial" w:hAnsi="Arial"/>
                <w:sz w:val="17"/>
                <w:szCs w:val="17"/>
                <w:color w:val="auto"/>
                <w:w w:val="87"/>
              </w:rPr>
              <w:t>202,276</w:t>
            </w:r>
          </w:p>
        </w:tc>
      </w:tr>
      <w:tr>
        <w:trPr>
          <w:trHeight w:val="211"/>
        </w:trPr>
        <w:tc>
          <w:tcPr>
            <w:tcW w:w="66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Liabilities: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7"/>
        </w:trPr>
        <w:tc>
          <w:tcPr>
            <w:tcW w:w="6600" w:type="dxa"/>
            <w:vAlign w:val="bottom"/>
          </w:tcPr>
          <w:p>
            <w:pPr>
              <w:ind w:left="420"/>
              <w:spacing w:after="0"/>
              <w:rPr>
                <w:sz w:val="20"/>
                <w:szCs w:val="20"/>
                <w:color w:val="auto"/>
              </w:rPr>
            </w:pPr>
            <w:r>
              <w:rPr>
                <w:rFonts w:ascii="Arial" w:cs="Arial" w:eastAsia="Arial" w:hAnsi="Arial"/>
                <w:sz w:val="17"/>
                <w:szCs w:val="17"/>
                <w:color w:val="auto"/>
              </w:rPr>
              <w:t>Interest rate swap contracts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ind w:left="300"/>
              <w:spacing w:after="0"/>
              <w:rPr>
                <w:sz w:val="20"/>
                <w:szCs w:val="20"/>
                <w:color w:val="auto"/>
              </w:rPr>
            </w:pPr>
            <w:r>
              <w:rPr>
                <w:rFonts w:ascii="Arial" w:cs="Arial" w:eastAsia="Arial" w:hAnsi="Arial"/>
                <w:sz w:val="17"/>
                <w:szCs w:val="17"/>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40"/>
              <w:spacing w:after="0"/>
              <w:rPr>
                <w:sz w:val="20"/>
                <w:szCs w:val="20"/>
                <w:color w:val="auto"/>
              </w:rPr>
            </w:pPr>
            <w:r>
              <w:rPr>
                <w:rFonts w:ascii="Arial" w:cs="Arial" w:eastAsia="Arial" w:hAnsi="Arial"/>
                <w:sz w:val="17"/>
                <w:szCs w:val="17"/>
                <w:color w:val="auto"/>
                <w:w w:val="88"/>
              </w:rPr>
              <w:t>19,091</w:t>
            </w:r>
          </w:p>
        </w:tc>
        <w:tc>
          <w:tcPr>
            <w:tcW w:w="400" w:type="dxa"/>
            <w:vAlign w:val="bottom"/>
            <w:gridSpan w:val="2"/>
          </w:tcPr>
          <w:p>
            <w:pPr>
              <w:ind w:left="240"/>
              <w:spacing w:after="0"/>
              <w:rPr>
                <w:sz w:val="20"/>
                <w:szCs w:val="20"/>
                <w:color w:val="auto"/>
              </w:rPr>
            </w:pPr>
            <w:r>
              <w:rPr>
                <w:rFonts w:ascii="Arial" w:cs="Arial" w:eastAsia="Arial" w:hAnsi="Arial"/>
                <w:sz w:val="17"/>
                <w:szCs w:val="17"/>
                <w:color w:val="auto"/>
              </w:rPr>
              <w:t>$</w:t>
            </w:r>
          </w:p>
        </w:tc>
        <w:tc>
          <w:tcPr>
            <w:tcW w:w="820" w:type="dxa"/>
            <w:vAlign w:val="bottom"/>
            <w:gridSpan w:val="2"/>
          </w:tcPr>
          <w:p>
            <w:pPr>
              <w:ind w:left="80"/>
              <w:spacing w:after="0"/>
              <w:rPr>
                <w:sz w:val="20"/>
                <w:szCs w:val="20"/>
                <w:color w:val="auto"/>
              </w:rPr>
            </w:pPr>
            <w:r>
              <w:rPr>
                <w:rFonts w:ascii="Arial" w:cs="Arial" w:eastAsia="Arial" w:hAnsi="Arial"/>
                <w:sz w:val="17"/>
                <w:szCs w:val="17"/>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00"/>
              <w:spacing w:after="0"/>
              <w:rPr>
                <w:sz w:val="20"/>
                <w:szCs w:val="20"/>
                <w:color w:val="auto"/>
              </w:rPr>
            </w:pPr>
            <w:r>
              <w:rPr>
                <w:rFonts w:ascii="Arial" w:cs="Arial" w:eastAsia="Arial" w:hAnsi="Arial"/>
                <w:sz w:val="17"/>
                <w:szCs w:val="17"/>
                <w:color w:val="auto"/>
              </w:rPr>
              <w:t>19,091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63500</wp:posOffset>
            </wp:positionV>
            <wp:extent cx="72771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710" cy="8255"/>
                    </a:xfrm>
                    <a:prstGeom prst="rect">
                      <a:avLst/>
                    </a:prstGeom>
                    <a:noFill/>
                  </pic:spPr>
                </pic:pic>
              </a:graphicData>
            </a:graphic>
          </wp:anchor>
        </w:drawing>
      </w:r>
    </w:p>
    <w:p>
      <w:pPr>
        <w:spacing w:after="0" w:line="111" w:lineRule="exact"/>
        <w:rPr>
          <w:sz w:val="20"/>
          <w:szCs w:val="20"/>
          <w:color w:val="auto"/>
        </w:rPr>
      </w:pPr>
    </w:p>
    <w:p>
      <w:pPr>
        <w:ind w:left="460" w:hanging="455"/>
        <w:spacing w:after="0"/>
        <w:tabs>
          <w:tab w:leader="none" w:pos="460" w:val="left"/>
        </w:tabs>
        <w:numPr>
          <w:ilvl w:val="0"/>
          <w:numId w:val="8"/>
        </w:numPr>
        <w:rPr>
          <w:rFonts w:ascii="Arial" w:cs="Arial" w:eastAsia="Arial" w:hAnsi="Arial"/>
          <w:sz w:val="17"/>
          <w:szCs w:val="17"/>
          <w:color w:val="auto"/>
        </w:rPr>
      </w:pPr>
      <w:r>
        <w:rPr>
          <w:rFonts w:ascii="Arial" w:cs="Arial" w:eastAsia="Arial" w:hAnsi="Arial"/>
          <w:sz w:val="17"/>
          <w:szCs w:val="17"/>
          <w:color w:val="auto"/>
        </w:rPr>
        <w:t>Represents the Company’s investment in money market funds.</w:t>
      </w:r>
    </w:p>
    <w:p>
      <w:pPr>
        <w:spacing w:after="0" w:line="173" w:lineRule="exact"/>
        <w:rPr>
          <w:rFonts w:ascii="Arial" w:cs="Arial" w:eastAsia="Arial" w:hAnsi="Arial"/>
          <w:sz w:val="17"/>
          <w:szCs w:val="17"/>
          <w:color w:val="auto"/>
        </w:rPr>
      </w:pPr>
    </w:p>
    <w:p>
      <w:pPr>
        <w:ind w:left="460"/>
        <w:spacing w:after="0"/>
        <w:rPr>
          <w:rFonts w:ascii="Arial" w:cs="Arial" w:eastAsia="Arial" w:hAnsi="Arial"/>
          <w:sz w:val="17"/>
          <w:szCs w:val="17"/>
          <w:color w:val="auto"/>
        </w:rPr>
      </w:pPr>
      <w:r>
        <w:rPr>
          <w:rFonts w:ascii="Arial" w:cs="Arial" w:eastAsia="Arial" w:hAnsi="Arial"/>
          <w:sz w:val="17"/>
          <w:szCs w:val="17"/>
          <w:color w:val="auto"/>
        </w:rPr>
        <w:t>The Company’s cash equivalents are classified within Level I of the fair value hierarchy because they are valued using quoted market prices.</w:t>
      </w:r>
    </w:p>
    <w:p>
      <w:pPr>
        <w:spacing w:after="0" w:line="173" w:lineRule="exact"/>
        <w:rPr>
          <w:sz w:val="20"/>
          <w:szCs w:val="20"/>
          <w:color w:val="auto"/>
        </w:rPr>
      </w:pPr>
    </w:p>
    <w:p>
      <w:pPr>
        <w:ind w:right="260" w:firstLine="457"/>
        <w:spacing w:after="0" w:line="317" w:lineRule="auto"/>
        <w:rPr>
          <w:sz w:val="20"/>
          <w:szCs w:val="20"/>
          <w:color w:val="auto"/>
        </w:rPr>
      </w:pPr>
      <w:r>
        <w:rPr>
          <w:rFonts w:ascii="Arial" w:cs="Arial" w:eastAsia="Arial" w:hAnsi="Arial"/>
          <w:sz w:val="16"/>
          <w:szCs w:val="16"/>
          <w:color w:val="auto"/>
        </w:rPr>
        <w:t>The Company’s interest rate swap contracts (Note 6) are classified within Level II of the fair value hierarchy and their fair values are determined based on a market approach valuation technique that uses readily observable market parameters and the consideration of counterparty risk.</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Credit Facility Debt and Senior Notes</w:t>
      </w:r>
    </w:p>
    <w:p>
      <w:pPr>
        <w:spacing w:after="0" w:line="94" w:lineRule="exact"/>
        <w:rPr>
          <w:sz w:val="20"/>
          <w:szCs w:val="20"/>
          <w:color w:val="auto"/>
        </w:rPr>
      </w:pPr>
    </w:p>
    <w:p>
      <w:pPr>
        <w:ind w:firstLine="457"/>
        <w:spacing w:after="0" w:line="284" w:lineRule="auto"/>
        <w:rPr>
          <w:sz w:val="20"/>
          <w:szCs w:val="20"/>
          <w:color w:val="auto"/>
        </w:rPr>
      </w:pPr>
      <w:r>
        <w:rPr>
          <w:rFonts w:ascii="Arial" w:cs="Arial" w:eastAsia="Arial" w:hAnsi="Arial"/>
          <w:sz w:val="17"/>
          <w:szCs w:val="17"/>
          <w:color w:val="auto"/>
        </w:rPr>
        <w:t>The fair values of each of the Company’s debt instruments are based on quoted market prices for the same or similar issues or on the current rates offered to the Company for instruments of the same remaining maturities.</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1400"/>
          </w:cols>
          <w:pgMar w:left="240" w:top="451" w:right="259" w:bottom="1440" w:gutter="0" w:footer="0" w:header="0"/>
        </w:sectPr>
      </w:pPr>
    </w:p>
    <w:bookmarkStart w:id="17" w:name="page18"/>
    <w:bookmarkEnd w:id="1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AMC NETWORKS INC.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NOTES TO CONSOLIDATED FINANCIAL STATEMENTS - (Continued)</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(Dollars in thousands, except per share amounts)</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(Unaudited)</w:t>
      </w:r>
    </w:p>
    <w:p>
      <w:pPr>
        <w:spacing w:after="0" w:line="154" w:lineRule="exact"/>
        <w:rPr>
          <w:sz w:val="20"/>
          <w:szCs w:val="20"/>
          <w:color w:val="auto"/>
        </w:rPr>
      </w:pPr>
    </w:p>
    <w:p>
      <w:pPr>
        <w:ind w:right="100" w:firstLine="457"/>
        <w:spacing w:after="0" w:line="284" w:lineRule="auto"/>
        <w:rPr>
          <w:sz w:val="20"/>
          <w:szCs w:val="20"/>
          <w:color w:val="auto"/>
        </w:rPr>
      </w:pPr>
      <w:r>
        <w:rPr>
          <w:rFonts w:ascii="Arial" w:cs="Arial" w:eastAsia="Arial" w:hAnsi="Arial"/>
          <w:sz w:val="17"/>
          <w:szCs w:val="17"/>
          <w:color w:val="auto"/>
        </w:rPr>
        <w:t>The carrying values and estimated fair values of the Company’s financial instruments, excluding those that are carried at fair value in the consolidated balance sheets are summarized as follows:</w:t>
      </w:r>
    </w:p>
    <w:p>
      <w:pPr>
        <w:spacing w:after="0" w:line="152" w:lineRule="exact"/>
        <w:rPr>
          <w:sz w:val="20"/>
          <w:szCs w:val="20"/>
          <w:color w:val="auto"/>
        </w:rPr>
      </w:pPr>
    </w:p>
    <w:tbl>
      <w:tblPr>
        <w:tblLayout w:type="fixed"/>
        <w:tblInd w:w="1380" w:type="dxa"/>
        <w:tblCellMar>
          <w:top w:w="0" w:type="dxa"/>
          <w:left w:w="0" w:type="dxa"/>
          <w:bottom w:w="0" w:type="dxa"/>
          <w:right w:w="0" w:type="dxa"/>
        </w:tblCellMar>
      </w:tblPr>
      <w:tr>
        <w:trPr>
          <w:trHeight w:val="158"/>
        </w:trPr>
        <w:tc>
          <w:tcPr>
            <w:tcW w:w="6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80" w:type="dxa"/>
            <w:vAlign w:val="bottom"/>
            <w:gridSpan w:val="4"/>
          </w:tcPr>
          <w:p>
            <w:pPr>
              <w:jc w:val="center"/>
              <w:ind w:right="120"/>
              <w:spacing w:after="0"/>
              <w:rPr>
                <w:sz w:val="20"/>
                <w:szCs w:val="20"/>
                <w:color w:val="auto"/>
              </w:rPr>
            </w:pPr>
            <w:r>
              <w:rPr>
                <w:rFonts w:ascii="Arial" w:cs="Arial" w:eastAsia="Arial" w:hAnsi="Arial"/>
                <w:sz w:val="13"/>
                <w:szCs w:val="13"/>
                <w:b w:val="1"/>
                <w:bCs w:val="1"/>
                <w:color w:val="auto"/>
                <w:w w:val="95"/>
              </w:rPr>
              <w:t>March 31, 2012</w:t>
            </w:r>
          </w:p>
        </w:tc>
      </w:tr>
      <w:tr>
        <w:trPr>
          <w:trHeight w:val="125"/>
        </w:trPr>
        <w:tc>
          <w:tcPr>
            <w:tcW w:w="6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Borders>
              <w:top w:val="single" w:sz="8" w:color="auto"/>
            </w:tcBorders>
          </w:tcPr>
          <w:p>
            <w:pPr>
              <w:jc w:val="center"/>
              <w:spacing w:after="0" w:line="126" w:lineRule="exact"/>
              <w:rPr>
                <w:sz w:val="20"/>
                <w:szCs w:val="20"/>
                <w:color w:val="auto"/>
              </w:rPr>
            </w:pPr>
            <w:r>
              <w:rPr>
                <w:rFonts w:ascii="Arial" w:cs="Arial" w:eastAsia="Arial" w:hAnsi="Arial"/>
                <w:sz w:val="13"/>
                <w:szCs w:val="13"/>
                <w:b w:val="1"/>
                <w:bCs w:val="1"/>
                <w:color w:val="auto"/>
                <w:w w:val="97"/>
              </w:rPr>
              <w:t>Carrying</w:t>
            </w:r>
          </w:p>
        </w:tc>
        <w:tc>
          <w:tcPr>
            <w:tcW w:w="44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ind w:left="100"/>
              <w:spacing w:after="0" w:line="126" w:lineRule="exact"/>
              <w:rPr>
                <w:sz w:val="20"/>
                <w:szCs w:val="20"/>
                <w:color w:val="auto"/>
              </w:rPr>
            </w:pPr>
            <w:r>
              <w:rPr>
                <w:rFonts w:ascii="Arial" w:cs="Arial" w:eastAsia="Arial" w:hAnsi="Arial"/>
                <w:sz w:val="13"/>
                <w:szCs w:val="13"/>
                <w:b w:val="1"/>
                <w:bCs w:val="1"/>
                <w:color w:val="auto"/>
              </w:rPr>
              <w:t>Estimated</w:t>
            </w:r>
          </w:p>
        </w:tc>
        <w:tc>
          <w:tcPr>
            <w:tcW w:w="100" w:type="dxa"/>
            <w:vAlign w:val="bottom"/>
          </w:tcPr>
          <w:p>
            <w:pPr>
              <w:spacing w:after="0"/>
              <w:rPr>
                <w:sz w:val="10"/>
                <w:szCs w:val="10"/>
                <w:color w:val="auto"/>
              </w:rPr>
            </w:pPr>
          </w:p>
        </w:tc>
      </w:tr>
      <w:tr>
        <w:trPr>
          <w:trHeight w:val="158"/>
        </w:trPr>
        <w:tc>
          <w:tcPr>
            <w:tcW w:w="6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93"/>
              </w:rPr>
              <w:t>Amount</w:t>
            </w:r>
          </w:p>
        </w:tc>
        <w:tc>
          <w:tcPr>
            <w:tcW w:w="440" w:type="dxa"/>
            <w:vAlign w:val="bottom"/>
          </w:tcPr>
          <w:p>
            <w:pPr>
              <w:spacing w:after="0"/>
              <w:rPr>
                <w:sz w:val="13"/>
                <w:szCs w:val="13"/>
                <w:color w:val="auto"/>
              </w:rPr>
            </w:pPr>
          </w:p>
        </w:tc>
        <w:tc>
          <w:tcPr>
            <w:tcW w:w="880" w:type="dxa"/>
            <w:vAlign w:val="bottom"/>
            <w:gridSpan w:val="2"/>
          </w:tcPr>
          <w:p>
            <w:pPr>
              <w:ind w:left="100"/>
              <w:spacing w:after="0"/>
              <w:rPr>
                <w:sz w:val="20"/>
                <w:szCs w:val="20"/>
                <w:color w:val="auto"/>
              </w:rPr>
            </w:pPr>
            <w:r>
              <w:rPr>
                <w:rFonts w:ascii="Arial" w:cs="Arial" w:eastAsia="Arial" w:hAnsi="Arial"/>
                <w:sz w:val="13"/>
                <w:szCs w:val="13"/>
                <w:b w:val="1"/>
                <w:bCs w:val="1"/>
                <w:color w:val="auto"/>
              </w:rPr>
              <w:t>Fair Value</w:t>
            </w:r>
          </w:p>
        </w:tc>
      </w:tr>
      <w:tr>
        <w:trPr>
          <w:trHeight w:val="191"/>
        </w:trPr>
        <w:tc>
          <w:tcPr>
            <w:tcW w:w="6580" w:type="dxa"/>
            <w:vAlign w:val="bottom"/>
            <w:tcBorders>
              <w:top w:val="single" w:sz="8" w:color="CCEEFF"/>
            </w:tcBorders>
            <w:shd w:val="clear" w:color="auto" w:fill="CCEEFF"/>
          </w:tcPr>
          <w:p>
            <w:pPr>
              <w:spacing w:after="0" w:line="191" w:lineRule="exact"/>
              <w:rPr>
                <w:sz w:val="20"/>
                <w:szCs w:val="20"/>
                <w:color w:val="auto"/>
              </w:rPr>
            </w:pPr>
            <w:r>
              <w:rPr>
                <w:rFonts w:ascii="Arial" w:cs="Arial" w:eastAsia="Arial" w:hAnsi="Arial"/>
                <w:sz w:val="17"/>
                <w:szCs w:val="17"/>
                <w:color w:val="auto"/>
              </w:rPr>
              <w:t>Debt instruments:</w:t>
            </w:r>
          </w:p>
        </w:tc>
        <w:tc>
          <w:tcPr>
            <w:tcW w:w="2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11"/>
        </w:trPr>
        <w:tc>
          <w:tcPr>
            <w:tcW w:w="6580" w:type="dxa"/>
            <w:vAlign w:val="bottom"/>
          </w:tcPr>
          <w:p>
            <w:pPr>
              <w:ind w:left="420"/>
              <w:spacing w:after="0"/>
              <w:rPr>
                <w:sz w:val="20"/>
                <w:szCs w:val="20"/>
                <w:color w:val="auto"/>
              </w:rPr>
            </w:pPr>
            <w:r>
              <w:rPr>
                <w:rFonts w:ascii="Arial" w:cs="Arial" w:eastAsia="Arial" w:hAnsi="Arial"/>
                <w:sz w:val="17"/>
                <w:szCs w:val="17"/>
                <w:color w:val="auto"/>
              </w:rPr>
              <w:t>Credit facility debt</w:t>
            </w:r>
          </w:p>
        </w:tc>
        <w:tc>
          <w:tcPr>
            <w:tcW w:w="780" w:type="dxa"/>
            <w:vAlign w:val="bottom"/>
            <w:gridSpan w:val="2"/>
          </w:tcPr>
          <w:p>
            <w:pPr>
              <w:jc w:val="right"/>
              <w:spacing w:after="0"/>
              <w:rPr>
                <w:sz w:val="20"/>
                <w:szCs w:val="20"/>
                <w:color w:val="auto"/>
              </w:rPr>
            </w:pPr>
            <w:r>
              <w:rPr>
                <w:rFonts w:ascii="Arial" w:cs="Arial" w:eastAsia="Arial" w:hAnsi="Arial"/>
                <w:sz w:val="17"/>
                <w:szCs w:val="17"/>
                <w:color w:val="auto"/>
                <w:w w:val="89"/>
              </w:rPr>
              <w:t>$1,554,097</w:t>
            </w: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$1,526,685</w:t>
            </w:r>
          </w:p>
        </w:tc>
        <w:tc>
          <w:tcPr>
            <w:tcW w:w="100" w:type="dxa"/>
            <w:vAlign w:val="bottom"/>
          </w:tcPr>
          <w:p>
            <w:pPr>
              <w:spacing w:after="0"/>
              <w:rPr>
                <w:sz w:val="18"/>
                <w:szCs w:val="18"/>
                <w:color w:val="auto"/>
              </w:rPr>
            </w:pPr>
          </w:p>
        </w:tc>
      </w:tr>
      <w:tr>
        <w:trPr>
          <w:trHeight w:val="211"/>
        </w:trPr>
        <w:tc>
          <w:tcPr>
            <w:tcW w:w="65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Senior notes</w:t>
            </w:r>
          </w:p>
        </w:tc>
        <w:tc>
          <w:tcPr>
            <w:tcW w:w="2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686,671</w:t>
            </w:r>
          </w:p>
        </w:tc>
        <w:tc>
          <w:tcPr>
            <w:tcW w:w="44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780,500</w:t>
            </w:r>
          </w:p>
        </w:tc>
        <w:tc>
          <w:tcPr>
            <w:tcW w:w="100" w:type="dxa"/>
            <w:vAlign w:val="bottom"/>
            <w:shd w:val="clear" w:color="auto" w:fill="CCEEFF"/>
          </w:tcPr>
          <w:p>
            <w:pPr>
              <w:spacing w:after="0"/>
              <w:rPr>
                <w:sz w:val="18"/>
                <w:szCs w:val="18"/>
                <w:color w:val="auto"/>
              </w:rPr>
            </w:pPr>
          </w:p>
        </w:tc>
      </w:tr>
      <w:tr>
        <w:trPr>
          <w:trHeight w:val="216"/>
        </w:trPr>
        <w:tc>
          <w:tcPr>
            <w:tcW w:w="65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7"/>
                <w:szCs w:val="17"/>
                <w:u w:val="single" w:color="auto"/>
                <w:color w:val="auto"/>
                <w:w w:val="89"/>
              </w:rPr>
              <w:t>$</w:t>
            </w:r>
            <w:r>
              <w:rPr>
                <w:rFonts w:ascii="Arial" w:cs="Arial" w:eastAsia="Arial" w:hAnsi="Arial"/>
                <w:sz w:val="17"/>
                <w:szCs w:val="17"/>
                <w:color w:val="auto"/>
                <w:w w:val="89"/>
              </w:rPr>
              <w:t>2,240,768</w:t>
            </w:r>
          </w:p>
        </w:tc>
        <w:tc>
          <w:tcPr>
            <w:tcW w:w="122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2,307,185</w:t>
            </w:r>
          </w:p>
        </w:tc>
        <w:tc>
          <w:tcPr>
            <w:tcW w:w="100" w:type="dxa"/>
            <w:vAlign w:val="bottom"/>
          </w:tcPr>
          <w:p>
            <w:pPr>
              <w:spacing w:after="0"/>
              <w:rPr>
                <w:sz w:val="18"/>
                <w:szCs w:val="18"/>
                <w:color w:val="auto"/>
              </w:rPr>
            </w:pPr>
          </w:p>
        </w:tc>
      </w:tr>
      <w:tr>
        <w:trPr>
          <w:trHeight w:val="20"/>
        </w:trPr>
        <w:tc>
          <w:tcPr>
            <w:tcW w:w="6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0"/>
        </w:trPr>
        <w:tc>
          <w:tcPr>
            <w:tcW w:w="6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gridSpan w:val="4"/>
          </w:tcPr>
          <w:p>
            <w:pPr>
              <w:jc w:val="center"/>
              <w:ind w:right="120"/>
              <w:spacing w:after="0"/>
              <w:rPr>
                <w:sz w:val="20"/>
                <w:szCs w:val="20"/>
                <w:color w:val="auto"/>
              </w:rPr>
            </w:pPr>
            <w:r>
              <w:rPr>
                <w:rFonts w:ascii="Arial" w:cs="Arial" w:eastAsia="Arial" w:hAnsi="Arial"/>
                <w:sz w:val="13"/>
                <w:szCs w:val="13"/>
                <w:b w:val="1"/>
                <w:bCs w:val="1"/>
                <w:color w:val="auto"/>
                <w:w w:val="88"/>
              </w:rPr>
              <w:t>December 31, 2011</w:t>
            </w:r>
          </w:p>
        </w:tc>
      </w:tr>
      <w:tr>
        <w:trPr>
          <w:trHeight w:val="125"/>
        </w:trPr>
        <w:tc>
          <w:tcPr>
            <w:tcW w:w="6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Borders>
              <w:top w:val="single" w:sz="8" w:color="auto"/>
            </w:tcBorders>
          </w:tcPr>
          <w:p>
            <w:pPr>
              <w:jc w:val="center"/>
              <w:spacing w:after="0" w:line="126" w:lineRule="exact"/>
              <w:rPr>
                <w:sz w:val="20"/>
                <w:szCs w:val="20"/>
                <w:color w:val="auto"/>
              </w:rPr>
            </w:pPr>
            <w:r>
              <w:rPr>
                <w:rFonts w:ascii="Arial" w:cs="Arial" w:eastAsia="Arial" w:hAnsi="Arial"/>
                <w:sz w:val="13"/>
                <w:szCs w:val="13"/>
                <w:b w:val="1"/>
                <w:bCs w:val="1"/>
                <w:color w:val="auto"/>
                <w:w w:val="97"/>
              </w:rPr>
              <w:t>Carrying</w:t>
            </w:r>
          </w:p>
        </w:tc>
        <w:tc>
          <w:tcPr>
            <w:tcW w:w="44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ind w:left="100"/>
              <w:spacing w:after="0" w:line="126" w:lineRule="exact"/>
              <w:rPr>
                <w:sz w:val="20"/>
                <w:szCs w:val="20"/>
                <w:color w:val="auto"/>
              </w:rPr>
            </w:pPr>
            <w:r>
              <w:rPr>
                <w:rFonts w:ascii="Arial" w:cs="Arial" w:eastAsia="Arial" w:hAnsi="Arial"/>
                <w:sz w:val="13"/>
                <w:szCs w:val="13"/>
                <w:b w:val="1"/>
                <w:bCs w:val="1"/>
                <w:color w:val="auto"/>
              </w:rPr>
              <w:t>Estimated</w:t>
            </w:r>
          </w:p>
        </w:tc>
        <w:tc>
          <w:tcPr>
            <w:tcW w:w="100" w:type="dxa"/>
            <w:vAlign w:val="bottom"/>
          </w:tcPr>
          <w:p>
            <w:pPr>
              <w:spacing w:after="0"/>
              <w:rPr>
                <w:sz w:val="10"/>
                <w:szCs w:val="10"/>
                <w:color w:val="auto"/>
              </w:rPr>
            </w:pPr>
          </w:p>
        </w:tc>
      </w:tr>
      <w:tr>
        <w:trPr>
          <w:trHeight w:val="158"/>
        </w:trPr>
        <w:tc>
          <w:tcPr>
            <w:tcW w:w="6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93"/>
              </w:rPr>
              <w:t>Amount</w:t>
            </w:r>
          </w:p>
        </w:tc>
        <w:tc>
          <w:tcPr>
            <w:tcW w:w="440" w:type="dxa"/>
            <w:vAlign w:val="bottom"/>
          </w:tcPr>
          <w:p>
            <w:pPr>
              <w:spacing w:after="0"/>
              <w:rPr>
                <w:sz w:val="13"/>
                <w:szCs w:val="13"/>
                <w:color w:val="auto"/>
              </w:rPr>
            </w:pPr>
          </w:p>
        </w:tc>
        <w:tc>
          <w:tcPr>
            <w:tcW w:w="880" w:type="dxa"/>
            <w:vAlign w:val="bottom"/>
            <w:gridSpan w:val="2"/>
          </w:tcPr>
          <w:p>
            <w:pPr>
              <w:ind w:left="100"/>
              <w:spacing w:after="0"/>
              <w:rPr>
                <w:sz w:val="20"/>
                <w:szCs w:val="20"/>
                <w:color w:val="auto"/>
              </w:rPr>
            </w:pPr>
            <w:r>
              <w:rPr>
                <w:rFonts w:ascii="Arial" w:cs="Arial" w:eastAsia="Arial" w:hAnsi="Arial"/>
                <w:sz w:val="13"/>
                <w:szCs w:val="13"/>
                <w:b w:val="1"/>
                <w:bCs w:val="1"/>
                <w:color w:val="auto"/>
              </w:rPr>
              <w:t>Fair Value</w:t>
            </w:r>
          </w:p>
        </w:tc>
      </w:tr>
      <w:tr>
        <w:trPr>
          <w:trHeight w:val="191"/>
        </w:trPr>
        <w:tc>
          <w:tcPr>
            <w:tcW w:w="6580" w:type="dxa"/>
            <w:vAlign w:val="bottom"/>
            <w:tcBorders>
              <w:top w:val="single" w:sz="8" w:color="CCEEFF"/>
            </w:tcBorders>
            <w:shd w:val="clear" w:color="auto" w:fill="CCEEFF"/>
          </w:tcPr>
          <w:p>
            <w:pPr>
              <w:spacing w:after="0" w:line="191" w:lineRule="exact"/>
              <w:rPr>
                <w:sz w:val="20"/>
                <w:szCs w:val="20"/>
                <w:color w:val="auto"/>
              </w:rPr>
            </w:pPr>
            <w:r>
              <w:rPr>
                <w:rFonts w:ascii="Arial" w:cs="Arial" w:eastAsia="Arial" w:hAnsi="Arial"/>
                <w:sz w:val="17"/>
                <w:szCs w:val="17"/>
                <w:color w:val="auto"/>
              </w:rPr>
              <w:t>Debt instruments:</w:t>
            </w:r>
          </w:p>
        </w:tc>
        <w:tc>
          <w:tcPr>
            <w:tcW w:w="2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11"/>
        </w:trPr>
        <w:tc>
          <w:tcPr>
            <w:tcW w:w="6580" w:type="dxa"/>
            <w:vAlign w:val="bottom"/>
          </w:tcPr>
          <w:p>
            <w:pPr>
              <w:ind w:left="420"/>
              <w:spacing w:after="0"/>
              <w:rPr>
                <w:sz w:val="20"/>
                <w:szCs w:val="20"/>
                <w:color w:val="auto"/>
              </w:rPr>
            </w:pPr>
            <w:r>
              <w:rPr>
                <w:rFonts w:ascii="Arial" w:cs="Arial" w:eastAsia="Arial" w:hAnsi="Arial"/>
                <w:sz w:val="17"/>
                <w:szCs w:val="17"/>
                <w:color w:val="auto"/>
              </w:rPr>
              <w:t>Credit facility debt</w:t>
            </w:r>
          </w:p>
        </w:tc>
        <w:tc>
          <w:tcPr>
            <w:tcW w:w="780" w:type="dxa"/>
            <w:vAlign w:val="bottom"/>
            <w:gridSpan w:val="2"/>
          </w:tcPr>
          <w:p>
            <w:pPr>
              <w:jc w:val="right"/>
              <w:spacing w:after="0"/>
              <w:rPr>
                <w:sz w:val="20"/>
                <w:szCs w:val="20"/>
                <w:color w:val="auto"/>
              </w:rPr>
            </w:pPr>
            <w:r>
              <w:rPr>
                <w:rFonts w:ascii="Arial" w:cs="Arial" w:eastAsia="Arial" w:hAnsi="Arial"/>
                <w:sz w:val="17"/>
                <w:szCs w:val="17"/>
                <w:color w:val="auto"/>
                <w:w w:val="89"/>
              </w:rPr>
              <w:t>$1,604,846</w:t>
            </w: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$1,550,960</w:t>
            </w:r>
          </w:p>
        </w:tc>
        <w:tc>
          <w:tcPr>
            <w:tcW w:w="100" w:type="dxa"/>
            <w:vAlign w:val="bottom"/>
          </w:tcPr>
          <w:p>
            <w:pPr>
              <w:spacing w:after="0"/>
              <w:rPr>
                <w:sz w:val="18"/>
                <w:szCs w:val="18"/>
                <w:color w:val="auto"/>
              </w:rPr>
            </w:pPr>
          </w:p>
        </w:tc>
      </w:tr>
      <w:tr>
        <w:trPr>
          <w:trHeight w:val="211"/>
        </w:trPr>
        <w:tc>
          <w:tcPr>
            <w:tcW w:w="65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Senior notes</w:t>
            </w:r>
          </w:p>
        </w:tc>
        <w:tc>
          <w:tcPr>
            <w:tcW w:w="2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686,434</w:t>
            </w:r>
          </w:p>
        </w:tc>
        <w:tc>
          <w:tcPr>
            <w:tcW w:w="44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761,250</w:t>
            </w:r>
          </w:p>
        </w:tc>
        <w:tc>
          <w:tcPr>
            <w:tcW w:w="100" w:type="dxa"/>
            <w:vAlign w:val="bottom"/>
            <w:shd w:val="clear" w:color="auto" w:fill="CCEEFF"/>
          </w:tcPr>
          <w:p>
            <w:pPr>
              <w:spacing w:after="0"/>
              <w:rPr>
                <w:sz w:val="18"/>
                <w:szCs w:val="18"/>
                <w:color w:val="auto"/>
              </w:rPr>
            </w:pPr>
          </w:p>
        </w:tc>
      </w:tr>
      <w:tr>
        <w:trPr>
          <w:trHeight w:val="216"/>
        </w:trPr>
        <w:tc>
          <w:tcPr>
            <w:tcW w:w="65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7"/>
                <w:szCs w:val="17"/>
                <w:u w:val="single" w:color="auto"/>
                <w:color w:val="auto"/>
                <w:w w:val="89"/>
              </w:rPr>
              <w:t>$</w:t>
            </w:r>
            <w:r>
              <w:rPr>
                <w:rFonts w:ascii="Arial" w:cs="Arial" w:eastAsia="Arial" w:hAnsi="Arial"/>
                <w:sz w:val="17"/>
                <w:szCs w:val="17"/>
                <w:color w:val="auto"/>
                <w:w w:val="89"/>
              </w:rPr>
              <w:t>2,291,280</w:t>
            </w:r>
          </w:p>
        </w:tc>
        <w:tc>
          <w:tcPr>
            <w:tcW w:w="122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2,312,210</w:t>
            </w:r>
          </w:p>
        </w:tc>
        <w:tc>
          <w:tcPr>
            <w:tcW w:w="100" w:type="dxa"/>
            <w:vAlign w:val="bottom"/>
          </w:tcPr>
          <w:p>
            <w:pPr>
              <w:spacing w:after="0"/>
              <w:rPr>
                <w:sz w:val="18"/>
                <w:szCs w:val="18"/>
                <w:color w:val="auto"/>
              </w:rPr>
            </w:pPr>
          </w:p>
        </w:tc>
      </w:tr>
      <w:tr>
        <w:trPr>
          <w:trHeight w:val="20"/>
        </w:trPr>
        <w:tc>
          <w:tcPr>
            <w:tcW w:w="65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3" w:lineRule="exact"/>
        <w:rPr>
          <w:sz w:val="20"/>
          <w:szCs w:val="20"/>
          <w:color w:val="auto"/>
        </w:rPr>
      </w:pPr>
    </w:p>
    <w:p>
      <w:pPr>
        <w:ind w:right="120" w:firstLine="457"/>
        <w:spacing w:after="0" w:line="271" w:lineRule="auto"/>
        <w:rPr>
          <w:sz w:val="20"/>
          <w:szCs w:val="20"/>
          <w:color w:val="auto"/>
        </w:rPr>
      </w:pPr>
      <w:r>
        <w:rPr>
          <w:rFonts w:ascii="Arial" w:cs="Arial" w:eastAsia="Arial" w:hAnsi="Arial"/>
          <w:sz w:val="17"/>
          <w:szCs w:val="17"/>
          <w:color w:val="auto"/>
        </w:rPr>
        <w:t>Fair value estimates related to the Company’s debt instruments presented above are made at a specific point in time, based on relevant market information and information about the financial instrument. These estimates are subjective in nature and involve uncertainties and matters of significant judgments and therefore cannot be determined with precision. Changes in assumptions could significantly affect the estimates.</w:t>
      </w:r>
    </w:p>
    <w:p>
      <w:pPr>
        <w:spacing w:after="0" w:line="240" w:lineRule="exact"/>
        <w:rPr>
          <w:sz w:val="20"/>
          <w:szCs w:val="20"/>
          <w:color w:val="auto"/>
        </w:rPr>
      </w:pPr>
    </w:p>
    <w:p>
      <w:pPr>
        <w:spacing w:after="0"/>
        <w:tabs>
          <w:tab w:leader="none" w:pos="1020" w:val="left"/>
        </w:tabs>
        <w:rPr>
          <w:sz w:val="20"/>
          <w:szCs w:val="20"/>
          <w:color w:val="auto"/>
        </w:rPr>
      </w:pPr>
      <w:r>
        <w:rPr>
          <w:rFonts w:ascii="Arial" w:cs="Arial" w:eastAsia="Arial" w:hAnsi="Arial"/>
          <w:sz w:val="17"/>
          <w:szCs w:val="17"/>
          <w:b w:val="1"/>
          <w:bCs w:val="1"/>
          <w:color w:val="auto"/>
        </w:rPr>
        <w:t>Note 10.</w:t>
      </w:r>
      <w:r>
        <w:rPr>
          <w:sz w:val="20"/>
          <w:szCs w:val="20"/>
          <w:color w:val="auto"/>
        </w:rPr>
        <w:tab/>
      </w:r>
      <w:r>
        <w:rPr>
          <w:rFonts w:ascii="Arial" w:cs="Arial" w:eastAsia="Arial" w:hAnsi="Arial"/>
          <w:sz w:val="15"/>
          <w:szCs w:val="15"/>
          <w:b w:val="1"/>
          <w:bCs w:val="1"/>
          <w:color w:val="auto"/>
        </w:rPr>
        <w:t>Concentration of Risk</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Instruments</w:t>
      </w:r>
    </w:p>
    <w:p>
      <w:pPr>
        <w:spacing w:after="0" w:line="100" w:lineRule="exact"/>
        <w:rPr>
          <w:sz w:val="20"/>
          <w:szCs w:val="20"/>
          <w:color w:val="auto"/>
        </w:rPr>
      </w:pPr>
    </w:p>
    <w:p>
      <w:pPr>
        <w:ind w:firstLine="457"/>
        <w:spacing w:after="0" w:line="267" w:lineRule="auto"/>
        <w:rPr>
          <w:sz w:val="20"/>
          <w:szCs w:val="20"/>
          <w:color w:val="auto"/>
        </w:rPr>
      </w:pPr>
      <w:r>
        <w:rPr>
          <w:rFonts w:ascii="Arial" w:cs="Arial" w:eastAsia="Arial" w:hAnsi="Arial"/>
          <w:sz w:val="17"/>
          <w:szCs w:val="17"/>
          <w:color w:val="auto"/>
        </w:rPr>
        <w:t>Financial instruments that potentially subject the Company to a concentration of credit risk consist primarily of cash and cash equivalents and trade accounts receivable. Cash is invested in money market funds and bank time deposits. The Company monitors the financial institutions and money market funds where it invests its cash and cash equivalents with diversification among counterparties to mitigate exposure to any single financial institution. The Company’s emphasis is primarily on safety of principal and liquidity and secondarily on maximizing the yield on its investments.</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Customers</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color w:val="auto"/>
        </w:rPr>
        <w:t>Two customers accounted for the following percentages of the Company’s revenues, net:</w:t>
      </w:r>
    </w:p>
    <w:p>
      <w:pPr>
        <w:spacing w:after="0" w:line="208" w:lineRule="exact"/>
        <w:rPr>
          <w:sz w:val="20"/>
          <w:szCs w:val="20"/>
          <w:color w:val="auto"/>
        </w:rPr>
      </w:pPr>
    </w:p>
    <w:p>
      <w:pPr>
        <w:ind w:left="7640"/>
        <w:spacing w:after="0"/>
        <w:rPr>
          <w:sz w:val="20"/>
          <w:szCs w:val="20"/>
          <w:color w:val="auto"/>
        </w:rPr>
      </w:pPr>
      <w:r>
        <w:rPr>
          <w:rFonts w:ascii="Arial" w:cs="Arial" w:eastAsia="Arial" w:hAnsi="Arial"/>
          <w:sz w:val="13"/>
          <w:szCs w:val="13"/>
          <w:b w:val="1"/>
          <w:bCs w:val="1"/>
          <w:color w:val="auto"/>
        </w:rPr>
        <w:t>Three Months Ended March 31,</w:t>
      </w:r>
    </w:p>
    <w:p>
      <w:pPr>
        <w:spacing w:after="0" w:line="8" w:lineRule="exact"/>
        <w:rPr>
          <w:sz w:val="20"/>
          <w:szCs w:val="20"/>
          <w:color w:val="auto"/>
        </w:rPr>
      </w:pPr>
    </w:p>
    <w:tbl>
      <w:tblPr>
        <w:tblLayout w:type="fixed"/>
        <w:tblInd w:w="1380" w:type="dxa"/>
        <w:tblCellMar>
          <w:top w:w="0" w:type="dxa"/>
          <w:left w:w="0" w:type="dxa"/>
          <w:bottom w:w="0" w:type="dxa"/>
          <w:right w:w="0" w:type="dxa"/>
        </w:tblCellMar>
      </w:tblPr>
      <w:tr>
        <w:trPr>
          <w:trHeight w:val="138"/>
        </w:trPr>
        <w:tc>
          <w:tcPr>
            <w:tcW w:w="5860" w:type="dxa"/>
            <w:vAlign w:val="bottom"/>
            <w:tcBorders>
              <w:bottom w:val="single" w:sz="8" w:color="CCEEFF"/>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rPr>
              <w:t>2012</w:t>
            </w:r>
          </w:p>
        </w:tc>
        <w:tc>
          <w:tcPr>
            <w:tcW w:w="180" w:type="dxa"/>
            <w:vAlign w:val="bottom"/>
            <w:tcBorders>
              <w:top w:val="single" w:sz="8" w:color="auto"/>
              <w:bottom w:val="single" w:sz="8" w:color="auto"/>
            </w:tcBorders>
          </w:tcPr>
          <w:p>
            <w:pPr>
              <w:spacing w:after="0"/>
              <w:rPr>
                <w:sz w:val="12"/>
                <w:szCs w:val="12"/>
                <w:color w:val="auto"/>
              </w:rPr>
            </w:pPr>
          </w:p>
        </w:tc>
        <w:tc>
          <w:tcPr>
            <w:tcW w:w="1360" w:type="dxa"/>
            <w:vAlign w:val="bottom"/>
            <w:tcBorders>
              <w:top w:val="single" w:sz="8" w:color="auto"/>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21"/>
              <w:spacing w:after="0" w:line="138" w:lineRule="exact"/>
              <w:rPr>
                <w:sz w:val="20"/>
                <w:szCs w:val="20"/>
                <w:color w:val="auto"/>
              </w:rPr>
            </w:pPr>
            <w:r>
              <w:rPr>
                <w:rFonts w:ascii="Arial" w:cs="Arial" w:eastAsia="Arial" w:hAnsi="Arial"/>
                <w:sz w:val="13"/>
                <w:szCs w:val="13"/>
                <w:b w:val="1"/>
                <w:bCs w:val="1"/>
                <w:color w:val="auto"/>
              </w:rPr>
              <w:t>2011</w:t>
            </w:r>
          </w:p>
        </w:tc>
        <w:tc>
          <w:tcPr>
            <w:tcW w:w="200" w:type="dxa"/>
            <w:vAlign w:val="bottom"/>
            <w:tcBorders>
              <w:bottom w:val="single" w:sz="8" w:color="CCEEFF"/>
            </w:tcBorders>
          </w:tcPr>
          <w:p>
            <w:pPr>
              <w:spacing w:after="0"/>
              <w:rPr>
                <w:sz w:val="12"/>
                <w:szCs w:val="12"/>
                <w:color w:val="auto"/>
              </w:rPr>
            </w:pPr>
          </w:p>
        </w:tc>
      </w:tr>
      <w:tr>
        <w:trPr>
          <w:trHeight w:val="204"/>
        </w:trPr>
        <w:tc>
          <w:tcPr>
            <w:tcW w:w="5860" w:type="dxa"/>
            <w:vAlign w:val="bottom"/>
            <w:shd w:val="clear" w:color="auto" w:fill="CCEEFF"/>
          </w:tcPr>
          <w:p>
            <w:pPr>
              <w:spacing w:after="0"/>
              <w:rPr>
                <w:sz w:val="20"/>
                <w:szCs w:val="20"/>
                <w:color w:val="auto"/>
              </w:rPr>
            </w:pPr>
            <w:r>
              <w:rPr>
                <w:rFonts w:ascii="Arial" w:cs="Arial" w:eastAsia="Arial" w:hAnsi="Arial"/>
                <w:sz w:val="17"/>
                <w:szCs w:val="17"/>
                <w:color w:val="auto"/>
              </w:rPr>
              <w:t>Customer 1</w:t>
            </w:r>
          </w:p>
        </w:tc>
        <w:tc>
          <w:tcPr>
            <w:tcW w:w="44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1220"/>
              <w:spacing w:after="0"/>
              <w:rPr>
                <w:sz w:val="20"/>
                <w:szCs w:val="20"/>
                <w:color w:val="auto"/>
              </w:rPr>
            </w:pPr>
            <w:r>
              <w:rPr>
                <w:rFonts w:ascii="Arial" w:cs="Arial" w:eastAsia="Arial" w:hAnsi="Arial"/>
                <w:sz w:val="17"/>
                <w:szCs w:val="17"/>
                <w:color w:val="auto"/>
              </w:rPr>
              <w:t>9%</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11%</w:t>
            </w:r>
          </w:p>
        </w:tc>
      </w:tr>
      <w:tr>
        <w:trPr>
          <w:trHeight w:val="217"/>
        </w:trPr>
        <w:tc>
          <w:tcPr>
            <w:tcW w:w="6300" w:type="dxa"/>
            <w:vAlign w:val="bottom"/>
            <w:gridSpan w:val="2"/>
          </w:tcPr>
          <w:p>
            <w:pPr>
              <w:spacing w:after="0"/>
              <w:rPr>
                <w:sz w:val="20"/>
                <w:szCs w:val="20"/>
                <w:color w:val="auto"/>
              </w:rPr>
            </w:pPr>
            <w:r>
              <w:rPr>
                <w:rFonts w:ascii="Arial" w:cs="Arial" w:eastAsia="Arial" w:hAnsi="Arial"/>
                <w:sz w:val="17"/>
                <w:szCs w:val="17"/>
                <w:color w:val="auto"/>
              </w:rPr>
              <w:t>Customer 2</w:t>
            </w:r>
          </w:p>
        </w:tc>
        <w:tc>
          <w:tcPr>
            <w:tcW w:w="1540" w:type="dxa"/>
            <w:vAlign w:val="bottom"/>
            <w:gridSpan w:val="2"/>
          </w:tcPr>
          <w:p>
            <w:pPr>
              <w:jc w:val="right"/>
              <w:ind w:right="1220"/>
              <w:spacing w:after="0"/>
              <w:rPr>
                <w:sz w:val="20"/>
                <w:szCs w:val="20"/>
                <w:color w:val="auto"/>
              </w:rPr>
            </w:pPr>
            <w:r>
              <w:rPr>
                <w:rFonts w:ascii="Arial" w:cs="Arial" w:eastAsia="Arial" w:hAnsi="Arial"/>
                <w:sz w:val="17"/>
                <w:szCs w:val="17"/>
                <w:color w:val="auto"/>
                <w:w w:val="88"/>
              </w:rPr>
              <w:t>12%</w:t>
            </w:r>
          </w:p>
        </w:tc>
        <w:tc>
          <w:tcPr>
            <w:tcW w:w="840" w:type="dxa"/>
            <w:vAlign w:val="bottom"/>
            <w:gridSpan w:val="2"/>
          </w:tcPr>
          <w:p>
            <w:pPr>
              <w:jc w:val="right"/>
              <w:ind w:right="60"/>
              <w:spacing w:after="0"/>
              <w:rPr>
                <w:sz w:val="20"/>
                <w:szCs w:val="20"/>
                <w:color w:val="auto"/>
              </w:rPr>
            </w:pPr>
            <w:r>
              <w:rPr>
                <w:rFonts w:ascii="Arial" w:cs="Arial" w:eastAsia="Arial" w:hAnsi="Arial"/>
                <w:sz w:val="17"/>
                <w:szCs w:val="17"/>
                <w:color w:val="auto"/>
              </w:rPr>
              <w:t>13%</w:t>
            </w:r>
          </w:p>
        </w:tc>
      </w:tr>
    </w:tbl>
    <w:p>
      <w:pPr>
        <w:spacing w:after="0" w:line="14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At March 31, 2012, no one customer accounted for 10% or more of the Company’s net trade receivable balances.</w:t>
      </w:r>
    </w:p>
    <w:p>
      <w:pPr>
        <w:spacing w:after="0" w:line="286" w:lineRule="exact"/>
        <w:rPr>
          <w:sz w:val="20"/>
          <w:szCs w:val="20"/>
          <w:color w:val="auto"/>
        </w:rPr>
      </w:pPr>
    </w:p>
    <w:p>
      <w:pPr>
        <w:spacing w:after="0"/>
        <w:tabs>
          <w:tab w:leader="none" w:pos="1020" w:val="left"/>
        </w:tabs>
        <w:rPr>
          <w:sz w:val="20"/>
          <w:szCs w:val="20"/>
          <w:color w:val="auto"/>
        </w:rPr>
      </w:pPr>
      <w:r>
        <w:rPr>
          <w:rFonts w:ascii="Arial" w:cs="Arial" w:eastAsia="Arial" w:hAnsi="Arial"/>
          <w:sz w:val="17"/>
          <w:szCs w:val="17"/>
          <w:b w:val="1"/>
          <w:bCs w:val="1"/>
          <w:color w:val="auto"/>
        </w:rPr>
        <w:t>Note 11.</w:t>
      </w:r>
      <w:r>
        <w:rPr>
          <w:sz w:val="20"/>
          <w:szCs w:val="20"/>
          <w:color w:val="auto"/>
        </w:rPr>
        <w:tab/>
      </w:r>
      <w:r>
        <w:rPr>
          <w:rFonts w:ascii="Arial" w:cs="Arial" w:eastAsia="Arial" w:hAnsi="Arial"/>
          <w:sz w:val="15"/>
          <w:szCs w:val="15"/>
          <w:b w:val="1"/>
          <w:bCs w:val="1"/>
          <w:color w:val="auto"/>
        </w:rPr>
        <w:t>Related Party Transactions</w:t>
      </w:r>
    </w:p>
    <w:p>
      <w:pPr>
        <w:spacing w:after="0" w:line="100" w:lineRule="exact"/>
        <w:rPr>
          <w:sz w:val="20"/>
          <w:szCs w:val="20"/>
          <w:color w:val="auto"/>
        </w:rPr>
      </w:pPr>
    </w:p>
    <w:p>
      <w:pPr>
        <w:ind w:right="120" w:firstLine="457"/>
        <w:spacing w:after="0" w:line="265" w:lineRule="auto"/>
        <w:rPr>
          <w:sz w:val="20"/>
          <w:szCs w:val="20"/>
          <w:color w:val="auto"/>
        </w:rPr>
      </w:pPr>
      <w:r>
        <w:rPr>
          <w:rFonts w:ascii="Arial" w:cs="Arial" w:eastAsia="Arial" w:hAnsi="Arial"/>
          <w:sz w:val="17"/>
          <w:szCs w:val="17"/>
          <w:color w:val="auto"/>
        </w:rPr>
        <w:t>The Company provides services to and receives services from Cablevision and MSG. Until the Distribution date, the consolidated financial statements of the Company reflect the application of certain cost allocation policies of Cablevision. Management believes that these allocations were made on a reasonable basis. However, it is not practicable to determine whether the charged amounts represent amounts that might have been incurred on a stand-alone basis, including as a separate independent publicly owned company, as there are no company-specific or comparable industry benchmarks with which to make such estimates. Further, as many of these transactions are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1420"/>
          </w:cols>
          <w:pgMar w:left="240" w:top="451" w:right="239" w:bottom="1440" w:gutter="0" w:footer="0" w:header="0"/>
        </w:sectPr>
      </w:pPr>
    </w:p>
    <w:bookmarkStart w:id="18" w:name="page19"/>
    <w:bookmarkEnd w:id="1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AMC NETWORKS INC. AND SUBSIDIARIES</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NOTES TO CONSOLIDATED FINANCIAL STATEMENTS - (Continued)</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(Dollars in thousands, except per share amounts)</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(Unaudited)</w:t>
      </w:r>
    </w:p>
    <w:p>
      <w:pPr>
        <w:spacing w:after="0" w:line="154" w:lineRule="exact"/>
        <w:rPr>
          <w:sz w:val="20"/>
          <w:szCs w:val="20"/>
          <w:color w:val="auto"/>
        </w:rPr>
      </w:pPr>
    </w:p>
    <w:p>
      <w:pPr>
        <w:ind w:right="320"/>
        <w:spacing w:after="0" w:line="284" w:lineRule="auto"/>
        <w:rPr>
          <w:sz w:val="20"/>
          <w:szCs w:val="20"/>
          <w:color w:val="auto"/>
        </w:rPr>
      </w:pPr>
      <w:r>
        <w:rPr>
          <w:rFonts w:ascii="Arial" w:cs="Arial" w:eastAsia="Arial" w:hAnsi="Arial"/>
          <w:sz w:val="17"/>
          <w:szCs w:val="17"/>
          <w:color w:val="auto"/>
        </w:rPr>
        <w:t>conducted between subsidiaries under common control of the Dolan Family, amounts charged for these services may not represent amounts that might have been received or incurred if the transactions were based upon arm’s length negotiations.</w:t>
      </w:r>
    </w:p>
    <w:p>
      <w:pPr>
        <w:spacing w:after="0" w:line="117" w:lineRule="exact"/>
        <w:rPr>
          <w:sz w:val="20"/>
          <w:szCs w:val="20"/>
          <w:color w:val="auto"/>
        </w:rPr>
      </w:pPr>
    </w:p>
    <w:p>
      <w:pPr>
        <w:ind w:firstLine="457"/>
        <w:spacing w:after="0" w:line="284" w:lineRule="auto"/>
        <w:rPr>
          <w:sz w:val="20"/>
          <w:szCs w:val="20"/>
          <w:color w:val="auto"/>
        </w:rPr>
      </w:pPr>
      <w:r>
        <w:rPr>
          <w:rFonts w:ascii="Arial" w:cs="Arial" w:eastAsia="Arial" w:hAnsi="Arial"/>
          <w:sz w:val="17"/>
          <w:szCs w:val="17"/>
          <w:color w:val="auto"/>
        </w:rPr>
        <w:t>The following is a summary of the revenues and expenses included in the Company’s consolidated statements of income related to transactions with or charges from Cablevision:</w:t>
      </w:r>
    </w:p>
    <w:p>
      <w:pPr>
        <w:spacing w:after="0" w:line="152" w:lineRule="exact"/>
        <w:rPr>
          <w:sz w:val="20"/>
          <w:szCs w:val="20"/>
          <w:color w:val="auto"/>
        </w:rPr>
      </w:pPr>
    </w:p>
    <w:tbl>
      <w:tblPr>
        <w:tblLayout w:type="fixed"/>
        <w:tblInd w:w="1380" w:type="dxa"/>
        <w:tblCellMar>
          <w:top w:w="0" w:type="dxa"/>
          <w:left w:w="0" w:type="dxa"/>
          <w:bottom w:w="0" w:type="dxa"/>
          <w:right w:w="0" w:type="dxa"/>
        </w:tblCellMar>
      </w:tblPr>
      <w:tr>
        <w:trPr>
          <w:trHeight w:val="158"/>
        </w:trPr>
        <w:tc>
          <w:tcPr>
            <w:tcW w:w="6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00" w:type="dxa"/>
            <w:vAlign w:val="bottom"/>
            <w:gridSpan w:val="5"/>
          </w:tcPr>
          <w:p>
            <w:pPr>
              <w:ind w:left="40"/>
              <w:spacing w:after="0"/>
              <w:rPr>
                <w:sz w:val="20"/>
                <w:szCs w:val="20"/>
                <w:color w:val="auto"/>
              </w:rPr>
            </w:pPr>
            <w:r>
              <w:rPr>
                <w:rFonts w:ascii="Arial" w:cs="Arial" w:eastAsia="Arial" w:hAnsi="Arial"/>
                <w:sz w:val="13"/>
                <w:szCs w:val="13"/>
                <w:b w:val="1"/>
                <w:bCs w:val="1"/>
                <w:color w:val="auto"/>
              </w:rPr>
              <w:t>Three Months Ended March 31,</w:t>
            </w:r>
          </w:p>
        </w:tc>
        <w:tc>
          <w:tcPr>
            <w:tcW w:w="0" w:type="dxa"/>
            <w:vAlign w:val="bottom"/>
          </w:tcPr>
          <w:p>
            <w:pPr>
              <w:spacing w:after="0"/>
              <w:rPr>
                <w:sz w:val="1"/>
                <w:szCs w:val="1"/>
                <w:color w:val="auto"/>
              </w:rPr>
            </w:pPr>
          </w:p>
        </w:tc>
      </w:tr>
      <w:tr>
        <w:trPr>
          <w:trHeight w:val="138"/>
        </w:trPr>
        <w:tc>
          <w:tcPr>
            <w:tcW w:w="64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ind w:left="120"/>
              <w:spacing w:after="0" w:line="138" w:lineRule="exact"/>
              <w:rPr>
                <w:sz w:val="20"/>
                <w:szCs w:val="20"/>
                <w:color w:val="auto"/>
              </w:rPr>
            </w:pPr>
            <w:r>
              <w:rPr>
                <w:rFonts w:ascii="Arial" w:cs="Arial" w:eastAsia="Arial" w:hAnsi="Arial"/>
                <w:sz w:val="13"/>
                <w:szCs w:val="13"/>
                <w:b w:val="1"/>
                <w:bCs w:val="1"/>
                <w:color w:val="auto"/>
              </w:rPr>
              <w:t>2012</w:t>
            </w:r>
          </w:p>
        </w:tc>
        <w:tc>
          <w:tcPr>
            <w:tcW w:w="5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36"/>
              <w:spacing w:after="0" w:line="138" w:lineRule="exact"/>
              <w:rPr>
                <w:sz w:val="20"/>
                <w:szCs w:val="20"/>
                <w:color w:val="auto"/>
              </w:rPr>
            </w:pPr>
            <w:r>
              <w:rPr>
                <w:rFonts w:ascii="Arial" w:cs="Arial" w:eastAsia="Arial" w:hAnsi="Arial"/>
                <w:sz w:val="13"/>
                <w:szCs w:val="13"/>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64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Revenues, net</w:t>
            </w: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7"/>
                <w:szCs w:val="17"/>
                <w:color w:val="auto"/>
                <w:w w:val="89"/>
              </w:rPr>
              <w:t>5,856</w:t>
            </w:r>
          </w:p>
        </w:tc>
        <w:tc>
          <w:tcPr>
            <w:tcW w:w="5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60" w:type="dxa"/>
            <w:vAlign w:val="bottom"/>
            <w:vMerge w:val="restart"/>
          </w:tcPr>
          <w:p>
            <w:pPr>
              <w:spacing w:after="0"/>
              <w:rPr>
                <w:sz w:val="20"/>
                <w:szCs w:val="20"/>
                <w:color w:val="auto"/>
              </w:rPr>
            </w:pPr>
            <w:r>
              <w:rPr>
                <w:rFonts w:ascii="Arial" w:cs="Arial" w:eastAsia="Arial" w:hAnsi="Arial"/>
                <w:sz w:val="17"/>
                <w:szCs w:val="17"/>
                <w:color w:val="auto"/>
              </w:rPr>
              <w:t>Operating expenses:</w:t>
            </w: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646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4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Technical and operating expenses: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460" w:type="dxa"/>
            <w:vAlign w:val="bottom"/>
          </w:tcPr>
          <w:p>
            <w:pPr>
              <w:ind w:left="420"/>
              <w:spacing w:after="0"/>
              <w:rPr>
                <w:sz w:val="20"/>
                <w:szCs w:val="20"/>
                <w:color w:val="auto"/>
              </w:rPr>
            </w:pPr>
            <w:r>
              <w:rPr>
                <w:rFonts w:ascii="Arial" w:cs="Arial" w:eastAsia="Arial" w:hAnsi="Arial"/>
                <w:sz w:val="17"/>
                <w:szCs w:val="17"/>
                <w:color w:val="auto"/>
              </w:rPr>
              <w:t>Other support functions</w:t>
            </w:r>
          </w:p>
        </w:tc>
        <w:tc>
          <w:tcPr>
            <w:tcW w:w="120" w:type="dxa"/>
            <w:vAlign w:val="bottom"/>
            <w:gridSpan w:val="2"/>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tcPr>
          <w:p>
            <w:pPr>
              <w:ind w:left="360"/>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25"/>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118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460" w:type="dxa"/>
            <w:vAlign w:val="bottom"/>
            <w:shd w:val="clear" w:color="auto" w:fill="CCEEFF"/>
          </w:tcPr>
          <w:p>
            <w:pPr>
              <w:ind w:left="420"/>
              <w:spacing w:after="0"/>
              <w:rPr>
                <w:sz w:val="20"/>
                <w:szCs w:val="20"/>
                <w:color w:val="auto"/>
              </w:rPr>
            </w:pPr>
            <w:r>
              <w:rPr>
                <w:rFonts w:ascii="Arial" w:cs="Arial" w:eastAsia="Arial" w:hAnsi="Arial"/>
                <w:sz w:val="17"/>
                <w:szCs w:val="17"/>
                <w:color w:val="auto"/>
              </w:rPr>
              <w:t>Health and welfare plans</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tcPr>
          <w:p>
            <w:pPr>
              <w:ind w:left="420"/>
              <w:spacing w:after="0"/>
              <w:rPr>
                <w:sz w:val="20"/>
                <w:szCs w:val="20"/>
                <w:color w:val="auto"/>
              </w:rPr>
            </w:pPr>
            <w:r>
              <w:rPr>
                <w:rFonts w:ascii="Arial" w:cs="Arial" w:eastAsia="Arial" w:hAnsi="Arial"/>
                <w:sz w:val="17"/>
                <w:szCs w:val="17"/>
                <w:color w:val="auto"/>
              </w:rPr>
              <w:t>Total technical and operating expenses</w:t>
            </w:r>
          </w:p>
        </w:tc>
        <w:tc>
          <w:tcPr>
            <w:tcW w:w="120" w:type="dxa"/>
            <w:vAlign w:val="bottom"/>
            <w:gridSpan w:val="2"/>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tcPr>
          <w:p>
            <w:pPr>
              <w:ind w:left="360"/>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25"/>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1,205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4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Selling, general and administrative expenses: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6460" w:type="dxa"/>
            <w:vAlign w:val="bottom"/>
          </w:tcPr>
          <w:p>
            <w:pPr>
              <w:ind w:left="420"/>
              <w:spacing w:after="0"/>
              <w:rPr>
                <w:sz w:val="20"/>
                <w:szCs w:val="20"/>
                <w:color w:val="auto"/>
              </w:rPr>
            </w:pPr>
            <w:r>
              <w:rPr>
                <w:rFonts w:ascii="Arial" w:cs="Arial" w:eastAsia="Arial" w:hAnsi="Arial"/>
                <w:sz w:val="17"/>
                <w:szCs w:val="17"/>
                <w:color w:val="auto"/>
              </w:rPr>
              <w:t>Corporate general and administrative costs, net</w:t>
            </w:r>
          </w:p>
        </w:tc>
        <w:tc>
          <w:tcPr>
            <w:tcW w:w="120" w:type="dxa"/>
            <w:vAlign w:val="bottom"/>
            <w:gridSpan w:val="2"/>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tcPr>
          <w:p>
            <w:pPr>
              <w:ind w:left="360"/>
              <w:spacing w:after="0"/>
              <w:rPr>
                <w:sz w:val="20"/>
                <w:szCs w:val="20"/>
                <w:color w:val="auto"/>
              </w:rPr>
            </w:pPr>
            <w:r>
              <w:rPr>
                <w:rFonts w:ascii="Arial" w:cs="Arial" w:eastAsia="Arial" w:hAnsi="Arial"/>
                <w:sz w:val="17"/>
                <w:szCs w:val="17"/>
                <w:color w:val="auto"/>
                <w:w w:val="84"/>
              </w:rPr>
              <w:t>858</w:t>
            </w:r>
          </w:p>
        </w:tc>
        <w:tc>
          <w:tcPr>
            <w:tcW w:w="700" w:type="dxa"/>
            <w:vAlign w:val="bottom"/>
            <w:gridSpan w:val="2"/>
          </w:tcPr>
          <w:p>
            <w:pPr>
              <w:jc w:val="right"/>
              <w:ind w:right="25"/>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8,001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460" w:type="dxa"/>
            <w:vAlign w:val="bottom"/>
            <w:shd w:val="clear" w:color="auto" w:fill="CCEEFF"/>
          </w:tcPr>
          <w:p>
            <w:pPr>
              <w:ind w:left="420"/>
              <w:spacing w:after="0"/>
              <w:rPr>
                <w:sz w:val="20"/>
                <w:szCs w:val="20"/>
                <w:color w:val="auto"/>
              </w:rPr>
            </w:pPr>
            <w:r>
              <w:rPr>
                <w:rFonts w:ascii="Arial" w:cs="Arial" w:eastAsia="Arial" w:hAnsi="Arial"/>
                <w:sz w:val="17"/>
                <w:szCs w:val="17"/>
                <w:color w:val="auto"/>
              </w:rPr>
              <w:t>Management fees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460" w:type="dxa"/>
            <w:vAlign w:val="bottom"/>
          </w:tcPr>
          <w:p>
            <w:pPr>
              <w:ind w:left="420"/>
              <w:spacing w:after="0"/>
              <w:rPr>
                <w:sz w:val="20"/>
                <w:szCs w:val="20"/>
                <w:color w:val="auto"/>
              </w:rPr>
            </w:pPr>
            <w:r>
              <w:rPr>
                <w:rFonts w:ascii="Arial" w:cs="Arial" w:eastAsia="Arial" w:hAnsi="Arial"/>
                <w:sz w:val="17"/>
                <w:szCs w:val="17"/>
                <w:color w:val="auto"/>
              </w:rPr>
              <w:t>Health and welfare plans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ind w:left="360"/>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1,040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460" w:type="dxa"/>
            <w:vAlign w:val="bottom"/>
            <w:shd w:val="clear" w:color="auto" w:fill="CCEEFF"/>
          </w:tcPr>
          <w:p>
            <w:pPr>
              <w:ind w:left="420"/>
              <w:spacing w:after="0"/>
              <w:rPr>
                <w:sz w:val="20"/>
                <w:szCs w:val="20"/>
                <w:color w:val="auto"/>
              </w:rPr>
            </w:pPr>
            <w:r>
              <w:rPr>
                <w:rFonts w:ascii="Arial" w:cs="Arial" w:eastAsia="Arial" w:hAnsi="Arial"/>
                <w:sz w:val="17"/>
                <w:szCs w:val="17"/>
                <w:color w:val="auto"/>
              </w:rPr>
              <w:t>Advertising expense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ind w:left="220"/>
              <w:spacing w:after="0"/>
              <w:rPr>
                <w:sz w:val="20"/>
                <w:szCs w:val="20"/>
                <w:color w:val="auto"/>
              </w:rPr>
            </w:pPr>
            <w:r>
              <w:rPr>
                <w:rFonts w:ascii="Arial" w:cs="Arial" w:eastAsia="Arial" w:hAnsi="Arial"/>
                <w:sz w:val="17"/>
                <w:szCs w:val="17"/>
                <w:color w:val="auto"/>
                <w:w w:val="89"/>
              </w:rPr>
              <w:t>1,263</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460" w:type="dxa"/>
            <w:vAlign w:val="bottom"/>
          </w:tcPr>
          <w:p>
            <w:pPr>
              <w:ind w:left="420"/>
              <w:spacing w:after="0"/>
              <w:rPr>
                <w:sz w:val="20"/>
                <w:szCs w:val="20"/>
                <w:color w:val="auto"/>
              </w:rPr>
            </w:pPr>
            <w:r>
              <w:rPr>
                <w:rFonts w:ascii="Arial" w:cs="Arial" w:eastAsia="Arial" w:hAnsi="Arial"/>
                <w:sz w:val="17"/>
                <w:szCs w:val="17"/>
                <w:color w:val="auto"/>
              </w:rPr>
              <w:t>Other support functions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ind w:left="360"/>
              <w:spacing w:after="0"/>
              <w:rPr>
                <w:sz w:val="20"/>
                <w:szCs w:val="20"/>
                <w:color w:val="auto"/>
              </w:rPr>
            </w:pPr>
            <w:r>
              <w:rPr>
                <w:rFonts w:ascii="Arial" w:cs="Arial" w:eastAsia="Arial" w:hAnsi="Arial"/>
                <w:sz w:val="17"/>
                <w:szCs w:val="17"/>
                <w:color w:val="auto"/>
                <w:w w:val="84"/>
              </w:rPr>
              <w:t>391</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460" w:type="dxa"/>
            <w:vAlign w:val="bottom"/>
            <w:shd w:val="clear" w:color="auto" w:fill="CCEEFF"/>
          </w:tcPr>
          <w:p>
            <w:pPr>
              <w:ind w:left="420"/>
              <w:spacing w:after="0"/>
              <w:rPr>
                <w:sz w:val="20"/>
                <w:szCs w:val="20"/>
                <w:color w:val="auto"/>
              </w:rPr>
            </w:pPr>
            <w:r>
              <w:rPr>
                <w:rFonts w:ascii="Arial" w:cs="Arial" w:eastAsia="Arial" w:hAnsi="Arial"/>
                <w:sz w:val="17"/>
                <w:szCs w:val="17"/>
                <w:color w:val="auto"/>
              </w:rPr>
              <w:t>Sales support and other functions, net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460" w:type="dxa"/>
            <w:vAlign w:val="bottom"/>
          </w:tcPr>
          <w:p>
            <w:pPr>
              <w:ind w:left="420"/>
              <w:spacing w:after="0"/>
              <w:rPr>
                <w:sz w:val="20"/>
                <w:szCs w:val="20"/>
                <w:color w:val="auto"/>
              </w:rPr>
            </w:pPr>
            <w:r>
              <w:rPr>
                <w:rFonts w:ascii="Arial" w:cs="Arial" w:eastAsia="Arial" w:hAnsi="Arial"/>
                <w:sz w:val="17"/>
                <w:szCs w:val="17"/>
                <w:color w:val="auto"/>
              </w:rPr>
              <w:t>Cablevision allocations of share-based compensation expense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ind w:left="360"/>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3,977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460" w:type="dxa"/>
            <w:vAlign w:val="bottom"/>
            <w:shd w:val="clear" w:color="auto" w:fill="CCEEFF"/>
          </w:tcPr>
          <w:p>
            <w:pPr>
              <w:ind w:left="420"/>
              <w:spacing w:after="0"/>
              <w:rPr>
                <w:sz w:val="20"/>
                <w:szCs w:val="20"/>
                <w:color w:val="auto"/>
              </w:rPr>
            </w:pPr>
            <w:r>
              <w:rPr>
                <w:rFonts w:ascii="Arial" w:cs="Arial" w:eastAsia="Arial" w:hAnsi="Arial"/>
                <w:sz w:val="17"/>
                <w:szCs w:val="17"/>
                <w:color w:val="auto"/>
              </w:rPr>
              <w:t>Cablevision allocations of long-term incentive plans expense</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tcPr>
          <w:p>
            <w:pPr>
              <w:ind w:left="420"/>
              <w:spacing w:after="0"/>
              <w:rPr>
                <w:sz w:val="20"/>
                <w:szCs w:val="20"/>
                <w:color w:val="auto"/>
              </w:rPr>
            </w:pPr>
            <w:r>
              <w:rPr>
                <w:rFonts w:ascii="Arial" w:cs="Arial" w:eastAsia="Arial" w:hAnsi="Arial"/>
                <w:sz w:val="17"/>
                <w:szCs w:val="17"/>
                <w:color w:val="auto"/>
              </w:rPr>
              <w:t>Total selling, general and administrative expenses</w:t>
            </w:r>
          </w:p>
        </w:tc>
        <w:tc>
          <w:tcPr>
            <w:tcW w:w="120" w:type="dxa"/>
            <w:vAlign w:val="bottom"/>
            <w:gridSpan w:val="2"/>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tcPr>
          <w:p>
            <w:pPr>
              <w:ind w:left="220"/>
              <w:spacing w:after="0"/>
              <w:rPr>
                <w:sz w:val="20"/>
                <w:szCs w:val="20"/>
                <w:color w:val="auto"/>
              </w:rPr>
            </w:pPr>
            <w:r>
              <w:rPr>
                <w:rFonts w:ascii="Arial" w:cs="Arial" w:eastAsia="Arial" w:hAnsi="Arial"/>
                <w:sz w:val="17"/>
                <w:szCs w:val="17"/>
                <w:color w:val="auto"/>
                <w:w w:val="89"/>
              </w:rPr>
              <w:t>2,512</w:t>
            </w:r>
          </w:p>
        </w:tc>
        <w:tc>
          <w:tcPr>
            <w:tcW w:w="700" w:type="dxa"/>
            <w:vAlign w:val="bottom"/>
            <w:gridSpan w:val="2"/>
          </w:tcPr>
          <w:p>
            <w:pPr>
              <w:jc w:val="right"/>
              <w:ind w:right="25"/>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24,775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3" w:lineRule="exact"/>
        <w:rPr>
          <w:sz w:val="20"/>
          <w:szCs w:val="20"/>
          <w:color w:val="auto"/>
        </w:rPr>
      </w:pPr>
    </w:p>
    <w:p>
      <w:pPr>
        <w:ind w:firstLine="457"/>
        <w:spacing w:after="0" w:line="284" w:lineRule="auto"/>
        <w:rPr>
          <w:sz w:val="20"/>
          <w:szCs w:val="20"/>
          <w:color w:val="auto"/>
        </w:rPr>
      </w:pPr>
      <w:r>
        <w:rPr>
          <w:rFonts w:ascii="Arial" w:cs="Arial" w:eastAsia="Arial" w:hAnsi="Arial"/>
          <w:sz w:val="17"/>
          <w:szCs w:val="17"/>
          <w:color w:val="auto"/>
        </w:rPr>
        <w:t>The following is a summary of the revenues and expenses included in the Company’s consolidated statements of income related to transactions with or charges from MSG:</w:t>
      </w:r>
    </w:p>
    <w:p>
      <w:pPr>
        <w:spacing w:after="0" w:line="152" w:lineRule="exact"/>
        <w:rPr>
          <w:sz w:val="20"/>
          <w:szCs w:val="20"/>
          <w:color w:val="auto"/>
        </w:rPr>
      </w:pPr>
    </w:p>
    <w:tbl>
      <w:tblPr>
        <w:tblLayout w:type="fixed"/>
        <w:tblInd w:w="1380" w:type="dxa"/>
        <w:tblCellMar>
          <w:top w:w="0" w:type="dxa"/>
          <w:left w:w="0" w:type="dxa"/>
          <w:bottom w:w="0" w:type="dxa"/>
          <w:right w:w="0" w:type="dxa"/>
        </w:tblCellMar>
      </w:tblPr>
      <w:tr>
        <w:trPr>
          <w:trHeight w:val="158"/>
        </w:trPr>
        <w:tc>
          <w:tcPr>
            <w:tcW w:w="6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40" w:type="dxa"/>
            <w:vAlign w:val="bottom"/>
            <w:gridSpan w:val="6"/>
          </w:tcPr>
          <w:p>
            <w:pPr>
              <w:jc w:val="right"/>
              <w:ind w:right="360"/>
              <w:spacing w:after="0"/>
              <w:rPr>
                <w:sz w:val="20"/>
                <w:szCs w:val="20"/>
                <w:color w:val="auto"/>
              </w:rPr>
            </w:pPr>
            <w:r>
              <w:rPr>
                <w:rFonts w:ascii="Arial" w:cs="Arial" w:eastAsia="Arial" w:hAnsi="Arial"/>
                <w:sz w:val="13"/>
                <w:szCs w:val="13"/>
                <w:b w:val="1"/>
                <w:bCs w:val="1"/>
                <w:color w:val="auto"/>
                <w:w w:val="96"/>
              </w:rPr>
              <w:t>Three Months Ended March 31,</w:t>
            </w:r>
          </w:p>
        </w:tc>
        <w:tc>
          <w:tcPr>
            <w:tcW w:w="0" w:type="dxa"/>
            <w:vAlign w:val="bottom"/>
          </w:tcPr>
          <w:p>
            <w:pPr>
              <w:spacing w:after="0"/>
              <w:rPr>
                <w:sz w:val="1"/>
                <w:szCs w:val="1"/>
                <w:color w:val="auto"/>
              </w:rPr>
            </w:pPr>
          </w:p>
        </w:tc>
      </w:tr>
      <w:tr>
        <w:trPr>
          <w:trHeight w:val="138"/>
        </w:trPr>
        <w:tc>
          <w:tcPr>
            <w:tcW w:w="62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81"/>
              <w:spacing w:after="0" w:line="138" w:lineRule="exact"/>
              <w:rPr>
                <w:sz w:val="20"/>
                <w:szCs w:val="20"/>
                <w:color w:val="auto"/>
              </w:rPr>
            </w:pPr>
            <w:r>
              <w:rPr>
                <w:rFonts w:ascii="Arial" w:cs="Arial" w:eastAsia="Arial" w:hAnsi="Arial"/>
                <w:sz w:val="13"/>
                <w:szCs w:val="13"/>
                <w:b w:val="1"/>
                <w:bCs w:val="1"/>
                <w:color w:val="auto"/>
              </w:rPr>
              <w:t>2012</w:t>
            </w:r>
          </w:p>
        </w:tc>
        <w:tc>
          <w:tcPr>
            <w:tcW w:w="3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98"/>
              <w:spacing w:after="0" w:line="138" w:lineRule="exact"/>
              <w:rPr>
                <w:sz w:val="20"/>
                <w:szCs w:val="20"/>
                <w:color w:val="auto"/>
              </w:rPr>
            </w:pPr>
            <w:r>
              <w:rPr>
                <w:rFonts w:ascii="Arial" w:cs="Arial" w:eastAsia="Arial" w:hAnsi="Arial"/>
                <w:sz w:val="13"/>
                <w:szCs w:val="13"/>
                <w:b w:val="1"/>
                <w:bCs w:val="1"/>
                <w:color w:val="auto"/>
              </w:rPr>
              <w:t>2011</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62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Revenues, net</w:t>
            </w: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2,217</w:t>
            </w: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2,240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spacing w:after="0"/>
              <w:rPr>
                <w:sz w:val="20"/>
                <w:szCs w:val="20"/>
                <w:color w:val="auto"/>
              </w:rPr>
            </w:pPr>
            <w:r>
              <w:rPr>
                <w:rFonts w:ascii="Arial" w:cs="Arial" w:eastAsia="Arial" w:hAnsi="Arial"/>
                <w:sz w:val="17"/>
                <w:szCs w:val="17"/>
                <w:color w:val="auto"/>
              </w:rPr>
              <w:t>Operating expenses:</w:t>
            </w: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628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2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Selling, general and administrative expenses: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280" w:type="dxa"/>
            <w:vAlign w:val="bottom"/>
          </w:tcPr>
          <w:p>
            <w:pPr>
              <w:ind w:left="420"/>
              <w:spacing w:after="0"/>
              <w:rPr>
                <w:sz w:val="20"/>
                <w:szCs w:val="20"/>
                <w:color w:val="auto"/>
              </w:rPr>
            </w:pPr>
            <w:r>
              <w:rPr>
                <w:rFonts w:ascii="Arial" w:cs="Arial" w:eastAsia="Arial" w:hAnsi="Arial"/>
                <w:sz w:val="17"/>
                <w:szCs w:val="17"/>
                <w:color w:val="auto"/>
              </w:rPr>
              <w:t>Corporate general and administrative and other credits</w:t>
            </w:r>
          </w:p>
        </w:tc>
        <w:tc>
          <w:tcPr>
            <w:tcW w:w="160" w:type="dxa"/>
            <w:vAlign w:val="bottom"/>
            <w:gridSpan w:val="2"/>
          </w:tcPr>
          <w:p>
            <w:pPr>
              <w:jc w:val="right"/>
              <w:ind w:right="32"/>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320"/>
              <w:spacing w:after="0"/>
              <w:rPr>
                <w:sz w:val="20"/>
                <w:szCs w:val="20"/>
                <w:color w:val="auto"/>
              </w:rPr>
            </w:pPr>
            <w:r>
              <w:rPr>
                <w:rFonts w:ascii="Arial" w:cs="Arial" w:eastAsia="Arial" w:hAnsi="Arial"/>
                <w:sz w:val="17"/>
                <w:szCs w:val="17"/>
                <w:color w:val="auto"/>
              </w:rPr>
              <w:t>(516)</w:t>
            </w:r>
          </w:p>
        </w:tc>
        <w:tc>
          <w:tcPr>
            <w:tcW w:w="480" w:type="dxa"/>
            <w:vAlign w:val="bottom"/>
            <w:gridSpan w:val="2"/>
          </w:tcPr>
          <w:p>
            <w:pPr>
              <w:jc w:val="right"/>
              <w:ind w:right="5"/>
              <w:spacing w:after="0"/>
              <w:rPr>
                <w:sz w:val="20"/>
                <w:szCs w:val="20"/>
                <w:color w:val="auto"/>
              </w:rPr>
            </w:pPr>
            <w:r>
              <w:rPr>
                <w:rFonts w:ascii="Arial" w:cs="Arial" w:eastAsia="Arial" w:hAnsi="Arial"/>
                <w:sz w:val="17"/>
                <w:szCs w:val="17"/>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7"/>
                <w:szCs w:val="17"/>
                <w:color w:val="auto"/>
              </w:rPr>
              <w:t>(456)</w:t>
            </w:r>
          </w:p>
        </w:tc>
        <w:tc>
          <w:tcPr>
            <w:tcW w:w="0" w:type="dxa"/>
            <w:vAlign w:val="bottom"/>
          </w:tcPr>
          <w:p>
            <w:pPr>
              <w:spacing w:after="0"/>
              <w:rPr>
                <w:sz w:val="1"/>
                <w:szCs w:val="1"/>
                <w:color w:val="auto"/>
              </w:rPr>
            </w:pPr>
          </w:p>
        </w:tc>
      </w:tr>
      <w:tr>
        <w:trPr>
          <w:trHeight w:val="211"/>
        </w:trPr>
        <w:tc>
          <w:tcPr>
            <w:tcW w:w="62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Sales support and other functions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20"/>
        </w:trPr>
        <w:tc>
          <w:tcPr>
            <w:tcW w:w="6280" w:type="dxa"/>
            <w:vAlign w:val="bottom"/>
            <w:vMerge w:val="restart"/>
          </w:tcPr>
          <w:p>
            <w:pPr>
              <w:ind w:left="420"/>
              <w:spacing w:after="0"/>
              <w:rPr>
                <w:sz w:val="20"/>
                <w:szCs w:val="20"/>
                <w:color w:val="auto"/>
              </w:rPr>
            </w:pPr>
            <w:r>
              <w:rPr>
                <w:rFonts w:ascii="Arial" w:cs="Arial" w:eastAsia="Arial" w:hAnsi="Arial"/>
                <w:sz w:val="17"/>
                <w:szCs w:val="17"/>
                <w:color w:val="auto"/>
              </w:rPr>
              <w:t>Total selling, general and administrative credits</w:t>
            </w: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280" w:type="dxa"/>
            <w:vAlign w:val="bottom"/>
            <w:vMerge w:val="continue"/>
          </w:tcPr>
          <w:p>
            <w:pPr>
              <w:spacing w:after="0"/>
              <w:rPr>
                <w:sz w:val="18"/>
                <w:szCs w:val="18"/>
                <w:color w:val="auto"/>
              </w:rPr>
            </w:pPr>
          </w:p>
        </w:tc>
        <w:tc>
          <w:tcPr>
            <w:tcW w:w="160" w:type="dxa"/>
            <w:vAlign w:val="bottom"/>
            <w:gridSpan w:val="2"/>
          </w:tcPr>
          <w:p>
            <w:pPr>
              <w:jc w:val="right"/>
              <w:ind w:right="32"/>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320"/>
              <w:spacing w:after="0"/>
              <w:rPr>
                <w:sz w:val="20"/>
                <w:szCs w:val="20"/>
                <w:color w:val="auto"/>
              </w:rPr>
            </w:pPr>
            <w:r>
              <w:rPr>
                <w:rFonts w:ascii="Arial" w:cs="Arial" w:eastAsia="Arial" w:hAnsi="Arial"/>
                <w:sz w:val="17"/>
                <w:szCs w:val="17"/>
                <w:color w:val="auto"/>
              </w:rPr>
              <w:t>(516)</w:t>
            </w:r>
          </w:p>
        </w:tc>
        <w:tc>
          <w:tcPr>
            <w:tcW w:w="480" w:type="dxa"/>
            <w:vAlign w:val="bottom"/>
            <w:gridSpan w:val="2"/>
          </w:tcPr>
          <w:p>
            <w:pPr>
              <w:jc w:val="right"/>
              <w:ind w:right="5"/>
              <w:spacing w:after="0"/>
              <w:rPr>
                <w:sz w:val="20"/>
                <w:szCs w:val="20"/>
                <w:color w:val="auto"/>
              </w:rPr>
            </w:pPr>
            <w:r>
              <w:rPr>
                <w:rFonts w:ascii="Arial" w:cs="Arial" w:eastAsia="Arial" w:hAnsi="Arial"/>
                <w:sz w:val="17"/>
                <w:szCs w:val="17"/>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7"/>
                <w:szCs w:val="17"/>
                <w:color w:val="auto"/>
              </w:rPr>
              <w:t>(484)</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Expenses</w:t>
      </w:r>
    </w:p>
    <w:p>
      <w:pPr>
        <w:spacing w:after="0" w:line="94"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Share-based Compensation and Long-Term Incentive Plans Expense</w:t>
      </w:r>
    </w:p>
    <w:p>
      <w:pPr>
        <w:spacing w:after="0" w:line="94" w:lineRule="exact"/>
        <w:rPr>
          <w:sz w:val="20"/>
          <w:szCs w:val="20"/>
          <w:color w:val="auto"/>
        </w:rPr>
      </w:pPr>
    </w:p>
    <w:p>
      <w:pPr>
        <w:ind w:right="140" w:firstLine="457"/>
        <w:spacing w:after="0" w:line="284" w:lineRule="auto"/>
        <w:rPr>
          <w:sz w:val="20"/>
          <w:szCs w:val="20"/>
          <w:color w:val="auto"/>
        </w:rPr>
      </w:pPr>
      <w:r>
        <w:rPr>
          <w:rFonts w:ascii="Arial" w:cs="Arial" w:eastAsia="Arial" w:hAnsi="Arial"/>
          <w:sz w:val="17"/>
          <w:szCs w:val="17"/>
          <w:color w:val="auto"/>
        </w:rPr>
        <w:t>Cablevision charged the Company through the Distribution date its proportionate share of expenses or benefits related to Cablevision’s employee stock plans and Cablevision’s long-term incentive plans. Such amounts</w:t>
      </w:r>
    </w:p>
    <w:p>
      <w:pPr>
        <w:spacing w:after="0" w:line="10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1360"/>
          </w:cols>
          <w:pgMar w:left="240" w:top="451" w:right="299" w:bottom="1440" w:gutter="0" w:footer="0" w:header="0"/>
        </w:sectPr>
      </w:pPr>
    </w:p>
    <w:bookmarkStart w:id="19" w:name="page20"/>
    <w:bookmarkEnd w:id="1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2340" cy="3810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AMC NETWORKS INC.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NOTES TO CONSOLIDATED FINANCIAL STATEMENTS - (Continued)</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(Dollars in thousands, except per share amounts)</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(Unaudited)</w:t>
      </w:r>
    </w:p>
    <w:p>
      <w:pPr>
        <w:spacing w:after="0" w:line="154" w:lineRule="exact"/>
        <w:rPr>
          <w:sz w:val="20"/>
          <w:szCs w:val="20"/>
          <w:color w:val="auto"/>
        </w:rPr>
      </w:pPr>
    </w:p>
    <w:p>
      <w:pPr>
        <w:ind w:right="320"/>
        <w:spacing w:after="0" w:line="271" w:lineRule="auto"/>
        <w:rPr>
          <w:sz w:val="20"/>
          <w:szCs w:val="20"/>
          <w:color w:val="auto"/>
        </w:rPr>
      </w:pPr>
      <w:r>
        <w:rPr>
          <w:rFonts w:ascii="Arial" w:cs="Arial" w:eastAsia="Arial" w:hAnsi="Arial"/>
          <w:sz w:val="17"/>
          <w:szCs w:val="17"/>
          <w:color w:val="auto"/>
        </w:rPr>
        <w:t>are included in selling, general and administrative expenses in the consolidated statement of income for the three months ended March 31, 2011. The 2009 Cablevision three-year long-term incentive plan performance awards to certain executive officers and other members of the Company were paid in cash in March 2012.</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Transition Services Agreement</w:t>
      </w:r>
    </w:p>
    <w:p>
      <w:pPr>
        <w:spacing w:after="0" w:line="94" w:lineRule="exact"/>
        <w:rPr>
          <w:sz w:val="20"/>
          <w:szCs w:val="20"/>
          <w:color w:val="auto"/>
        </w:rPr>
      </w:pPr>
    </w:p>
    <w:p>
      <w:pPr>
        <w:ind w:right="120" w:firstLine="457"/>
        <w:spacing w:after="0" w:line="265" w:lineRule="auto"/>
        <w:rPr>
          <w:sz w:val="20"/>
          <w:szCs w:val="20"/>
          <w:color w:val="auto"/>
        </w:rPr>
      </w:pPr>
      <w:r>
        <w:rPr>
          <w:rFonts w:ascii="Arial" w:cs="Arial" w:eastAsia="Arial" w:hAnsi="Arial"/>
          <w:sz w:val="17"/>
          <w:szCs w:val="17"/>
          <w:color w:val="auto"/>
        </w:rPr>
        <w:t>In connection with the Distribution, Cablevision and AMC Networks entered into a Transition Services Agreement under which, in exchange for the fees specified in such agreement, Cablevision agreed to provide transition services with regard to such areas as accounting, information systems, risk management and employee services, compensation and benefits. Under the Transition Services Agreement, AMC Networks also provides certain services to Cablevision and to MSG on behalf of Cablevision. The Company incurred net fees of $843 under the Transition Services Agreement for the three months ended March 31, 2012, which were recorded as a charge to selling, general and administrative expenses.</w:t>
      </w:r>
    </w:p>
    <w:p>
      <w:pPr>
        <w:spacing w:after="0" w:line="245" w:lineRule="exact"/>
        <w:rPr>
          <w:sz w:val="20"/>
          <w:szCs w:val="20"/>
          <w:color w:val="auto"/>
        </w:rPr>
      </w:pPr>
    </w:p>
    <w:p>
      <w:pPr>
        <w:spacing w:after="0"/>
        <w:tabs>
          <w:tab w:leader="none" w:pos="1020" w:val="left"/>
        </w:tabs>
        <w:rPr>
          <w:sz w:val="20"/>
          <w:szCs w:val="20"/>
          <w:color w:val="auto"/>
        </w:rPr>
      </w:pPr>
      <w:r>
        <w:rPr>
          <w:rFonts w:ascii="Arial" w:cs="Arial" w:eastAsia="Arial" w:hAnsi="Arial"/>
          <w:sz w:val="17"/>
          <w:szCs w:val="17"/>
          <w:b w:val="1"/>
          <w:bCs w:val="1"/>
          <w:color w:val="auto"/>
        </w:rPr>
        <w:t>Note 12.</w:t>
      </w:r>
      <w:r>
        <w:rPr>
          <w:sz w:val="20"/>
          <w:szCs w:val="20"/>
          <w:color w:val="auto"/>
        </w:rPr>
        <w:tab/>
      </w:r>
      <w:r>
        <w:rPr>
          <w:rFonts w:ascii="Arial" w:cs="Arial" w:eastAsia="Arial" w:hAnsi="Arial"/>
          <w:sz w:val="15"/>
          <w:szCs w:val="15"/>
          <w:b w:val="1"/>
          <w:bCs w:val="1"/>
          <w:color w:val="auto"/>
        </w:rPr>
        <w:t>Cash Flows</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Company’s non-cash investing and financing activities and other supplemental data were as follows:</w:t>
      </w:r>
    </w:p>
    <w:p>
      <w:pPr>
        <w:spacing w:after="0" w:line="208" w:lineRule="exact"/>
        <w:rPr>
          <w:sz w:val="20"/>
          <w:szCs w:val="20"/>
          <w:color w:val="auto"/>
        </w:rPr>
      </w:pPr>
    </w:p>
    <w:tbl>
      <w:tblPr>
        <w:tblLayout w:type="fixed"/>
        <w:tblInd w:w="1380" w:type="dxa"/>
        <w:tblCellMar>
          <w:top w:w="0" w:type="dxa"/>
          <w:left w:w="0" w:type="dxa"/>
          <w:bottom w:w="0" w:type="dxa"/>
          <w:right w:w="0" w:type="dxa"/>
        </w:tblCellMar>
      </w:tblPr>
      <w:tr>
        <w:trPr>
          <w:trHeight w:val="158"/>
        </w:trPr>
        <w:tc>
          <w:tcPr>
            <w:tcW w:w="59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20" w:type="dxa"/>
            <w:vAlign w:val="bottom"/>
            <w:gridSpan w:val="5"/>
          </w:tcPr>
          <w:p>
            <w:pPr>
              <w:jc w:val="right"/>
              <w:ind w:right="340"/>
              <w:spacing w:after="0"/>
              <w:rPr>
                <w:sz w:val="20"/>
                <w:szCs w:val="20"/>
                <w:color w:val="auto"/>
              </w:rPr>
            </w:pPr>
            <w:r>
              <w:rPr>
                <w:rFonts w:ascii="Arial" w:cs="Arial" w:eastAsia="Arial" w:hAnsi="Arial"/>
                <w:sz w:val="13"/>
                <w:szCs w:val="13"/>
                <w:b w:val="1"/>
                <w:bCs w:val="1"/>
                <w:color w:val="auto"/>
                <w:w w:val="96"/>
              </w:rPr>
              <w:t>Three Months Ended March 31,</w:t>
            </w:r>
          </w:p>
        </w:tc>
      </w:tr>
      <w:tr>
        <w:trPr>
          <w:trHeight w:val="138"/>
        </w:trPr>
        <w:tc>
          <w:tcPr>
            <w:tcW w:w="592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9"/>
              <w:spacing w:after="0" w:line="138" w:lineRule="exact"/>
              <w:rPr>
                <w:sz w:val="20"/>
                <w:szCs w:val="20"/>
                <w:color w:val="auto"/>
              </w:rPr>
            </w:pPr>
            <w:r>
              <w:rPr>
                <w:rFonts w:ascii="Arial" w:cs="Arial" w:eastAsia="Arial" w:hAnsi="Arial"/>
                <w:sz w:val="13"/>
                <w:szCs w:val="13"/>
                <w:b w:val="1"/>
                <w:bCs w:val="1"/>
                <w:color w:val="auto"/>
              </w:rPr>
              <w:t>2012</w:t>
            </w:r>
          </w:p>
        </w:tc>
        <w:tc>
          <w:tcPr>
            <w:tcW w:w="6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7"/>
              <w:spacing w:after="0" w:line="138" w:lineRule="exact"/>
              <w:rPr>
                <w:sz w:val="20"/>
                <w:szCs w:val="20"/>
                <w:color w:val="auto"/>
              </w:rPr>
            </w:pPr>
            <w:r>
              <w:rPr>
                <w:rFonts w:ascii="Arial" w:cs="Arial" w:eastAsia="Arial" w:hAnsi="Arial"/>
                <w:sz w:val="13"/>
                <w:szCs w:val="13"/>
                <w:b w:val="1"/>
                <w:bCs w:val="1"/>
                <w:color w:val="auto"/>
              </w:rPr>
              <w:t>2011</w:t>
            </w:r>
          </w:p>
        </w:tc>
        <w:tc>
          <w:tcPr>
            <w:tcW w:w="120" w:type="dxa"/>
            <w:vAlign w:val="bottom"/>
            <w:tcBorders>
              <w:bottom w:val="single" w:sz="8" w:color="CCEEFF"/>
            </w:tcBorders>
          </w:tcPr>
          <w:p>
            <w:pPr>
              <w:spacing w:after="0"/>
              <w:rPr>
                <w:sz w:val="12"/>
                <w:szCs w:val="12"/>
                <w:color w:val="auto"/>
              </w:rPr>
            </w:pPr>
          </w:p>
        </w:tc>
      </w:tr>
      <w:tr>
        <w:trPr>
          <w:trHeight w:val="191"/>
        </w:trPr>
        <w:tc>
          <w:tcPr>
            <w:tcW w:w="5920" w:type="dxa"/>
            <w:vAlign w:val="bottom"/>
            <w:shd w:val="clear" w:color="auto" w:fill="CCEEFF"/>
          </w:tcPr>
          <w:p>
            <w:pPr>
              <w:spacing w:after="0" w:line="191" w:lineRule="exact"/>
              <w:rPr>
                <w:sz w:val="20"/>
                <w:szCs w:val="20"/>
                <w:color w:val="auto"/>
              </w:rPr>
            </w:pPr>
            <w:r>
              <w:rPr>
                <w:rFonts w:ascii="Arial" w:cs="Arial" w:eastAsia="Arial" w:hAnsi="Arial"/>
                <w:sz w:val="17"/>
                <w:szCs w:val="17"/>
                <w:color w:val="auto"/>
              </w:rPr>
              <w:t>Non-Cash Investing and Financing Activities:</w:t>
            </w:r>
          </w:p>
        </w:tc>
        <w:tc>
          <w:tcPr>
            <w:tcW w:w="4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11"/>
        </w:trPr>
        <w:tc>
          <w:tcPr>
            <w:tcW w:w="5920" w:type="dxa"/>
            <w:vAlign w:val="bottom"/>
          </w:tcPr>
          <w:p>
            <w:pPr>
              <w:spacing w:after="0"/>
              <w:rPr>
                <w:sz w:val="20"/>
                <w:szCs w:val="20"/>
                <w:color w:val="auto"/>
              </w:rPr>
            </w:pPr>
            <w:r>
              <w:rPr>
                <w:rFonts w:ascii="Arial" w:cs="Arial" w:eastAsia="Arial" w:hAnsi="Arial"/>
                <w:sz w:val="17"/>
                <w:szCs w:val="17"/>
                <w:i w:val="1"/>
                <w:iCs w:val="1"/>
                <w:color w:val="auto"/>
              </w:rPr>
              <w:t>Continuing Operations:</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2"/>
        </w:trPr>
        <w:tc>
          <w:tcPr>
            <w:tcW w:w="5920" w:type="dxa"/>
            <w:vAlign w:val="bottom"/>
            <w:shd w:val="clear" w:color="auto" w:fill="CCEEFF"/>
          </w:tcPr>
          <w:p>
            <w:pPr>
              <w:ind w:left="420"/>
              <w:spacing w:after="0"/>
              <w:rPr>
                <w:sz w:val="20"/>
                <w:szCs w:val="20"/>
                <w:color w:val="auto"/>
              </w:rPr>
            </w:pPr>
            <w:r>
              <w:rPr>
                <w:rFonts w:ascii="Arial" w:cs="Arial" w:eastAsia="Arial" w:hAnsi="Arial"/>
                <w:sz w:val="17"/>
                <w:szCs w:val="17"/>
                <w:color w:val="auto"/>
              </w:rPr>
              <w:t>Deemed capital contributions related to the utilization of Cablevision tax</w:t>
            </w: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9"/>
        </w:trPr>
        <w:tc>
          <w:tcPr>
            <w:tcW w:w="5920" w:type="dxa"/>
            <w:vAlign w:val="bottom"/>
            <w:shd w:val="clear" w:color="auto" w:fill="CCEEFF"/>
          </w:tcPr>
          <w:p>
            <w:pPr>
              <w:ind w:left="640"/>
              <w:spacing w:after="0"/>
              <w:rPr>
                <w:sz w:val="20"/>
                <w:szCs w:val="20"/>
                <w:color w:val="auto"/>
              </w:rPr>
            </w:pPr>
            <w:r>
              <w:rPr>
                <w:rFonts w:ascii="Arial" w:cs="Arial" w:eastAsia="Arial" w:hAnsi="Arial"/>
                <w:sz w:val="17"/>
                <w:szCs w:val="17"/>
                <w:color w:val="auto"/>
              </w:rPr>
              <w:t>losses</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19,075</w:t>
            </w:r>
          </w:p>
        </w:tc>
        <w:tc>
          <w:tcPr>
            <w:tcW w:w="120" w:type="dxa"/>
            <w:vAlign w:val="bottom"/>
            <w:shd w:val="clear" w:color="auto" w:fill="CCEEFF"/>
          </w:tcPr>
          <w:p>
            <w:pPr>
              <w:spacing w:after="0"/>
              <w:rPr>
                <w:sz w:val="19"/>
                <w:szCs w:val="19"/>
                <w:color w:val="auto"/>
              </w:rPr>
            </w:pPr>
          </w:p>
        </w:tc>
      </w:tr>
      <w:tr>
        <w:trPr>
          <w:trHeight w:val="202"/>
        </w:trPr>
        <w:tc>
          <w:tcPr>
            <w:tcW w:w="5920" w:type="dxa"/>
            <w:vAlign w:val="bottom"/>
          </w:tcPr>
          <w:p>
            <w:pPr>
              <w:ind w:left="420"/>
              <w:spacing w:after="0"/>
              <w:rPr>
                <w:sz w:val="20"/>
                <w:szCs w:val="20"/>
                <w:color w:val="auto"/>
              </w:rPr>
            </w:pPr>
            <w:r>
              <w:rPr>
                <w:rFonts w:ascii="Arial" w:cs="Arial" w:eastAsia="Arial" w:hAnsi="Arial"/>
                <w:sz w:val="17"/>
                <w:szCs w:val="17"/>
                <w:color w:val="auto"/>
              </w:rPr>
              <w:t>Capital distribution for the transfer of a promissory note receivable to</w:t>
            </w: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8"/>
        </w:trPr>
        <w:tc>
          <w:tcPr>
            <w:tcW w:w="5920" w:type="dxa"/>
            <w:vAlign w:val="bottom"/>
          </w:tcPr>
          <w:p>
            <w:pPr>
              <w:ind w:left="640"/>
              <w:spacing w:after="0"/>
              <w:rPr>
                <w:sz w:val="20"/>
                <w:szCs w:val="20"/>
                <w:color w:val="auto"/>
              </w:rPr>
            </w:pPr>
            <w:r>
              <w:rPr>
                <w:rFonts w:ascii="Arial" w:cs="Arial" w:eastAsia="Arial" w:hAnsi="Arial"/>
                <w:sz w:val="17"/>
                <w:szCs w:val="17"/>
                <w:color w:val="auto"/>
              </w:rPr>
              <w:t>Cablevision (see Promissory Note discussion below)</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7"/>
                <w:szCs w:val="17"/>
                <w:color w:val="auto"/>
              </w:rPr>
              <w:t>(17,113)</w:t>
            </w:r>
          </w:p>
        </w:tc>
      </w:tr>
      <w:tr>
        <w:trPr>
          <w:trHeight w:val="204"/>
        </w:trPr>
        <w:tc>
          <w:tcPr>
            <w:tcW w:w="5920" w:type="dxa"/>
            <w:vAlign w:val="bottom"/>
            <w:shd w:val="clear" w:color="auto" w:fill="CCEEFF"/>
          </w:tcPr>
          <w:p>
            <w:pPr>
              <w:ind w:left="420"/>
              <w:spacing w:after="0"/>
              <w:rPr>
                <w:sz w:val="20"/>
                <w:szCs w:val="20"/>
                <w:color w:val="auto"/>
              </w:rPr>
            </w:pPr>
            <w:r>
              <w:rPr>
                <w:rFonts w:ascii="Arial" w:cs="Arial" w:eastAsia="Arial" w:hAnsi="Arial"/>
                <w:sz w:val="17"/>
                <w:szCs w:val="17"/>
                <w:color w:val="auto"/>
                <w:w w:val="98"/>
              </w:rPr>
              <w:t>Deemed capital contribution related to the allocation of Cablevision share-</w:t>
            </w: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9"/>
        </w:trPr>
        <w:tc>
          <w:tcPr>
            <w:tcW w:w="5920" w:type="dxa"/>
            <w:vAlign w:val="bottom"/>
            <w:shd w:val="clear" w:color="auto" w:fill="CCEEFF"/>
          </w:tcPr>
          <w:p>
            <w:pPr>
              <w:ind w:left="640"/>
              <w:spacing w:after="0"/>
              <w:rPr>
                <w:sz w:val="20"/>
                <w:szCs w:val="20"/>
                <w:color w:val="auto"/>
              </w:rPr>
            </w:pPr>
            <w:r>
              <w:rPr>
                <w:rFonts w:ascii="Arial" w:cs="Arial" w:eastAsia="Arial" w:hAnsi="Arial"/>
                <w:sz w:val="17"/>
                <w:szCs w:val="17"/>
                <w:color w:val="auto"/>
              </w:rPr>
              <w:t>based compensation expense</w:t>
            </w:r>
          </w:p>
        </w:tc>
        <w:tc>
          <w:tcPr>
            <w:tcW w:w="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3,931</w:t>
            </w:r>
          </w:p>
        </w:tc>
        <w:tc>
          <w:tcPr>
            <w:tcW w:w="120" w:type="dxa"/>
            <w:vAlign w:val="bottom"/>
            <w:shd w:val="clear" w:color="auto" w:fill="CCEEFF"/>
          </w:tcPr>
          <w:p>
            <w:pPr>
              <w:spacing w:after="0"/>
              <w:rPr>
                <w:sz w:val="19"/>
                <w:szCs w:val="19"/>
                <w:color w:val="auto"/>
              </w:rPr>
            </w:pPr>
          </w:p>
        </w:tc>
      </w:tr>
      <w:tr>
        <w:trPr>
          <w:trHeight w:val="211"/>
        </w:trPr>
        <w:tc>
          <w:tcPr>
            <w:tcW w:w="5920" w:type="dxa"/>
            <w:vAlign w:val="bottom"/>
          </w:tcPr>
          <w:p>
            <w:pPr>
              <w:ind w:left="420"/>
              <w:spacing w:after="0"/>
              <w:rPr>
                <w:sz w:val="20"/>
                <w:szCs w:val="20"/>
                <w:color w:val="auto"/>
              </w:rPr>
            </w:pPr>
            <w:r>
              <w:rPr>
                <w:rFonts w:ascii="Arial" w:cs="Arial" w:eastAsia="Arial" w:hAnsi="Arial"/>
                <w:sz w:val="17"/>
                <w:szCs w:val="17"/>
                <w:color w:val="auto"/>
              </w:rPr>
              <w:t>Increase in capital lease obligations and related assets</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1,473</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39</w:t>
            </w:r>
          </w:p>
        </w:tc>
        <w:tc>
          <w:tcPr>
            <w:tcW w:w="120" w:type="dxa"/>
            <w:vAlign w:val="bottom"/>
          </w:tcPr>
          <w:p>
            <w:pPr>
              <w:spacing w:after="0"/>
              <w:rPr>
                <w:sz w:val="18"/>
                <w:szCs w:val="18"/>
                <w:color w:val="auto"/>
              </w:rPr>
            </w:pPr>
          </w:p>
        </w:tc>
      </w:tr>
      <w:tr>
        <w:trPr>
          <w:trHeight w:val="211"/>
        </w:trPr>
        <w:tc>
          <w:tcPr>
            <w:tcW w:w="5920" w:type="dxa"/>
            <w:vAlign w:val="bottom"/>
            <w:shd w:val="clear" w:color="auto" w:fill="CCEEFF"/>
          </w:tcPr>
          <w:p>
            <w:pPr>
              <w:spacing w:after="0"/>
              <w:rPr>
                <w:sz w:val="20"/>
                <w:szCs w:val="20"/>
                <w:color w:val="auto"/>
              </w:rPr>
            </w:pPr>
            <w:r>
              <w:rPr>
                <w:rFonts w:ascii="Arial" w:cs="Arial" w:eastAsia="Arial" w:hAnsi="Arial"/>
                <w:sz w:val="17"/>
                <w:szCs w:val="17"/>
                <w:i w:val="1"/>
                <w:iCs w:val="1"/>
                <w:color w:val="auto"/>
              </w:rPr>
              <w:t>Supplemental Data:</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1"/>
        </w:trPr>
        <w:tc>
          <w:tcPr>
            <w:tcW w:w="5920" w:type="dxa"/>
            <w:vAlign w:val="bottom"/>
          </w:tcPr>
          <w:p>
            <w:pPr>
              <w:ind w:left="420"/>
              <w:spacing w:after="0"/>
              <w:rPr>
                <w:sz w:val="20"/>
                <w:szCs w:val="20"/>
                <w:color w:val="auto"/>
              </w:rPr>
            </w:pPr>
            <w:r>
              <w:rPr>
                <w:rFonts w:ascii="Arial" w:cs="Arial" w:eastAsia="Arial" w:hAnsi="Arial"/>
                <w:sz w:val="17"/>
                <w:szCs w:val="17"/>
                <w:color w:val="auto"/>
              </w:rPr>
              <w:t>Cash interest paid — continuing operations</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43,526</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32,421</w:t>
            </w:r>
          </w:p>
        </w:tc>
        <w:tc>
          <w:tcPr>
            <w:tcW w:w="120" w:type="dxa"/>
            <w:vAlign w:val="bottom"/>
          </w:tcPr>
          <w:p>
            <w:pPr>
              <w:spacing w:after="0"/>
              <w:rPr>
                <w:sz w:val="18"/>
                <w:szCs w:val="18"/>
                <w:color w:val="auto"/>
              </w:rPr>
            </w:pPr>
          </w:p>
        </w:tc>
      </w:tr>
      <w:tr>
        <w:trPr>
          <w:trHeight w:val="211"/>
        </w:trPr>
        <w:tc>
          <w:tcPr>
            <w:tcW w:w="5920" w:type="dxa"/>
            <w:vAlign w:val="bottom"/>
            <w:shd w:val="clear" w:color="auto" w:fill="CCEEFF"/>
          </w:tcPr>
          <w:p>
            <w:pPr>
              <w:ind w:left="420"/>
              <w:spacing w:after="0"/>
              <w:rPr>
                <w:sz w:val="20"/>
                <w:szCs w:val="20"/>
                <w:color w:val="auto"/>
              </w:rPr>
            </w:pPr>
            <w:r>
              <w:rPr>
                <w:rFonts w:ascii="Arial" w:cs="Arial" w:eastAsia="Arial" w:hAnsi="Arial"/>
                <w:sz w:val="17"/>
                <w:szCs w:val="17"/>
                <w:color w:val="auto"/>
              </w:rPr>
              <w:t>Income taxes paid, net — continuing operations</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1,973</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4,171</w:t>
            </w:r>
          </w:p>
        </w:tc>
        <w:tc>
          <w:tcPr>
            <w:tcW w:w="120" w:type="dxa"/>
            <w:vAlign w:val="bottom"/>
            <w:shd w:val="clear" w:color="auto" w:fill="CCEEFF"/>
          </w:tcPr>
          <w:p>
            <w:pPr>
              <w:spacing w:after="0"/>
              <w:rPr>
                <w:sz w:val="18"/>
                <w:szCs w:val="18"/>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Promissory Note</w:t>
      </w:r>
    </w:p>
    <w:p>
      <w:pPr>
        <w:spacing w:after="0" w:line="94" w:lineRule="exact"/>
        <w:rPr>
          <w:sz w:val="20"/>
          <w:szCs w:val="20"/>
          <w:color w:val="auto"/>
        </w:rPr>
      </w:pPr>
    </w:p>
    <w:p>
      <w:pPr>
        <w:ind w:right="40" w:firstLine="457"/>
        <w:spacing w:after="0" w:line="308" w:lineRule="auto"/>
        <w:rPr>
          <w:sz w:val="20"/>
          <w:szCs w:val="20"/>
          <w:color w:val="auto"/>
        </w:rPr>
      </w:pPr>
      <w:r>
        <w:rPr>
          <w:rFonts w:ascii="Arial" w:cs="Arial" w:eastAsia="Arial" w:hAnsi="Arial"/>
          <w:sz w:val="15"/>
          <w:szCs w:val="15"/>
          <w:color w:val="auto"/>
        </w:rPr>
        <w:t>In September 2009, RMH and one of its subsidiaries that was transferred by the Company to Cablevision on December 31, 2010 agreed to the terms of a promissory note having an initial principal amount of $0 and increasing from time to time by advances made by RMH, with an interest rate of 8.625%. Interest income recognized by RMH related to this note amounted to $120 for the three months ended March 31, 2011. On January 31, 2011, RMH distributed to a subsidiary of Cablevision all of its rights, title and interest in and to the promissory note. This distribution, which amounted to $17,113, including principal and accrued and unpaid interest, is reflected as a non-cash capital distribution in the consolidated statement of stockholders’ equity for the three months ended March 31, 2011.</w:t>
      </w:r>
    </w:p>
    <w:p>
      <w:pPr>
        <w:spacing w:after="0" w:line="217" w:lineRule="exact"/>
        <w:rPr>
          <w:sz w:val="20"/>
          <w:szCs w:val="20"/>
          <w:color w:val="auto"/>
        </w:rPr>
      </w:pPr>
    </w:p>
    <w:p>
      <w:pPr>
        <w:spacing w:after="0"/>
        <w:tabs>
          <w:tab w:leader="none" w:pos="1020" w:val="left"/>
        </w:tabs>
        <w:rPr>
          <w:sz w:val="20"/>
          <w:szCs w:val="20"/>
          <w:color w:val="auto"/>
        </w:rPr>
      </w:pPr>
      <w:r>
        <w:rPr>
          <w:rFonts w:ascii="Arial" w:cs="Arial" w:eastAsia="Arial" w:hAnsi="Arial"/>
          <w:sz w:val="17"/>
          <w:szCs w:val="17"/>
          <w:b w:val="1"/>
          <w:bCs w:val="1"/>
          <w:color w:val="auto"/>
        </w:rPr>
        <w:t>Note 13.</w:t>
      </w:r>
      <w:r>
        <w:rPr>
          <w:sz w:val="20"/>
          <w:szCs w:val="20"/>
          <w:color w:val="auto"/>
        </w:rPr>
        <w:tab/>
      </w:r>
      <w:r>
        <w:rPr>
          <w:rFonts w:ascii="Arial" w:cs="Arial" w:eastAsia="Arial" w:hAnsi="Arial"/>
          <w:sz w:val="15"/>
          <w:szCs w:val="15"/>
          <w:b w:val="1"/>
          <w:bCs w:val="1"/>
          <w:color w:val="auto"/>
        </w:rPr>
        <w:t>Segment Information</w:t>
      </w:r>
    </w:p>
    <w:p>
      <w:pPr>
        <w:spacing w:after="0" w:line="100" w:lineRule="exact"/>
        <w:rPr>
          <w:sz w:val="20"/>
          <w:szCs w:val="20"/>
          <w:color w:val="auto"/>
        </w:rPr>
      </w:pPr>
    </w:p>
    <w:p>
      <w:pPr>
        <w:ind w:right="100" w:firstLine="457"/>
        <w:spacing w:after="0" w:line="284" w:lineRule="auto"/>
        <w:rPr>
          <w:sz w:val="20"/>
          <w:szCs w:val="20"/>
          <w:color w:val="auto"/>
        </w:rPr>
      </w:pPr>
      <w:r>
        <w:rPr>
          <w:rFonts w:ascii="Arial" w:cs="Arial" w:eastAsia="Arial" w:hAnsi="Arial"/>
          <w:sz w:val="17"/>
          <w:szCs w:val="17"/>
          <w:color w:val="auto"/>
        </w:rPr>
        <w:t>As discussed in Note 1, the Company classifies its operations into two reportable segments: National Networks, and International and Other. These reportable segments are strategic business units that are managed separately.</w:t>
      </w:r>
    </w:p>
    <w:p>
      <w:pPr>
        <w:spacing w:after="0" w:line="117" w:lineRule="exact"/>
        <w:rPr>
          <w:sz w:val="20"/>
          <w:szCs w:val="20"/>
          <w:color w:val="auto"/>
        </w:rPr>
      </w:pPr>
    </w:p>
    <w:p>
      <w:pPr>
        <w:ind w:firstLine="457"/>
        <w:spacing w:after="0" w:line="267" w:lineRule="auto"/>
        <w:rPr>
          <w:sz w:val="20"/>
          <w:szCs w:val="20"/>
          <w:color w:val="auto"/>
        </w:rPr>
      </w:pPr>
      <w:r>
        <w:rPr>
          <w:rFonts w:ascii="Arial" w:cs="Arial" w:eastAsia="Arial" w:hAnsi="Arial"/>
          <w:sz w:val="17"/>
          <w:szCs w:val="17"/>
          <w:color w:val="auto"/>
        </w:rPr>
        <w:t>The Company generally allocates all corporate overhead costs to the Company’s two reportable segments based upon their proportionate estimated usage of services, including such costs as executive salaries and benefits, costs of maintaining corporate headquarters, facilities and common support functions (such as human resources, legal, finance, tax, accounting, audit, treasury, risk management, strategic planning and information technology) as well as sales support functions and creative and production services.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1380"/>
          </w:cols>
          <w:pgMar w:left="240" w:top="451" w:right="279" w:bottom="1440" w:gutter="0" w:footer="0" w:header="0"/>
        </w:sectPr>
      </w:pPr>
    </w:p>
    <w:bookmarkStart w:id="20" w:name="page21"/>
    <w:bookmarkEnd w:id="2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AMC NETWORKS INC. AND SUBSIDIARIES</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NOTES TO CONSOLIDATED FINANCIAL STATEMENTS - (Continued)</w:t>
      </w:r>
    </w:p>
    <w:p>
      <w:pPr>
        <w:spacing w:after="0" w:line="15"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(Dollars in thousands, except per share amounts)</w:t>
      </w:r>
    </w:p>
    <w:p>
      <w:pPr>
        <w:spacing w:after="0" w:line="15"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(Unaudited)</w:t>
      </w:r>
    </w:p>
    <w:p>
      <w:pPr>
        <w:spacing w:after="0" w:line="154" w:lineRule="exact"/>
        <w:rPr>
          <w:sz w:val="20"/>
          <w:szCs w:val="20"/>
          <w:color w:val="auto"/>
        </w:rPr>
      </w:pPr>
    </w:p>
    <w:p>
      <w:pPr>
        <w:jc w:val="both"/>
        <w:ind w:right="180" w:firstLine="457"/>
        <w:spacing w:after="0" w:line="289" w:lineRule="auto"/>
        <w:rPr>
          <w:sz w:val="20"/>
          <w:szCs w:val="20"/>
          <w:color w:val="auto"/>
        </w:rPr>
      </w:pPr>
      <w:r>
        <w:rPr>
          <w:rFonts w:ascii="Arial" w:cs="Arial" w:eastAsia="Arial" w:hAnsi="Arial"/>
          <w:sz w:val="16"/>
          <w:szCs w:val="16"/>
          <w:color w:val="auto"/>
        </w:rPr>
        <w:t>The Company evaluates segment performance based on several factors, of which the primary financial measure is business segment adjusted operating cash flow (defined as operating income (loss) before depreciation and amortization, share-based compensation expense or benefit and restructuring expense or credit), a non-GAAP measure. The Company has presented the components that reconcile adjusted operating cash flow to operating income, an accepted GAAP measure. Information as to the continuing operations of the Company’s reportable segments is set forth below.</w:t>
      </w:r>
    </w:p>
    <w:p>
      <w:pPr>
        <w:spacing w:after="0" w:line="150" w:lineRule="exact"/>
        <w:rPr>
          <w:sz w:val="20"/>
          <w:szCs w:val="20"/>
          <w:color w:val="auto"/>
        </w:rPr>
      </w:pPr>
    </w:p>
    <w:tbl>
      <w:tblPr>
        <w:tblLayout w:type="fixed"/>
        <w:tblInd w:w="460" w:type="dxa"/>
        <w:tblCellMar>
          <w:top w:w="0" w:type="dxa"/>
          <w:left w:w="0" w:type="dxa"/>
          <w:bottom w:w="0" w:type="dxa"/>
          <w:right w:w="0" w:type="dxa"/>
        </w:tblCellMar>
      </w:tblPr>
      <w:tr>
        <w:trPr>
          <w:trHeight w:val="158"/>
        </w:trPr>
        <w:tc>
          <w:tcPr>
            <w:tcW w:w="578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640" w:type="dxa"/>
            <w:vAlign w:val="bottom"/>
            <w:tcBorders>
              <w:bottom w:val="single" w:sz="8" w:color="auto"/>
            </w:tcBorders>
            <w:gridSpan w:val="6"/>
          </w:tcPr>
          <w:p>
            <w:pPr>
              <w:ind w:left="40"/>
              <w:spacing w:after="0"/>
              <w:rPr>
                <w:sz w:val="20"/>
                <w:szCs w:val="20"/>
                <w:color w:val="auto"/>
              </w:rPr>
            </w:pPr>
            <w:r>
              <w:rPr>
                <w:rFonts w:ascii="Arial" w:cs="Arial" w:eastAsia="Arial" w:hAnsi="Arial"/>
                <w:sz w:val="13"/>
                <w:szCs w:val="13"/>
                <w:b w:val="1"/>
                <w:bCs w:val="1"/>
                <w:color w:val="auto"/>
              </w:rPr>
              <w:t>Three Months Ended March 31, 2012</w:t>
            </w: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25"/>
        </w:trPr>
        <w:tc>
          <w:tcPr>
            <w:tcW w:w="5780" w:type="dxa"/>
            <w:vAlign w:val="bottom"/>
          </w:tcPr>
          <w:p>
            <w:pPr>
              <w:spacing w:after="0"/>
              <w:rPr>
                <w:sz w:val="10"/>
                <w:szCs w:val="10"/>
                <w:color w:val="auto"/>
              </w:rPr>
            </w:pPr>
          </w:p>
        </w:tc>
        <w:tc>
          <w:tcPr>
            <w:tcW w:w="1220" w:type="dxa"/>
            <w:vAlign w:val="bottom"/>
            <w:gridSpan w:val="2"/>
          </w:tcPr>
          <w:p>
            <w:pPr>
              <w:jc w:val="right"/>
              <w:ind w:right="640"/>
              <w:spacing w:after="0" w:line="126" w:lineRule="exact"/>
              <w:rPr>
                <w:sz w:val="20"/>
                <w:szCs w:val="20"/>
                <w:color w:val="auto"/>
              </w:rPr>
            </w:pPr>
            <w:r>
              <w:rPr>
                <w:rFonts w:ascii="Arial" w:cs="Arial" w:eastAsia="Arial" w:hAnsi="Arial"/>
                <w:sz w:val="13"/>
                <w:szCs w:val="13"/>
                <w:b w:val="1"/>
                <w:bCs w:val="1"/>
                <w:color w:val="auto"/>
              </w:rPr>
              <w:t>National</w:t>
            </w:r>
          </w:p>
        </w:tc>
        <w:tc>
          <w:tcPr>
            <w:tcW w:w="1300" w:type="dxa"/>
            <w:vAlign w:val="bottom"/>
            <w:gridSpan w:val="3"/>
          </w:tcPr>
          <w:p>
            <w:pPr>
              <w:spacing w:after="0" w:line="126" w:lineRule="exact"/>
              <w:rPr>
                <w:sz w:val="20"/>
                <w:szCs w:val="20"/>
                <w:color w:val="auto"/>
              </w:rPr>
            </w:pPr>
            <w:r>
              <w:rPr>
                <w:rFonts w:ascii="Arial" w:cs="Arial" w:eastAsia="Arial" w:hAnsi="Arial"/>
                <w:sz w:val="13"/>
                <w:szCs w:val="13"/>
                <w:b w:val="1"/>
                <w:bCs w:val="1"/>
                <w:color w:val="auto"/>
              </w:rPr>
              <w:t>International</w:t>
            </w:r>
          </w:p>
        </w:tc>
        <w:tc>
          <w:tcPr>
            <w:tcW w:w="1340" w:type="dxa"/>
            <w:vAlign w:val="bottom"/>
            <w:gridSpan w:val="3"/>
          </w:tcPr>
          <w:p>
            <w:pPr>
              <w:spacing w:after="0" w:line="126" w:lineRule="exact"/>
              <w:rPr>
                <w:sz w:val="20"/>
                <w:szCs w:val="20"/>
                <w:color w:val="auto"/>
              </w:rPr>
            </w:pPr>
            <w:r>
              <w:rPr>
                <w:rFonts w:ascii="Arial" w:cs="Arial" w:eastAsia="Arial" w:hAnsi="Arial"/>
                <w:sz w:val="13"/>
                <w:szCs w:val="13"/>
                <w:b w:val="1"/>
                <w:bCs w:val="1"/>
                <w:color w:val="auto"/>
              </w:rPr>
              <w:t>Inter-segment</w:t>
            </w: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58"/>
        </w:trPr>
        <w:tc>
          <w:tcPr>
            <w:tcW w:w="5780" w:type="dxa"/>
            <w:vAlign w:val="bottom"/>
          </w:tcPr>
          <w:p>
            <w:pPr>
              <w:spacing w:after="0"/>
              <w:rPr>
                <w:sz w:val="13"/>
                <w:szCs w:val="13"/>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3"/>
                <w:szCs w:val="13"/>
                <w:b w:val="1"/>
                <w:bCs w:val="1"/>
                <w:color w:val="auto"/>
                <w:w w:val="99"/>
              </w:rPr>
              <w:t>Networks</w:t>
            </w:r>
          </w:p>
        </w:tc>
        <w:tc>
          <w:tcPr>
            <w:tcW w:w="80" w:type="dxa"/>
            <w:vAlign w:val="bottom"/>
          </w:tcPr>
          <w:p>
            <w:pPr>
              <w:spacing w:after="0"/>
              <w:rPr>
                <w:sz w:val="13"/>
                <w:szCs w:val="13"/>
                <w:color w:val="auto"/>
              </w:rPr>
            </w:pPr>
          </w:p>
        </w:tc>
        <w:tc>
          <w:tcPr>
            <w:tcW w:w="1220" w:type="dxa"/>
            <w:vAlign w:val="bottom"/>
            <w:gridSpan w:val="2"/>
          </w:tcPr>
          <w:p>
            <w:pPr>
              <w:jc w:val="right"/>
              <w:ind w:right="640"/>
              <w:spacing w:after="0"/>
              <w:rPr>
                <w:sz w:val="20"/>
                <w:szCs w:val="20"/>
                <w:color w:val="auto"/>
              </w:rPr>
            </w:pPr>
            <w:r>
              <w:rPr>
                <w:rFonts w:ascii="Arial" w:cs="Arial" w:eastAsia="Arial" w:hAnsi="Arial"/>
                <w:sz w:val="13"/>
                <w:szCs w:val="13"/>
                <w:b w:val="1"/>
                <w:bCs w:val="1"/>
                <w:color w:val="auto"/>
                <w:w w:val="91"/>
              </w:rPr>
              <w:t>and Other</w:t>
            </w:r>
          </w:p>
        </w:tc>
        <w:tc>
          <w:tcPr>
            <w:tcW w:w="1340" w:type="dxa"/>
            <w:vAlign w:val="bottom"/>
            <w:gridSpan w:val="3"/>
          </w:tcPr>
          <w:p>
            <w:pPr>
              <w:ind w:left="60"/>
              <w:spacing w:after="0"/>
              <w:rPr>
                <w:sz w:val="20"/>
                <w:szCs w:val="20"/>
                <w:color w:val="auto"/>
              </w:rPr>
            </w:pPr>
            <w:r>
              <w:rPr>
                <w:rFonts w:ascii="Arial" w:cs="Arial" w:eastAsia="Arial" w:hAnsi="Arial"/>
                <w:sz w:val="13"/>
                <w:szCs w:val="13"/>
                <w:b w:val="1"/>
                <w:bCs w:val="1"/>
                <w:color w:val="auto"/>
              </w:rPr>
              <w:t>eliminations</w:t>
            </w:r>
          </w:p>
        </w:tc>
        <w:tc>
          <w:tcPr>
            <w:tcW w:w="860" w:type="dxa"/>
            <w:vAlign w:val="bottom"/>
            <w:gridSpan w:val="3"/>
          </w:tcPr>
          <w:p>
            <w:pPr>
              <w:ind w:left="20"/>
              <w:spacing w:after="0"/>
              <w:rPr>
                <w:sz w:val="20"/>
                <w:szCs w:val="20"/>
                <w:color w:val="auto"/>
              </w:rPr>
            </w:pPr>
            <w:r>
              <w:rPr>
                <w:rFonts w:ascii="Arial" w:cs="Arial" w:eastAsia="Arial" w:hAnsi="Arial"/>
                <w:sz w:val="13"/>
                <w:szCs w:val="13"/>
                <w:b w:val="1"/>
                <w:bCs w:val="1"/>
                <w:color w:val="auto"/>
                <w:w w:val="99"/>
              </w:rPr>
              <w:t>Consolidated</w:t>
            </w:r>
          </w:p>
        </w:tc>
      </w:tr>
      <w:tr>
        <w:trPr>
          <w:trHeight w:val="204"/>
        </w:trPr>
        <w:tc>
          <w:tcPr>
            <w:tcW w:w="5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Revenues, net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0"/>
              </w:rPr>
              <w:t>$304,223</w:t>
            </w:r>
          </w:p>
        </w:tc>
        <w:tc>
          <w:tcPr>
            <w:tcW w:w="5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26,346</w:t>
            </w:r>
          </w:p>
        </w:tc>
        <w:tc>
          <w:tcPr>
            <w:tcW w:w="5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58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w w:val="77"/>
              </w:rPr>
              <w:t>(4,330)</w:t>
            </w:r>
          </w:p>
        </w:tc>
        <w:tc>
          <w:tcPr>
            <w:tcW w:w="5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326,239</w:t>
            </w:r>
          </w:p>
        </w:tc>
        <w:tc>
          <w:tcPr>
            <w:tcW w:w="100" w:type="dxa"/>
            <w:vAlign w:val="bottom"/>
            <w:tcBorders>
              <w:top w:val="single" w:sz="8" w:color="CCEEFF"/>
            </w:tcBorders>
            <w:shd w:val="clear" w:color="auto" w:fill="CCEEFF"/>
          </w:tcPr>
          <w:p>
            <w:pPr>
              <w:spacing w:after="0"/>
              <w:rPr>
                <w:sz w:val="17"/>
                <w:szCs w:val="17"/>
                <w:color w:val="auto"/>
              </w:rPr>
            </w:pPr>
          </w:p>
        </w:tc>
      </w:tr>
      <w:tr>
        <w:trPr>
          <w:trHeight w:val="211"/>
        </w:trPr>
        <w:tc>
          <w:tcPr>
            <w:tcW w:w="5780" w:type="dxa"/>
            <w:vAlign w:val="bottom"/>
          </w:tcPr>
          <w:p>
            <w:pPr>
              <w:spacing w:after="0"/>
              <w:rPr>
                <w:sz w:val="20"/>
                <w:szCs w:val="20"/>
                <w:color w:val="auto"/>
              </w:rPr>
            </w:pPr>
            <w:r>
              <w:rPr>
                <w:rFonts w:ascii="Arial" w:cs="Arial" w:eastAsia="Arial" w:hAnsi="Arial"/>
                <w:sz w:val="17"/>
                <w:szCs w:val="17"/>
                <w:color w:val="auto"/>
              </w:rPr>
              <w:t>Adjusted operating cash flow (deficit)</w:t>
            </w:r>
          </w:p>
        </w:tc>
        <w:tc>
          <w:tcPr>
            <w:tcW w:w="1220" w:type="dxa"/>
            <w:vAlign w:val="bottom"/>
            <w:gridSpan w:val="2"/>
          </w:tcPr>
          <w:p>
            <w:pPr>
              <w:jc w:val="right"/>
              <w:ind w:right="560"/>
              <w:spacing w:after="0"/>
              <w:rPr>
                <w:sz w:val="20"/>
                <w:szCs w:val="20"/>
                <w:color w:val="auto"/>
              </w:rPr>
            </w:pPr>
            <w:r>
              <w:rPr>
                <w:rFonts w:ascii="Arial" w:cs="Arial" w:eastAsia="Arial" w:hAnsi="Arial"/>
                <w:sz w:val="17"/>
                <w:szCs w:val="17"/>
                <w:color w:val="auto"/>
              </w:rPr>
              <w:t>133,372</w:t>
            </w:r>
          </w:p>
        </w:tc>
        <w:tc>
          <w:tcPr>
            <w:tcW w:w="8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7"/>
                <w:szCs w:val="17"/>
                <w:color w:val="auto"/>
              </w:rPr>
              <w:t>(8,207)</w:t>
            </w:r>
          </w:p>
        </w:tc>
        <w:tc>
          <w:tcPr>
            <w:tcW w:w="22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7"/>
                <w:szCs w:val="17"/>
                <w:color w:val="auto"/>
                <w:w w:val="84"/>
              </w:rPr>
              <w:t>505</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w w:val="97"/>
              </w:rPr>
              <w:t>125,670</w:t>
            </w:r>
          </w:p>
        </w:tc>
      </w:tr>
      <w:tr>
        <w:trPr>
          <w:trHeight w:val="211"/>
        </w:trPr>
        <w:tc>
          <w:tcPr>
            <w:tcW w:w="5780" w:type="dxa"/>
            <w:vAlign w:val="bottom"/>
            <w:shd w:val="clear" w:color="auto" w:fill="CCEEFF"/>
          </w:tcPr>
          <w:p>
            <w:pPr>
              <w:spacing w:after="0"/>
              <w:rPr>
                <w:sz w:val="20"/>
                <w:szCs w:val="20"/>
                <w:color w:val="auto"/>
              </w:rPr>
            </w:pPr>
            <w:r>
              <w:rPr>
                <w:rFonts w:ascii="Arial" w:cs="Arial" w:eastAsia="Arial" w:hAnsi="Arial"/>
                <w:sz w:val="17"/>
                <w:szCs w:val="17"/>
                <w:color w:val="auto"/>
              </w:rPr>
              <w:t>Depreciation and amortization</w:t>
            </w: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(21,305)</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(3,746)</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(25,051)</w:t>
            </w:r>
          </w:p>
        </w:tc>
      </w:tr>
      <w:tr>
        <w:trPr>
          <w:trHeight w:val="211"/>
        </w:trPr>
        <w:tc>
          <w:tcPr>
            <w:tcW w:w="5780" w:type="dxa"/>
            <w:vAlign w:val="bottom"/>
          </w:tcPr>
          <w:p>
            <w:pPr>
              <w:spacing w:after="0"/>
              <w:rPr>
                <w:sz w:val="20"/>
                <w:szCs w:val="20"/>
                <w:color w:val="auto"/>
              </w:rPr>
            </w:pPr>
            <w:r>
              <w:rPr>
                <w:rFonts w:ascii="Arial" w:cs="Arial" w:eastAsia="Arial" w:hAnsi="Arial"/>
                <w:sz w:val="17"/>
                <w:szCs w:val="17"/>
                <w:color w:val="auto"/>
              </w:rPr>
              <w:t>Share-based compensation expense</w:t>
            </w:r>
          </w:p>
        </w:tc>
        <w:tc>
          <w:tcPr>
            <w:tcW w:w="1220" w:type="dxa"/>
            <w:vAlign w:val="bottom"/>
            <w:gridSpan w:val="2"/>
          </w:tcPr>
          <w:p>
            <w:pPr>
              <w:jc w:val="right"/>
              <w:ind w:right="500"/>
              <w:spacing w:after="0"/>
              <w:rPr>
                <w:sz w:val="20"/>
                <w:szCs w:val="20"/>
                <w:color w:val="auto"/>
              </w:rPr>
            </w:pPr>
            <w:r>
              <w:rPr>
                <w:rFonts w:ascii="Arial" w:cs="Arial" w:eastAsia="Arial" w:hAnsi="Arial"/>
                <w:sz w:val="17"/>
                <w:szCs w:val="17"/>
                <w:color w:val="auto"/>
              </w:rPr>
              <w:t>(2,849)</w:t>
            </w:r>
          </w:p>
        </w:tc>
        <w:tc>
          <w:tcPr>
            <w:tcW w:w="8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7"/>
                <w:szCs w:val="17"/>
                <w:color w:val="auto"/>
              </w:rPr>
              <w:t>(734)</w:t>
            </w:r>
          </w:p>
        </w:tc>
        <w:tc>
          <w:tcPr>
            <w:tcW w:w="220" w:type="dxa"/>
            <w:vAlign w:val="bottom"/>
          </w:tcPr>
          <w:p>
            <w:pPr>
              <w:spacing w:after="0"/>
              <w:rPr>
                <w:sz w:val="18"/>
                <w:szCs w:val="18"/>
                <w:color w:val="auto"/>
              </w:rPr>
            </w:pPr>
          </w:p>
        </w:tc>
        <w:tc>
          <w:tcPr>
            <w:tcW w:w="1120" w:type="dxa"/>
            <w:vAlign w:val="bottom"/>
            <w:gridSpan w:val="2"/>
          </w:tcPr>
          <w:p>
            <w:pPr>
              <w:ind w:left="3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7"/>
                <w:szCs w:val="17"/>
                <w:color w:val="auto"/>
              </w:rPr>
              <w:t>(3,583)</w:t>
            </w:r>
          </w:p>
        </w:tc>
      </w:tr>
      <w:tr>
        <w:trPr>
          <w:trHeight w:val="211"/>
        </w:trPr>
        <w:tc>
          <w:tcPr>
            <w:tcW w:w="5780" w:type="dxa"/>
            <w:vAlign w:val="bottom"/>
            <w:shd w:val="clear" w:color="auto" w:fill="CCEEFF"/>
          </w:tcPr>
          <w:p>
            <w:pPr>
              <w:spacing w:after="0"/>
              <w:rPr>
                <w:sz w:val="20"/>
                <w:szCs w:val="20"/>
                <w:color w:val="auto"/>
              </w:rPr>
            </w:pPr>
            <w:r>
              <w:rPr>
                <w:rFonts w:ascii="Arial" w:cs="Arial" w:eastAsia="Arial" w:hAnsi="Arial"/>
                <w:sz w:val="17"/>
                <w:szCs w:val="17"/>
                <w:color w:val="auto"/>
              </w:rPr>
              <w:t>Restructuring credit</w:t>
            </w:r>
          </w:p>
        </w:tc>
        <w:tc>
          <w:tcPr>
            <w:tcW w:w="1220" w:type="dxa"/>
            <w:vAlign w:val="bottom"/>
            <w:gridSpan w:val="2"/>
            <w:shd w:val="clear" w:color="auto" w:fill="CCEEFF"/>
          </w:tcPr>
          <w:p>
            <w:pPr>
              <w:jc w:val="right"/>
              <w:ind w:right="6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w:t>
            </w:r>
          </w:p>
        </w:tc>
      </w:tr>
      <w:tr>
        <w:trPr>
          <w:trHeight w:val="211"/>
        </w:trPr>
        <w:tc>
          <w:tcPr>
            <w:tcW w:w="5780" w:type="dxa"/>
            <w:vAlign w:val="bottom"/>
          </w:tcPr>
          <w:p>
            <w:pPr>
              <w:spacing w:after="0"/>
              <w:rPr>
                <w:sz w:val="20"/>
                <w:szCs w:val="20"/>
                <w:color w:val="auto"/>
              </w:rPr>
            </w:pPr>
            <w:r>
              <w:rPr>
                <w:rFonts w:ascii="Arial" w:cs="Arial" w:eastAsia="Arial" w:hAnsi="Arial"/>
                <w:sz w:val="17"/>
                <w:szCs w:val="17"/>
                <w:color w:val="auto"/>
              </w:rPr>
              <w:t>Operating income (loss)</w:t>
            </w:r>
          </w:p>
        </w:tc>
        <w:tc>
          <w:tcPr>
            <w:tcW w:w="1220" w:type="dxa"/>
            <w:vAlign w:val="bottom"/>
            <w:gridSpan w:val="2"/>
          </w:tcPr>
          <w:p>
            <w:pPr>
              <w:jc w:val="right"/>
              <w:ind w:right="560"/>
              <w:spacing w:after="0"/>
              <w:rPr>
                <w:sz w:val="20"/>
                <w:szCs w:val="20"/>
                <w:color w:val="auto"/>
              </w:rPr>
            </w:pPr>
            <w:r>
              <w:rPr>
                <w:rFonts w:ascii="Arial" w:cs="Arial" w:eastAsia="Arial" w:hAnsi="Arial"/>
                <w:sz w:val="17"/>
                <w:szCs w:val="17"/>
                <w:color w:val="auto"/>
              </w:rPr>
              <w:t>109,218</w:t>
            </w:r>
          </w:p>
        </w:tc>
        <w:tc>
          <w:tcPr>
            <w:tcW w:w="8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7"/>
                <w:szCs w:val="17"/>
                <w:color w:val="auto"/>
              </w:rPr>
              <w:t>(12,684)</w:t>
            </w:r>
          </w:p>
        </w:tc>
        <w:tc>
          <w:tcPr>
            <w:tcW w:w="22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7"/>
                <w:szCs w:val="17"/>
                <w:color w:val="auto"/>
                <w:w w:val="84"/>
              </w:rPr>
              <w:t>505</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97,039</w:t>
            </w:r>
          </w:p>
        </w:tc>
      </w:tr>
      <w:tr>
        <w:trPr>
          <w:trHeight w:val="211"/>
        </w:trPr>
        <w:tc>
          <w:tcPr>
            <w:tcW w:w="5780" w:type="dxa"/>
            <w:vAlign w:val="bottom"/>
            <w:shd w:val="clear" w:color="auto" w:fill="CCEEFF"/>
          </w:tcPr>
          <w:p>
            <w:pPr>
              <w:spacing w:after="0"/>
              <w:rPr>
                <w:sz w:val="20"/>
                <w:szCs w:val="20"/>
                <w:color w:val="auto"/>
              </w:rPr>
            </w:pPr>
            <w:r>
              <w:rPr>
                <w:rFonts w:ascii="Arial" w:cs="Arial" w:eastAsia="Arial" w:hAnsi="Arial"/>
                <w:sz w:val="17"/>
                <w:szCs w:val="17"/>
                <w:color w:val="auto"/>
              </w:rPr>
              <w:t>Capital Expenditures</w:t>
            </w: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443</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2,395</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2,838</w:t>
            </w:r>
          </w:p>
        </w:tc>
      </w:tr>
      <w:tr>
        <w:trPr>
          <w:trHeight w:val="356"/>
        </w:trPr>
        <w:tc>
          <w:tcPr>
            <w:tcW w:w="578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6"/>
          </w:tcPr>
          <w:p>
            <w:pPr>
              <w:ind w:left="40"/>
              <w:spacing w:after="0"/>
              <w:rPr>
                <w:sz w:val="20"/>
                <w:szCs w:val="20"/>
                <w:color w:val="auto"/>
              </w:rPr>
            </w:pPr>
            <w:r>
              <w:rPr>
                <w:rFonts w:ascii="Arial" w:cs="Arial" w:eastAsia="Arial" w:hAnsi="Arial"/>
                <w:sz w:val="13"/>
                <w:szCs w:val="13"/>
                <w:b w:val="1"/>
                <w:bCs w:val="1"/>
                <w:color w:val="auto"/>
              </w:rPr>
              <w:t>Three Months Ended March 31, 2011</w:t>
            </w: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25"/>
        </w:trPr>
        <w:tc>
          <w:tcPr>
            <w:tcW w:w="5780" w:type="dxa"/>
            <w:vAlign w:val="bottom"/>
          </w:tcPr>
          <w:p>
            <w:pPr>
              <w:spacing w:after="0"/>
              <w:rPr>
                <w:sz w:val="10"/>
                <w:szCs w:val="10"/>
                <w:color w:val="auto"/>
              </w:rPr>
            </w:pPr>
          </w:p>
        </w:tc>
        <w:tc>
          <w:tcPr>
            <w:tcW w:w="1220" w:type="dxa"/>
            <w:vAlign w:val="bottom"/>
            <w:gridSpan w:val="2"/>
          </w:tcPr>
          <w:p>
            <w:pPr>
              <w:jc w:val="right"/>
              <w:ind w:right="640"/>
              <w:spacing w:after="0" w:line="126" w:lineRule="exact"/>
              <w:rPr>
                <w:sz w:val="20"/>
                <w:szCs w:val="20"/>
                <w:color w:val="auto"/>
              </w:rPr>
            </w:pPr>
            <w:r>
              <w:rPr>
                <w:rFonts w:ascii="Arial" w:cs="Arial" w:eastAsia="Arial" w:hAnsi="Arial"/>
                <w:sz w:val="13"/>
                <w:szCs w:val="13"/>
                <w:b w:val="1"/>
                <w:bCs w:val="1"/>
                <w:color w:val="auto"/>
              </w:rPr>
              <w:t>National</w:t>
            </w:r>
          </w:p>
        </w:tc>
        <w:tc>
          <w:tcPr>
            <w:tcW w:w="1300" w:type="dxa"/>
            <w:vAlign w:val="bottom"/>
            <w:gridSpan w:val="3"/>
          </w:tcPr>
          <w:p>
            <w:pPr>
              <w:spacing w:after="0" w:line="126" w:lineRule="exact"/>
              <w:rPr>
                <w:sz w:val="20"/>
                <w:szCs w:val="20"/>
                <w:color w:val="auto"/>
              </w:rPr>
            </w:pPr>
            <w:r>
              <w:rPr>
                <w:rFonts w:ascii="Arial" w:cs="Arial" w:eastAsia="Arial" w:hAnsi="Arial"/>
                <w:sz w:val="13"/>
                <w:szCs w:val="13"/>
                <w:b w:val="1"/>
                <w:bCs w:val="1"/>
                <w:color w:val="auto"/>
              </w:rPr>
              <w:t>International</w:t>
            </w:r>
          </w:p>
        </w:tc>
        <w:tc>
          <w:tcPr>
            <w:tcW w:w="1340" w:type="dxa"/>
            <w:vAlign w:val="bottom"/>
            <w:gridSpan w:val="3"/>
          </w:tcPr>
          <w:p>
            <w:pPr>
              <w:spacing w:after="0" w:line="126" w:lineRule="exact"/>
              <w:rPr>
                <w:sz w:val="20"/>
                <w:szCs w:val="20"/>
                <w:color w:val="auto"/>
              </w:rPr>
            </w:pPr>
            <w:r>
              <w:rPr>
                <w:rFonts w:ascii="Arial" w:cs="Arial" w:eastAsia="Arial" w:hAnsi="Arial"/>
                <w:sz w:val="13"/>
                <w:szCs w:val="13"/>
                <w:b w:val="1"/>
                <w:bCs w:val="1"/>
                <w:color w:val="auto"/>
              </w:rPr>
              <w:t>Inter-segment</w:t>
            </w: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58"/>
        </w:trPr>
        <w:tc>
          <w:tcPr>
            <w:tcW w:w="5780" w:type="dxa"/>
            <w:vAlign w:val="bottom"/>
          </w:tcPr>
          <w:p>
            <w:pPr>
              <w:spacing w:after="0"/>
              <w:rPr>
                <w:sz w:val="13"/>
                <w:szCs w:val="13"/>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3"/>
                <w:szCs w:val="13"/>
                <w:b w:val="1"/>
                <w:bCs w:val="1"/>
                <w:color w:val="auto"/>
                <w:w w:val="99"/>
              </w:rPr>
              <w:t>Networks</w:t>
            </w:r>
          </w:p>
        </w:tc>
        <w:tc>
          <w:tcPr>
            <w:tcW w:w="80" w:type="dxa"/>
            <w:vAlign w:val="bottom"/>
          </w:tcPr>
          <w:p>
            <w:pPr>
              <w:spacing w:after="0"/>
              <w:rPr>
                <w:sz w:val="13"/>
                <w:szCs w:val="13"/>
                <w:color w:val="auto"/>
              </w:rPr>
            </w:pPr>
          </w:p>
        </w:tc>
        <w:tc>
          <w:tcPr>
            <w:tcW w:w="1220" w:type="dxa"/>
            <w:vAlign w:val="bottom"/>
            <w:gridSpan w:val="2"/>
          </w:tcPr>
          <w:p>
            <w:pPr>
              <w:jc w:val="right"/>
              <w:ind w:right="640"/>
              <w:spacing w:after="0"/>
              <w:rPr>
                <w:sz w:val="20"/>
                <w:szCs w:val="20"/>
                <w:color w:val="auto"/>
              </w:rPr>
            </w:pPr>
            <w:r>
              <w:rPr>
                <w:rFonts w:ascii="Arial" w:cs="Arial" w:eastAsia="Arial" w:hAnsi="Arial"/>
                <w:sz w:val="13"/>
                <w:szCs w:val="13"/>
                <w:b w:val="1"/>
                <w:bCs w:val="1"/>
                <w:color w:val="auto"/>
                <w:w w:val="91"/>
              </w:rPr>
              <w:t>and Other</w:t>
            </w:r>
          </w:p>
        </w:tc>
        <w:tc>
          <w:tcPr>
            <w:tcW w:w="1340" w:type="dxa"/>
            <w:vAlign w:val="bottom"/>
            <w:gridSpan w:val="3"/>
          </w:tcPr>
          <w:p>
            <w:pPr>
              <w:ind w:left="60"/>
              <w:spacing w:after="0"/>
              <w:rPr>
                <w:sz w:val="20"/>
                <w:szCs w:val="20"/>
                <w:color w:val="auto"/>
              </w:rPr>
            </w:pPr>
            <w:r>
              <w:rPr>
                <w:rFonts w:ascii="Arial" w:cs="Arial" w:eastAsia="Arial" w:hAnsi="Arial"/>
                <w:sz w:val="13"/>
                <w:szCs w:val="13"/>
                <w:b w:val="1"/>
                <w:bCs w:val="1"/>
                <w:color w:val="auto"/>
              </w:rPr>
              <w:t>eliminations</w:t>
            </w:r>
          </w:p>
        </w:tc>
        <w:tc>
          <w:tcPr>
            <w:tcW w:w="860" w:type="dxa"/>
            <w:vAlign w:val="bottom"/>
            <w:gridSpan w:val="3"/>
          </w:tcPr>
          <w:p>
            <w:pPr>
              <w:ind w:left="20"/>
              <w:spacing w:after="0"/>
              <w:rPr>
                <w:sz w:val="20"/>
                <w:szCs w:val="20"/>
                <w:color w:val="auto"/>
              </w:rPr>
            </w:pPr>
            <w:r>
              <w:rPr>
                <w:rFonts w:ascii="Arial" w:cs="Arial" w:eastAsia="Arial" w:hAnsi="Arial"/>
                <w:sz w:val="13"/>
                <w:szCs w:val="13"/>
                <w:b w:val="1"/>
                <w:bCs w:val="1"/>
                <w:color w:val="auto"/>
                <w:w w:val="99"/>
              </w:rPr>
              <w:t>Consolidated</w:t>
            </w:r>
          </w:p>
        </w:tc>
      </w:tr>
      <w:tr>
        <w:trPr>
          <w:trHeight w:val="204"/>
        </w:trPr>
        <w:tc>
          <w:tcPr>
            <w:tcW w:w="5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Revenues, net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0"/>
              </w:rPr>
              <w:t>$251,845</w:t>
            </w:r>
          </w:p>
        </w:tc>
        <w:tc>
          <w:tcPr>
            <w:tcW w:w="5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25,381</w:t>
            </w:r>
          </w:p>
        </w:tc>
        <w:tc>
          <w:tcPr>
            <w:tcW w:w="5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58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w w:val="77"/>
              </w:rPr>
              <w:t>(4,323)</w:t>
            </w:r>
          </w:p>
        </w:tc>
        <w:tc>
          <w:tcPr>
            <w:tcW w:w="5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272,903</w:t>
            </w:r>
          </w:p>
        </w:tc>
        <w:tc>
          <w:tcPr>
            <w:tcW w:w="100" w:type="dxa"/>
            <w:vAlign w:val="bottom"/>
            <w:tcBorders>
              <w:top w:val="single" w:sz="8" w:color="CCEEFF"/>
            </w:tcBorders>
            <w:shd w:val="clear" w:color="auto" w:fill="CCEEFF"/>
          </w:tcPr>
          <w:p>
            <w:pPr>
              <w:spacing w:after="0"/>
              <w:rPr>
                <w:sz w:val="17"/>
                <w:szCs w:val="17"/>
                <w:color w:val="auto"/>
              </w:rPr>
            </w:pPr>
          </w:p>
        </w:tc>
      </w:tr>
      <w:tr>
        <w:trPr>
          <w:trHeight w:val="211"/>
        </w:trPr>
        <w:tc>
          <w:tcPr>
            <w:tcW w:w="5780" w:type="dxa"/>
            <w:vAlign w:val="bottom"/>
          </w:tcPr>
          <w:p>
            <w:pPr>
              <w:spacing w:after="0"/>
              <w:rPr>
                <w:sz w:val="20"/>
                <w:szCs w:val="20"/>
                <w:color w:val="auto"/>
              </w:rPr>
            </w:pPr>
            <w:r>
              <w:rPr>
                <w:rFonts w:ascii="Arial" w:cs="Arial" w:eastAsia="Arial" w:hAnsi="Arial"/>
                <w:sz w:val="17"/>
                <w:szCs w:val="17"/>
                <w:color w:val="auto"/>
              </w:rPr>
              <w:t>Adjusted operating cash flow (deficit)</w:t>
            </w:r>
          </w:p>
        </w:tc>
        <w:tc>
          <w:tcPr>
            <w:tcW w:w="1220" w:type="dxa"/>
            <w:vAlign w:val="bottom"/>
            <w:gridSpan w:val="2"/>
          </w:tcPr>
          <w:p>
            <w:pPr>
              <w:jc w:val="right"/>
              <w:ind w:right="560"/>
              <w:spacing w:after="0"/>
              <w:rPr>
                <w:sz w:val="20"/>
                <w:szCs w:val="20"/>
                <w:color w:val="auto"/>
              </w:rPr>
            </w:pPr>
            <w:r>
              <w:rPr>
                <w:rFonts w:ascii="Arial" w:cs="Arial" w:eastAsia="Arial" w:hAnsi="Arial"/>
                <w:sz w:val="17"/>
                <w:szCs w:val="17"/>
                <w:color w:val="auto"/>
              </w:rPr>
              <w:t>106,356</w:t>
            </w:r>
          </w:p>
        </w:tc>
        <w:tc>
          <w:tcPr>
            <w:tcW w:w="8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7"/>
                <w:szCs w:val="17"/>
                <w:color w:val="auto"/>
              </w:rPr>
              <w:t>(7,104)</w:t>
            </w:r>
          </w:p>
        </w:tc>
        <w:tc>
          <w:tcPr>
            <w:tcW w:w="22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7"/>
                <w:szCs w:val="17"/>
                <w:color w:val="auto"/>
                <w:w w:val="84"/>
              </w:rPr>
              <w:t>296</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99,548</w:t>
            </w:r>
          </w:p>
        </w:tc>
      </w:tr>
      <w:tr>
        <w:trPr>
          <w:trHeight w:val="211"/>
        </w:trPr>
        <w:tc>
          <w:tcPr>
            <w:tcW w:w="5780" w:type="dxa"/>
            <w:vAlign w:val="bottom"/>
            <w:shd w:val="clear" w:color="auto" w:fill="CCEEFF"/>
          </w:tcPr>
          <w:p>
            <w:pPr>
              <w:spacing w:after="0"/>
              <w:rPr>
                <w:sz w:val="20"/>
                <w:szCs w:val="20"/>
                <w:color w:val="auto"/>
              </w:rPr>
            </w:pPr>
            <w:r>
              <w:rPr>
                <w:rFonts w:ascii="Arial" w:cs="Arial" w:eastAsia="Arial" w:hAnsi="Arial"/>
                <w:sz w:val="17"/>
                <w:szCs w:val="17"/>
                <w:color w:val="auto"/>
              </w:rPr>
              <w:t>Depreciation and amortization</w:t>
            </w: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(21,311)</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(3,615)</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(24,926)</w:t>
            </w:r>
          </w:p>
        </w:tc>
      </w:tr>
      <w:tr>
        <w:trPr>
          <w:trHeight w:val="211"/>
        </w:trPr>
        <w:tc>
          <w:tcPr>
            <w:tcW w:w="5780" w:type="dxa"/>
            <w:vAlign w:val="bottom"/>
          </w:tcPr>
          <w:p>
            <w:pPr>
              <w:spacing w:after="0"/>
              <w:rPr>
                <w:sz w:val="20"/>
                <w:szCs w:val="20"/>
                <w:color w:val="auto"/>
              </w:rPr>
            </w:pPr>
            <w:r>
              <w:rPr>
                <w:rFonts w:ascii="Arial" w:cs="Arial" w:eastAsia="Arial" w:hAnsi="Arial"/>
                <w:sz w:val="17"/>
                <w:szCs w:val="17"/>
                <w:color w:val="auto"/>
              </w:rPr>
              <w:t>Share-based compensation expense</w:t>
            </w:r>
          </w:p>
        </w:tc>
        <w:tc>
          <w:tcPr>
            <w:tcW w:w="1220" w:type="dxa"/>
            <w:vAlign w:val="bottom"/>
            <w:gridSpan w:val="2"/>
          </w:tcPr>
          <w:p>
            <w:pPr>
              <w:jc w:val="right"/>
              <w:ind w:right="500"/>
              <w:spacing w:after="0"/>
              <w:rPr>
                <w:sz w:val="20"/>
                <w:szCs w:val="20"/>
                <w:color w:val="auto"/>
              </w:rPr>
            </w:pPr>
            <w:r>
              <w:rPr>
                <w:rFonts w:ascii="Arial" w:cs="Arial" w:eastAsia="Arial" w:hAnsi="Arial"/>
                <w:sz w:val="17"/>
                <w:szCs w:val="17"/>
                <w:color w:val="auto"/>
              </w:rPr>
              <w:t>(3,150)</w:t>
            </w:r>
          </w:p>
        </w:tc>
        <w:tc>
          <w:tcPr>
            <w:tcW w:w="8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7"/>
                <w:szCs w:val="17"/>
                <w:color w:val="auto"/>
              </w:rPr>
              <w:t>(827)</w:t>
            </w:r>
          </w:p>
        </w:tc>
        <w:tc>
          <w:tcPr>
            <w:tcW w:w="220" w:type="dxa"/>
            <w:vAlign w:val="bottom"/>
          </w:tcPr>
          <w:p>
            <w:pPr>
              <w:spacing w:after="0"/>
              <w:rPr>
                <w:sz w:val="18"/>
                <w:szCs w:val="18"/>
                <w:color w:val="auto"/>
              </w:rPr>
            </w:pPr>
          </w:p>
        </w:tc>
        <w:tc>
          <w:tcPr>
            <w:tcW w:w="1120" w:type="dxa"/>
            <w:vAlign w:val="bottom"/>
            <w:gridSpan w:val="2"/>
          </w:tcPr>
          <w:p>
            <w:pPr>
              <w:ind w:left="3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7"/>
                <w:szCs w:val="17"/>
                <w:color w:val="auto"/>
              </w:rPr>
              <w:t>(3,977)</w:t>
            </w:r>
          </w:p>
        </w:tc>
      </w:tr>
      <w:tr>
        <w:trPr>
          <w:trHeight w:val="211"/>
        </w:trPr>
        <w:tc>
          <w:tcPr>
            <w:tcW w:w="5780" w:type="dxa"/>
            <w:vAlign w:val="bottom"/>
            <w:shd w:val="clear" w:color="auto" w:fill="CCEEFF"/>
          </w:tcPr>
          <w:p>
            <w:pPr>
              <w:spacing w:after="0"/>
              <w:rPr>
                <w:sz w:val="20"/>
                <w:szCs w:val="20"/>
                <w:color w:val="auto"/>
              </w:rPr>
            </w:pPr>
            <w:r>
              <w:rPr>
                <w:rFonts w:ascii="Arial" w:cs="Arial" w:eastAsia="Arial" w:hAnsi="Arial"/>
                <w:sz w:val="17"/>
                <w:szCs w:val="17"/>
                <w:color w:val="auto"/>
              </w:rPr>
              <w:t>Restructuring credit</w:t>
            </w:r>
          </w:p>
        </w:tc>
        <w:tc>
          <w:tcPr>
            <w:tcW w:w="1220" w:type="dxa"/>
            <w:vAlign w:val="bottom"/>
            <w:gridSpan w:val="2"/>
            <w:shd w:val="clear" w:color="auto" w:fill="CCEEFF"/>
          </w:tcPr>
          <w:p>
            <w:pPr>
              <w:jc w:val="right"/>
              <w:ind w:right="6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34</w:t>
            </w:r>
          </w:p>
        </w:tc>
      </w:tr>
      <w:tr>
        <w:trPr>
          <w:trHeight w:val="211"/>
        </w:trPr>
        <w:tc>
          <w:tcPr>
            <w:tcW w:w="5780" w:type="dxa"/>
            <w:vAlign w:val="bottom"/>
          </w:tcPr>
          <w:p>
            <w:pPr>
              <w:spacing w:after="0"/>
              <w:rPr>
                <w:sz w:val="20"/>
                <w:szCs w:val="20"/>
                <w:color w:val="auto"/>
              </w:rPr>
            </w:pPr>
            <w:r>
              <w:rPr>
                <w:rFonts w:ascii="Arial" w:cs="Arial" w:eastAsia="Arial" w:hAnsi="Arial"/>
                <w:sz w:val="17"/>
                <w:szCs w:val="17"/>
                <w:color w:val="auto"/>
              </w:rPr>
              <w:t>Operating income (loss)</w:t>
            </w:r>
          </w:p>
        </w:tc>
        <w:tc>
          <w:tcPr>
            <w:tcW w:w="1220" w:type="dxa"/>
            <w:vAlign w:val="bottom"/>
            <w:gridSpan w:val="2"/>
          </w:tcPr>
          <w:p>
            <w:pPr>
              <w:jc w:val="right"/>
              <w:ind w:right="560"/>
              <w:spacing w:after="0"/>
              <w:rPr>
                <w:sz w:val="20"/>
                <w:szCs w:val="20"/>
                <w:color w:val="auto"/>
              </w:rPr>
            </w:pPr>
            <w:r>
              <w:rPr>
                <w:rFonts w:ascii="Arial" w:cs="Arial" w:eastAsia="Arial" w:hAnsi="Arial"/>
                <w:sz w:val="17"/>
                <w:szCs w:val="17"/>
                <w:color w:val="auto"/>
              </w:rPr>
              <w:t>81,895</w:t>
            </w:r>
          </w:p>
        </w:tc>
        <w:tc>
          <w:tcPr>
            <w:tcW w:w="8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7"/>
                <w:szCs w:val="17"/>
                <w:color w:val="auto"/>
              </w:rPr>
              <w:t>(11,512)</w:t>
            </w:r>
          </w:p>
        </w:tc>
        <w:tc>
          <w:tcPr>
            <w:tcW w:w="22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7"/>
                <w:szCs w:val="17"/>
                <w:color w:val="auto"/>
                <w:w w:val="84"/>
              </w:rPr>
              <w:t>296</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70,679</w:t>
            </w:r>
          </w:p>
        </w:tc>
      </w:tr>
      <w:tr>
        <w:trPr>
          <w:trHeight w:val="211"/>
        </w:trPr>
        <w:tc>
          <w:tcPr>
            <w:tcW w:w="5780" w:type="dxa"/>
            <w:vAlign w:val="bottom"/>
            <w:shd w:val="clear" w:color="auto" w:fill="CCEEFF"/>
          </w:tcPr>
          <w:p>
            <w:pPr>
              <w:spacing w:after="0"/>
              <w:rPr>
                <w:sz w:val="20"/>
                <w:szCs w:val="20"/>
                <w:color w:val="auto"/>
              </w:rPr>
            </w:pPr>
            <w:r>
              <w:rPr>
                <w:rFonts w:ascii="Arial" w:cs="Arial" w:eastAsia="Arial" w:hAnsi="Arial"/>
                <w:sz w:val="17"/>
                <w:szCs w:val="17"/>
                <w:color w:val="auto"/>
              </w:rPr>
              <w:t>Capital Expenditures</w:t>
            </w: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724</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875</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1,599</w:t>
            </w:r>
          </w:p>
        </w:tc>
      </w:tr>
    </w:tbl>
    <w:p>
      <w:pPr>
        <w:spacing w:after="0" w:line="150" w:lineRule="exact"/>
        <w:rPr>
          <w:sz w:val="20"/>
          <w:szCs w:val="20"/>
          <w:color w:val="auto"/>
        </w:rPr>
      </w:pPr>
    </w:p>
    <w:p>
      <w:pPr>
        <w:ind w:firstLine="457"/>
        <w:spacing w:after="0" w:line="284" w:lineRule="auto"/>
        <w:rPr>
          <w:sz w:val="20"/>
          <w:szCs w:val="20"/>
          <w:color w:val="auto"/>
        </w:rPr>
      </w:pPr>
      <w:r>
        <w:rPr>
          <w:rFonts w:ascii="Arial" w:cs="Arial" w:eastAsia="Arial" w:hAnsi="Arial"/>
          <w:sz w:val="17"/>
          <w:szCs w:val="17"/>
          <w:color w:val="auto"/>
        </w:rPr>
        <w:t>Inter-segment eliminations are primarily revenues recognized by the International and Other segment for transmission revenues recognized by AMC Networks Broadcasting &amp; Technology and the licensing of its program rights by the national programming networks.</w:t>
      </w:r>
    </w:p>
    <w:p>
      <w:pPr>
        <w:spacing w:after="0" w:line="152" w:lineRule="exact"/>
        <w:rPr>
          <w:sz w:val="20"/>
          <w:szCs w:val="20"/>
          <w:color w:val="auto"/>
        </w:rPr>
      </w:pPr>
    </w:p>
    <w:tbl>
      <w:tblPr>
        <w:tblLayout w:type="fixed"/>
        <w:tblInd w:w="1380" w:type="dxa"/>
        <w:tblCellMar>
          <w:top w:w="0" w:type="dxa"/>
          <w:left w:w="0" w:type="dxa"/>
          <w:bottom w:w="0" w:type="dxa"/>
          <w:right w:w="0" w:type="dxa"/>
        </w:tblCellMar>
      </w:tblPr>
      <w:tr>
        <w:trPr>
          <w:trHeight w:val="158"/>
        </w:trPr>
        <w:tc>
          <w:tcPr>
            <w:tcW w:w="314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20" w:type="dxa"/>
            <w:vAlign w:val="bottom"/>
            <w:gridSpan w:val="6"/>
          </w:tcPr>
          <w:p>
            <w:pPr>
              <w:jc w:val="right"/>
              <w:ind w:right="280"/>
              <w:spacing w:after="0"/>
              <w:rPr>
                <w:sz w:val="20"/>
                <w:szCs w:val="20"/>
                <w:color w:val="auto"/>
              </w:rPr>
            </w:pPr>
            <w:r>
              <w:rPr>
                <w:rFonts w:ascii="Arial" w:cs="Arial" w:eastAsia="Arial" w:hAnsi="Arial"/>
                <w:sz w:val="13"/>
                <w:szCs w:val="13"/>
                <w:b w:val="1"/>
                <w:bCs w:val="1"/>
                <w:color w:val="auto"/>
                <w:w w:val="94"/>
              </w:rPr>
              <w:t>Three Months Ended March 31,</w:t>
            </w:r>
          </w:p>
        </w:tc>
        <w:tc>
          <w:tcPr>
            <w:tcW w:w="0" w:type="dxa"/>
            <w:vAlign w:val="bottom"/>
          </w:tcPr>
          <w:p>
            <w:pPr>
              <w:spacing w:after="0"/>
              <w:rPr>
                <w:sz w:val="1"/>
                <w:szCs w:val="1"/>
                <w:color w:val="auto"/>
              </w:rPr>
            </w:pPr>
          </w:p>
        </w:tc>
      </w:tr>
      <w:tr>
        <w:trPr>
          <w:trHeight w:val="138"/>
        </w:trPr>
        <w:tc>
          <w:tcPr>
            <w:tcW w:w="3140" w:type="dxa"/>
            <w:vAlign w:val="bottom"/>
            <w:tcBorders>
              <w:bottom w:val="single" w:sz="8" w:color="CCEEFF"/>
            </w:tcBorders>
          </w:tcPr>
          <w:p>
            <w:pPr>
              <w:spacing w:after="0"/>
              <w:rPr>
                <w:sz w:val="12"/>
                <w:szCs w:val="12"/>
                <w:color w:val="auto"/>
              </w:rPr>
            </w:pPr>
          </w:p>
        </w:tc>
        <w:tc>
          <w:tcPr>
            <w:tcW w:w="33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82"/>
              <w:spacing w:after="0" w:line="138" w:lineRule="exact"/>
              <w:rPr>
                <w:sz w:val="20"/>
                <w:szCs w:val="20"/>
                <w:color w:val="auto"/>
              </w:rPr>
            </w:pPr>
            <w:r>
              <w:rPr>
                <w:rFonts w:ascii="Arial" w:cs="Arial" w:eastAsia="Arial" w:hAnsi="Arial"/>
                <w:sz w:val="13"/>
                <w:szCs w:val="13"/>
                <w:b w:val="1"/>
                <w:bCs w:val="1"/>
                <w:color w:val="auto"/>
              </w:rPr>
              <w:t>2012</w:t>
            </w:r>
          </w:p>
        </w:tc>
        <w:tc>
          <w:tcPr>
            <w:tcW w:w="28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99"/>
              <w:spacing w:after="0" w:line="138" w:lineRule="exact"/>
              <w:rPr>
                <w:sz w:val="20"/>
                <w:szCs w:val="20"/>
                <w:color w:val="auto"/>
              </w:rPr>
            </w:pPr>
            <w:r>
              <w:rPr>
                <w:rFonts w:ascii="Arial" w:cs="Arial" w:eastAsia="Arial" w:hAnsi="Arial"/>
                <w:sz w:val="13"/>
                <w:szCs w:val="13"/>
                <w:b w:val="1"/>
                <w:bCs w:val="1"/>
                <w:color w:val="auto"/>
              </w:rPr>
              <w:t>2011</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3140" w:type="dxa"/>
            <w:vAlign w:val="bottom"/>
            <w:shd w:val="clear" w:color="auto" w:fill="CCEEFF"/>
          </w:tcPr>
          <w:p>
            <w:pPr>
              <w:spacing w:after="0" w:line="191" w:lineRule="exact"/>
              <w:rPr>
                <w:sz w:val="20"/>
                <w:szCs w:val="20"/>
                <w:color w:val="auto"/>
              </w:rPr>
            </w:pPr>
            <w:r>
              <w:rPr>
                <w:rFonts w:ascii="Arial" w:cs="Arial" w:eastAsia="Arial" w:hAnsi="Arial"/>
                <w:sz w:val="17"/>
                <w:szCs w:val="17"/>
                <w:b w:val="1"/>
                <w:bCs w:val="1"/>
                <w:color w:val="auto"/>
              </w:rPr>
              <w:t>Inter-segment revenues</w:t>
            </w:r>
          </w:p>
        </w:tc>
        <w:tc>
          <w:tcPr>
            <w:tcW w:w="3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3140" w:type="dxa"/>
            <w:vAlign w:val="bottom"/>
          </w:tcPr>
          <w:p>
            <w:pPr>
              <w:ind w:left="420"/>
              <w:spacing w:after="0"/>
              <w:rPr>
                <w:sz w:val="20"/>
                <w:szCs w:val="20"/>
                <w:color w:val="auto"/>
              </w:rPr>
            </w:pPr>
            <w:r>
              <w:rPr>
                <w:rFonts w:ascii="Arial" w:cs="Arial" w:eastAsia="Arial" w:hAnsi="Arial"/>
                <w:sz w:val="17"/>
                <w:szCs w:val="17"/>
                <w:color w:val="auto"/>
              </w:rPr>
              <w:t>National Networks</w:t>
            </w:r>
          </w:p>
        </w:tc>
        <w:tc>
          <w:tcPr>
            <w:tcW w:w="342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7"/>
                <w:szCs w:val="17"/>
                <w:color w:val="auto"/>
              </w:rPr>
              <w:t>(303)</w:t>
            </w:r>
          </w:p>
        </w:tc>
        <w:tc>
          <w:tcPr>
            <w:tcW w:w="4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7"/>
                <w:szCs w:val="17"/>
                <w:color w:val="auto"/>
              </w:rPr>
              <w:t>(70)</w:t>
            </w:r>
          </w:p>
        </w:tc>
        <w:tc>
          <w:tcPr>
            <w:tcW w:w="0" w:type="dxa"/>
            <w:vAlign w:val="bottom"/>
          </w:tcPr>
          <w:p>
            <w:pPr>
              <w:spacing w:after="0"/>
              <w:rPr>
                <w:sz w:val="1"/>
                <w:szCs w:val="1"/>
                <w:color w:val="auto"/>
              </w:rPr>
            </w:pPr>
          </w:p>
        </w:tc>
      </w:tr>
      <w:tr>
        <w:trPr>
          <w:trHeight w:val="211"/>
        </w:trPr>
        <w:tc>
          <w:tcPr>
            <w:tcW w:w="31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International and Other</w:t>
            </w:r>
          </w:p>
        </w:tc>
        <w:tc>
          <w:tcPr>
            <w:tcW w:w="3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(4,027)</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(4,253)</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3140" w:type="dxa"/>
            <w:vAlign w:val="bottom"/>
          </w:tcPr>
          <w:p>
            <w:pPr>
              <w:spacing w:after="0"/>
              <w:rPr>
                <w:sz w:val="18"/>
                <w:szCs w:val="18"/>
                <w:color w:val="auto"/>
              </w:rPr>
            </w:pPr>
          </w:p>
        </w:tc>
        <w:tc>
          <w:tcPr>
            <w:tcW w:w="342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7"/>
                <w:szCs w:val="17"/>
                <w:color w:val="auto"/>
              </w:rPr>
              <w:t>(4,330)</w:t>
            </w:r>
          </w:p>
        </w:tc>
        <w:tc>
          <w:tcPr>
            <w:tcW w:w="4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7"/>
                <w:szCs w:val="17"/>
                <w:color w:val="auto"/>
              </w:rPr>
              <w:t>(4,323)</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3300" w:type="dxa"/>
            <w:vAlign w:val="bottom"/>
            <w:vMerge w:val="restart"/>
          </w:tcPr>
          <w:p>
            <w:pPr>
              <w:jc w:val="right"/>
              <w:ind w:right="1934"/>
              <w:spacing w:after="0"/>
              <w:rPr>
                <w:sz w:val="20"/>
                <w:szCs w:val="20"/>
                <w:color w:val="auto"/>
              </w:rPr>
            </w:pPr>
            <w:r>
              <w:rPr>
                <w:rFonts w:ascii="Arial" w:cs="Arial" w:eastAsia="Arial" w:hAnsi="Arial"/>
                <w:sz w:val="17"/>
                <w:szCs w:val="17"/>
                <w:color w:val="auto"/>
              </w:rPr>
              <w:t>21</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8"/>
        </w:trPr>
        <w:tc>
          <w:tcPr>
            <w:tcW w:w="3140" w:type="dxa"/>
            <w:vAlign w:val="bottom"/>
          </w:tcPr>
          <w:p>
            <w:pPr>
              <w:spacing w:after="0"/>
              <w:rPr>
                <w:sz w:val="24"/>
                <w:szCs w:val="24"/>
                <w:color w:val="auto"/>
              </w:rPr>
            </w:pPr>
          </w:p>
        </w:tc>
        <w:tc>
          <w:tcPr>
            <w:tcW w:w="33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451" w:right="319" w:bottom="1440" w:gutter="0" w:footer="0" w:header="0"/>
        </w:sectPr>
      </w:pPr>
    </w:p>
    <w:bookmarkStart w:id="21" w:name="page22"/>
    <w:bookmarkEnd w:id="2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AMC NETWORKS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NOTES TO CONSOLIDATED FINANCIAL STATEMENTS - (Continued)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(Dollars in thousands, except per share amounts)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 reconciliation of reportable segment amounts to the Company’s consolidated balances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9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0" w:type="dxa"/>
            <w:vAlign w:val="bottom"/>
            <w:gridSpan w:val="6"/>
          </w:tcPr>
          <w:p>
            <w:pPr>
              <w:jc w:val="right"/>
              <w:ind w:right="200"/>
              <w:spacing w:after="0"/>
              <w:rPr>
                <w:sz w:val="20"/>
                <w:szCs w:val="20"/>
                <w:color w:val="auto"/>
              </w:rPr>
            </w:pPr>
            <w:r>
              <w:rPr>
                <w:rFonts w:ascii="Arial" w:cs="Arial" w:eastAsia="Arial" w:hAnsi="Arial"/>
                <w:sz w:val="13"/>
                <w:szCs w:val="13"/>
                <w:b w:val="1"/>
                <w:bCs w:val="1"/>
                <w:color w:val="auto"/>
                <w:w w:val="92"/>
              </w:rPr>
              <w:t>Three Months Ended March 31,</w:t>
            </w:r>
          </w:p>
        </w:tc>
      </w:tr>
      <w:tr>
        <w:trPr>
          <w:trHeight w:val="138"/>
        </w:trPr>
        <w:tc>
          <w:tcPr>
            <w:tcW w:w="93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9"/>
              <w:spacing w:after="0" w:line="138" w:lineRule="exact"/>
              <w:rPr>
                <w:sz w:val="20"/>
                <w:szCs w:val="20"/>
                <w:color w:val="auto"/>
              </w:rPr>
            </w:pPr>
            <w:r>
              <w:rPr>
                <w:rFonts w:ascii="Arial" w:cs="Arial" w:eastAsia="Arial" w:hAnsi="Arial"/>
                <w:sz w:val="13"/>
                <w:szCs w:val="13"/>
                <w:b w:val="1"/>
                <w:bCs w:val="1"/>
                <w:color w:val="auto"/>
              </w:rPr>
              <w:t>2012</w:t>
            </w: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217"/>
              <w:spacing w:after="0" w:line="138" w:lineRule="exact"/>
              <w:rPr>
                <w:sz w:val="20"/>
                <w:szCs w:val="20"/>
                <w:color w:val="auto"/>
              </w:rPr>
            </w:pPr>
            <w:r>
              <w:rPr>
                <w:rFonts w:ascii="Arial" w:cs="Arial" w:eastAsia="Arial" w:hAnsi="Arial"/>
                <w:sz w:val="13"/>
                <w:szCs w:val="13"/>
                <w:b w:val="1"/>
                <w:bCs w:val="1"/>
                <w:color w:val="auto"/>
              </w:rPr>
              <w:t>2011</w:t>
            </w:r>
          </w:p>
        </w:tc>
        <w:tc>
          <w:tcPr>
            <w:tcW w:w="100" w:type="dxa"/>
            <w:vAlign w:val="bottom"/>
            <w:tcBorders>
              <w:bottom w:val="single" w:sz="8" w:color="CCEEFF"/>
            </w:tcBorders>
          </w:tcPr>
          <w:p>
            <w:pPr>
              <w:spacing w:after="0"/>
              <w:rPr>
                <w:sz w:val="12"/>
                <w:szCs w:val="12"/>
                <w:color w:val="auto"/>
              </w:rPr>
            </w:pPr>
          </w:p>
        </w:tc>
      </w:tr>
      <w:tr>
        <w:trPr>
          <w:trHeight w:val="191"/>
        </w:trPr>
        <w:tc>
          <w:tcPr>
            <w:tcW w:w="9320" w:type="dxa"/>
            <w:vAlign w:val="bottom"/>
            <w:shd w:val="clear" w:color="auto" w:fill="CCEEFF"/>
          </w:tcPr>
          <w:p>
            <w:pPr>
              <w:spacing w:after="0" w:line="191" w:lineRule="exact"/>
              <w:rPr>
                <w:sz w:val="20"/>
                <w:szCs w:val="20"/>
                <w:color w:val="auto"/>
              </w:rPr>
            </w:pPr>
            <w:r>
              <w:rPr>
                <w:rFonts w:ascii="Arial" w:cs="Arial" w:eastAsia="Arial" w:hAnsi="Arial"/>
                <w:sz w:val="17"/>
                <w:szCs w:val="17"/>
                <w:b w:val="1"/>
                <w:bCs w:val="1"/>
                <w:color w:val="auto"/>
              </w:rPr>
              <w:t>Operating income from continuing operations before income taxes</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1"/>
        </w:trPr>
        <w:tc>
          <w:tcPr>
            <w:tcW w:w="9320" w:type="dxa"/>
            <w:vAlign w:val="bottom"/>
          </w:tcPr>
          <w:p>
            <w:pPr>
              <w:spacing w:after="0"/>
              <w:rPr>
                <w:sz w:val="20"/>
                <w:szCs w:val="20"/>
                <w:color w:val="auto"/>
              </w:rPr>
            </w:pPr>
            <w:r>
              <w:rPr>
                <w:rFonts w:ascii="Arial" w:cs="Arial" w:eastAsia="Arial" w:hAnsi="Arial"/>
                <w:sz w:val="17"/>
                <w:szCs w:val="17"/>
                <w:color w:val="auto"/>
              </w:rPr>
              <w:t>Total operating income for reportable segments</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97,039</w:t>
            </w:r>
          </w:p>
        </w:tc>
        <w:tc>
          <w:tcPr>
            <w:tcW w:w="200" w:type="dxa"/>
            <w:vAlign w:val="bottom"/>
          </w:tcPr>
          <w:p>
            <w:pPr>
              <w:spacing w:after="0"/>
              <w:rPr>
                <w:sz w:val="18"/>
                <w:szCs w:val="18"/>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70,679</w:t>
            </w:r>
          </w:p>
        </w:tc>
        <w:tc>
          <w:tcPr>
            <w:tcW w:w="100" w:type="dxa"/>
            <w:vAlign w:val="bottom"/>
          </w:tcPr>
          <w:p>
            <w:pPr>
              <w:spacing w:after="0"/>
              <w:rPr>
                <w:sz w:val="18"/>
                <w:szCs w:val="18"/>
                <w:color w:val="auto"/>
              </w:rPr>
            </w:pPr>
          </w:p>
        </w:tc>
      </w:tr>
      <w:tr>
        <w:trPr>
          <w:trHeight w:val="211"/>
        </w:trPr>
        <w:tc>
          <w:tcPr>
            <w:tcW w:w="9320" w:type="dxa"/>
            <w:vAlign w:val="bottom"/>
            <w:shd w:val="clear" w:color="auto" w:fill="CCEEFF"/>
          </w:tcPr>
          <w:p>
            <w:pPr>
              <w:spacing w:after="0"/>
              <w:rPr>
                <w:sz w:val="20"/>
                <w:szCs w:val="20"/>
                <w:color w:val="auto"/>
              </w:rPr>
            </w:pPr>
            <w:r>
              <w:rPr>
                <w:rFonts w:ascii="Arial" w:cs="Arial" w:eastAsia="Arial" w:hAnsi="Arial"/>
                <w:sz w:val="17"/>
                <w:szCs w:val="17"/>
                <w:color w:val="auto"/>
              </w:rPr>
              <w:t>Items excluded from operating income:</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1"/>
        </w:trPr>
        <w:tc>
          <w:tcPr>
            <w:tcW w:w="9320" w:type="dxa"/>
            <w:vAlign w:val="bottom"/>
          </w:tcPr>
          <w:p>
            <w:pPr>
              <w:ind w:left="420"/>
              <w:spacing w:after="0"/>
              <w:rPr>
                <w:sz w:val="20"/>
                <w:szCs w:val="20"/>
                <w:color w:val="auto"/>
              </w:rPr>
            </w:pPr>
            <w:r>
              <w:rPr>
                <w:rFonts w:ascii="Arial" w:cs="Arial" w:eastAsia="Arial" w:hAnsi="Arial"/>
                <w:sz w:val="17"/>
                <w:szCs w:val="17"/>
                <w:color w:val="auto"/>
              </w:rPr>
              <w:t>Interest expense</w:t>
            </w:r>
          </w:p>
        </w:tc>
        <w:tc>
          <w:tcPr>
            <w:tcW w:w="1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(29,797)</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7"/>
                <w:szCs w:val="17"/>
                <w:color w:val="auto"/>
              </w:rPr>
              <w:t>(18,350)</w:t>
            </w:r>
          </w:p>
        </w:tc>
      </w:tr>
      <w:tr>
        <w:trPr>
          <w:trHeight w:val="211"/>
        </w:trPr>
        <w:tc>
          <w:tcPr>
            <w:tcW w:w="9320" w:type="dxa"/>
            <w:vAlign w:val="bottom"/>
            <w:shd w:val="clear" w:color="auto" w:fill="CCEEFF"/>
          </w:tcPr>
          <w:p>
            <w:pPr>
              <w:ind w:left="420"/>
              <w:spacing w:after="0"/>
              <w:rPr>
                <w:sz w:val="20"/>
                <w:szCs w:val="20"/>
                <w:color w:val="auto"/>
              </w:rPr>
            </w:pPr>
            <w:r>
              <w:rPr>
                <w:rFonts w:ascii="Arial" w:cs="Arial" w:eastAsia="Arial" w:hAnsi="Arial"/>
                <w:sz w:val="17"/>
                <w:szCs w:val="17"/>
                <w:color w:val="auto"/>
              </w:rPr>
              <w:t>Interest income</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457</w:t>
            </w:r>
          </w:p>
        </w:tc>
        <w:tc>
          <w:tcPr>
            <w:tcW w:w="100" w:type="dxa"/>
            <w:vAlign w:val="bottom"/>
            <w:shd w:val="clear" w:color="auto" w:fill="CCEEFF"/>
          </w:tcPr>
          <w:p>
            <w:pPr>
              <w:spacing w:after="0"/>
              <w:rPr>
                <w:sz w:val="18"/>
                <w:szCs w:val="18"/>
                <w:color w:val="auto"/>
              </w:rPr>
            </w:pPr>
          </w:p>
        </w:tc>
      </w:tr>
      <w:tr>
        <w:trPr>
          <w:trHeight w:val="211"/>
        </w:trPr>
        <w:tc>
          <w:tcPr>
            <w:tcW w:w="9320" w:type="dxa"/>
            <w:vAlign w:val="bottom"/>
          </w:tcPr>
          <w:p>
            <w:pPr>
              <w:ind w:left="420"/>
              <w:spacing w:after="0"/>
              <w:rPr>
                <w:sz w:val="20"/>
                <w:szCs w:val="20"/>
                <w:color w:val="auto"/>
              </w:rPr>
            </w:pPr>
            <w:r>
              <w:rPr>
                <w:rFonts w:ascii="Arial" w:cs="Arial" w:eastAsia="Arial" w:hAnsi="Arial"/>
                <w:sz w:val="17"/>
                <w:szCs w:val="17"/>
                <w:color w:val="auto"/>
              </w:rPr>
              <w:t>Write-off of deferred financing costs</w:t>
            </w:r>
          </w:p>
        </w:tc>
        <w:tc>
          <w:tcPr>
            <w:tcW w:w="1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(312)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r>
      <w:tr>
        <w:trPr>
          <w:trHeight w:val="211"/>
        </w:trPr>
        <w:tc>
          <w:tcPr>
            <w:tcW w:w="9320" w:type="dxa"/>
            <w:vAlign w:val="bottom"/>
            <w:shd w:val="clear" w:color="auto" w:fill="CCEEFF"/>
          </w:tcPr>
          <w:p>
            <w:pPr>
              <w:ind w:left="420"/>
              <w:spacing w:after="0"/>
              <w:rPr>
                <w:sz w:val="20"/>
                <w:szCs w:val="20"/>
                <w:color w:val="auto"/>
              </w:rPr>
            </w:pPr>
            <w:r>
              <w:rPr>
                <w:rFonts w:ascii="Arial" w:cs="Arial" w:eastAsia="Arial" w:hAnsi="Arial"/>
                <w:sz w:val="17"/>
                <w:szCs w:val="17"/>
                <w:color w:val="auto"/>
              </w:rPr>
              <w:t>Miscellaneous, net</w:t>
            </w: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w:t>
            </w:r>
          </w:p>
        </w:tc>
        <w:tc>
          <w:tcPr>
            <w:tcW w:w="100" w:type="dxa"/>
            <w:vAlign w:val="bottom"/>
            <w:shd w:val="clear" w:color="auto" w:fill="CCEEFF"/>
          </w:tcPr>
          <w:p>
            <w:pPr>
              <w:spacing w:after="0"/>
              <w:rPr>
                <w:sz w:val="18"/>
                <w:szCs w:val="18"/>
                <w:color w:val="auto"/>
              </w:rPr>
            </w:pPr>
          </w:p>
        </w:tc>
      </w:tr>
      <w:tr>
        <w:trPr>
          <w:trHeight w:val="216"/>
        </w:trPr>
        <w:tc>
          <w:tcPr>
            <w:tcW w:w="9320" w:type="dxa"/>
            <w:vAlign w:val="bottom"/>
          </w:tcPr>
          <w:p>
            <w:pPr>
              <w:ind w:left="420"/>
              <w:spacing w:after="0"/>
              <w:rPr>
                <w:sz w:val="20"/>
                <w:szCs w:val="20"/>
                <w:color w:val="auto"/>
              </w:rPr>
            </w:pPr>
            <w:r>
              <w:rPr>
                <w:rFonts w:ascii="Arial" w:cs="Arial" w:eastAsia="Arial" w:hAnsi="Arial"/>
                <w:sz w:val="17"/>
                <w:szCs w:val="17"/>
                <w:color w:val="auto"/>
              </w:rPr>
              <w:t>Income from continuing operations before income taxes</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67,047</w:t>
            </w:r>
          </w:p>
        </w:tc>
        <w:tc>
          <w:tcPr>
            <w:tcW w:w="200" w:type="dxa"/>
            <w:vAlign w:val="bottom"/>
          </w:tcPr>
          <w:p>
            <w:pPr>
              <w:spacing w:after="0"/>
              <w:rPr>
                <w:sz w:val="18"/>
                <w:szCs w:val="18"/>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52,858</w:t>
            </w:r>
          </w:p>
        </w:tc>
        <w:tc>
          <w:tcPr>
            <w:tcW w:w="100" w:type="dxa"/>
            <w:vAlign w:val="bottom"/>
          </w:tcPr>
          <w:p>
            <w:pPr>
              <w:spacing w:after="0"/>
              <w:rPr>
                <w:sz w:val="18"/>
                <w:szCs w:val="18"/>
                <w:color w:val="auto"/>
              </w:rPr>
            </w:pPr>
          </w:p>
        </w:tc>
      </w:tr>
      <w:tr>
        <w:trPr>
          <w:trHeight w:val="20"/>
        </w:trPr>
        <w:tc>
          <w:tcPr>
            <w:tcW w:w="9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Substantially all revenues and assets of the Company are attributed to or located in the U.S.</w:t>
      </w:r>
    </w:p>
    <w:p>
      <w:pPr>
        <w:spacing w:after="0" w:line="160"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1420"/>
          </w:cols>
          <w:pgMar w:left="240" w:top="451" w:right="239" w:bottom="1440" w:gutter="0" w:footer="0" w:header="0"/>
        </w:sectPr>
      </w:pPr>
    </w:p>
    <w:bookmarkStart w:id="22" w:name="page23"/>
    <w:bookmarkEnd w:id="2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spacing w:after="0"/>
        <w:tabs>
          <w:tab w:leader="none" w:pos="90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100" w:lineRule="exact"/>
        <w:rPr>
          <w:sz w:val="20"/>
          <w:szCs w:val="20"/>
          <w:color w:val="auto"/>
        </w:rPr>
      </w:pPr>
    </w:p>
    <w:p>
      <w:pPr>
        <w:ind w:firstLine="457"/>
        <w:spacing w:after="0" w:line="281" w:lineRule="auto"/>
        <w:rPr>
          <w:sz w:val="20"/>
          <w:szCs w:val="20"/>
          <w:color w:val="auto"/>
        </w:rPr>
      </w:pPr>
      <w:r>
        <w:rPr>
          <w:rFonts w:ascii="Arial" w:cs="Arial" w:eastAsia="Arial" w:hAnsi="Arial"/>
          <w:sz w:val="16"/>
          <w:szCs w:val="16"/>
          <w:color w:val="auto"/>
        </w:rPr>
        <w:t>This Management’s Discussion and Analysis of Financial Condition and Results of Operations contains statements that constitute forward-looking information within the meaning of the Private Securities Litigation Reform Act of 1995. In this Management’s Discussion and Analysis of Financial Condition and Results of Operations there are statements concerning our future operating results and future financial performance. Words such as “expects,” “anticipates,” “believes,” “estimates,” “may,” “will,” “should,” “could,” “potential,” “continue,” “intends,” “plans” and similar words and terms used in the discussion of future operating results and future financial performance identify forward-looking statements. You are cautioned that any such forward-looking statements are not guarantees of future performance or results and involve risks and uncertainties and that actual results or developments may differ materially from the forward-looking statements as a result of various factors. Factors that may cause such differences to occur include, but are not limited to:</w:t>
      </w:r>
    </w:p>
    <w:p>
      <w:pPr>
        <w:spacing w:after="0" w:line="46" w:lineRule="exact"/>
        <w:rPr>
          <w:sz w:val="20"/>
          <w:szCs w:val="20"/>
          <w:color w:val="auto"/>
        </w:rPr>
      </w:pPr>
    </w:p>
    <w:p>
      <w:pPr>
        <w:ind w:left="900" w:hanging="328"/>
        <w:spacing w:after="0"/>
        <w:tabs>
          <w:tab w:leader="none" w:pos="90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level of our revenues;</w:t>
      </w:r>
    </w:p>
    <w:p>
      <w:pPr>
        <w:spacing w:after="0" w:line="94" w:lineRule="exact"/>
        <w:rPr>
          <w:rFonts w:ascii="Arial" w:cs="Arial" w:eastAsia="Arial" w:hAnsi="Arial"/>
          <w:sz w:val="17"/>
          <w:szCs w:val="17"/>
          <w:color w:val="auto"/>
        </w:rPr>
      </w:pPr>
    </w:p>
    <w:p>
      <w:pPr>
        <w:ind w:left="900" w:hanging="328"/>
        <w:spacing w:after="0"/>
        <w:tabs>
          <w:tab w:leader="none" w:pos="900" w:val="left"/>
        </w:tabs>
        <w:numPr>
          <w:ilvl w:val="0"/>
          <w:numId w:val="9"/>
        </w:numPr>
        <w:rPr>
          <w:rFonts w:ascii="Arial" w:cs="Arial" w:eastAsia="Arial" w:hAnsi="Arial"/>
          <w:sz w:val="17"/>
          <w:szCs w:val="17"/>
          <w:color w:val="auto"/>
        </w:rPr>
      </w:pPr>
      <w:r>
        <w:rPr>
          <w:rFonts w:ascii="Arial" w:cs="Arial" w:eastAsia="Arial" w:hAnsi="Arial"/>
          <w:sz w:val="17"/>
          <w:szCs w:val="17"/>
          <w:color w:val="auto"/>
        </w:rPr>
        <w:t>market demand for new programming services;</w:t>
      </w:r>
    </w:p>
    <w:p>
      <w:pPr>
        <w:spacing w:after="0" w:line="94" w:lineRule="exact"/>
        <w:rPr>
          <w:rFonts w:ascii="Arial" w:cs="Arial" w:eastAsia="Arial" w:hAnsi="Arial"/>
          <w:sz w:val="17"/>
          <w:szCs w:val="17"/>
          <w:color w:val="auto"/>
        </w:rPr>
      </w:pPr>
    </w:p>
    <w:p>
      <w:pPr>
        <w:ind w:left="900" w:hanging="328"/>
        <w:spacing w:after="0"/>
        <w:tabs>
          <w:tab w:leader="none" w:pos="900" w:val="left"/>
        </w:tabs>
        <w:numPr>
          <w:ilvl w:val="0"/>
          <w:numId w:val="9"/>
        </w:numPr>
        <w:rPr>
          <w:rFonts w:ascii="Arial" w:cs="Arial" w:eastAsia="Arial" w:hAnsi="Arial"/>
          <w:sz w:val="17"/>
          <w:szCs w:val="17"/>
          <w:color w:val="auto"/>
        </w:rPr>
      </w:pPr>
      <w:r>
        <w:rPr>
          <w:rFonts w:ascii="Arial" w:cs="Arial" w:eastAsia="Arial" w:hAnsi="Arial"/>
          <w:sz w:val="17"/>
          <w:szCs w:val="17"/>
          <w:color w:val="auto"/>
        </w:rPr>
        <w:t>demand for advertising inventory;</w:t>
      </w:r>
    </w:p>
    <w:p>
      <w:pPr>
        <w:spacing w:after="0" w:line="94" w:lineRule="exact"/>
        <w:rPr>
          <w:rFonts w:ascii="Arial" w:cs="Arial" w:eastAsia="Arial" w:hAnsi="Arial"/>
          <w:sz w:val="17"/>
          <w:szCs w:val="17"/>
          <w:color w:val="auto"/>
        </w:rPr>
      </w:pPr>
    </w:p>
    <w:p>
      <w:pPr>
        <w:jc w:val="both"/>
        <w:ind w:left="900" w:right="60" w:hanging="328"/>
        <w:spacing w:after="0" w:line="296"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demand for our programming among cable and other multichannel distribution platforms, including direct broadcast satellite (“DBS”) and platforms operated by telecommunications providers (we refer collectively to these cable and other multichannel distributors as “multichannel video distributors” or “distributors”) and our ability to maintain and renew affiliation agreements with multichannel video distributors;</w:t>
      </w:r>
    </w:p>
    <w:p>
      <w:pPr>
        <w:spacing w:after="0" w:line="30" w:lineRule="exact"/>
        <w:rPr>
          <w:rFonts w:ascii="Arial" w:cs="Arial" w:eastAsia="Arial" w:hAnsi="Arial"/>
          <w:sz w:val="16"/>
          <w:szCs w:val="16"/>
          <w:color w:val="auto"/>
        </w:rPr>
      </w:pPr>
    </w:p>
    <w:p>
      <w:pPr>
        <w:ind w:left="900" w:hanging="328"/>
        <w:spacing w:after="0"/>
        <w:tabs>
          <w:tab w:leader="none" w:pos="90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cost of, and our ability to obtain or produce, desirable programming content for our networks and film distribution businesses;</w:t>
      </w:r>
    </w:p>
    <w:p>
      <w:pPr>
        <w:spacing w:after="0" w:line="94" w:lineRule="exact"/>
        <w:rPr>
          <w:rFonts w:ascii="Arial" w:cs="Arial" w:eastAsia="Arial" w:hAnsi="Arial"/>
          <w:sz w:val="17"/>
          <w:szCs w:val="17"/>
          <w:color w:val="auto"/>
        </w:rPr>
      </w:pPr>
    </w:p>
    <w:p>
      <w:pPr>
        <w:ind w:left="900" w:hanging="328"/>
        <w:spacing w:after="0"/>
        <w:tabs>
          <w:tab w:leader="none" w:pos="900" w:val="left"/>
        </w:tabs>
        <w:numPr>
          <w:ilvl w:val="0"/>
          <w:numId w:val="9"/>
        </w:numPr>
        <w:rPr>
          <w:rFonts w:ascii="Arial" w:cs="Arial" w:eastAsia="Arial" w:hAnsi="Arial"/>
          <w:sz w:val="17"/>
          <w:szCs w:val="17"/>
          <w:color w:val="auto"/>
        </w:rPr>
      </w:pPr>
      <w:r>
        <w:rPr>
          <w:rFonts w:ascii="Arial" w:cs="Arial" w:eastAsia="Arial" w:hAnsi="Arial"/>
          <w:sz w:val="17"/>
          <w:szCs w:val="17"/>
          <w:color w:val="auto"/>
        </w:rPr>
        <w:t>market demand for our services internationally and for our film distribution business, and our ability to profitably provide those services;</w:t>
      </w:r>
    </w:p>
    <w:p>
      <w:pPr>
        <w:spacing w:after="0" w:line="94" w:lineRule="exact"/>
        <w:rPr>
          <w:rFonts w:ascii="Arial" w:cs="Arial" w:eastAsia="Arial" w:hAnsi="Arial"/>
          <w:sz w:val="17"/>
          <w:szCs w:val="17"/>
          <w:color w:val="auto"/>
        </w:rPr>
      </w:pPr>
    </w:p>
    <w:p>
      <w:pPr>
        <w:ind w:left="900" w:hanging="328"/>
        <w:spacing w:after="0"/>
        <w:tabs>
          <w:tab w:leader="none" w:pos="90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security of our program rights and other electronic data;</w:t>
      </w:r>
    </w:p>
    <w:p>
      <w:pPr>
        <w:spacing w:after="0" w:line="94" w:lineRule="exact"/>
        <w:rPr>
          <w:rFonts w:ascii="Arial" w:cs="Arial" w:eastAsia="Arial" w:hAnsi="Arial"/>
          <w:sz w:val="17"/>
          <w:szCs w:val="17"/>
          <w:color w:val="auto"/>
        </w:rPr>
      </w:pPr>
    </w:p>
    <w:p>
      <w:pPr>
        <w:ind w:left="900" w:hanging="328"/>
        <w:spacing w:after="0"/>
        <w:tabs>
          <w:tab w:leader="none" w:pos="90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loss of any of our key personnel and artistic talent;</w:t>
      </w:r>
    </w:p>
    <w:p>
      <w:pPr>
        <w:spacing w:after="0" w:line="94" w:lineRule="exact"/>
        <w:rPr>
          <w:rFonts w:ascii="Arial" w:cs="Arial" w:eastAsia="Arial" w:hAnsi="Arial"/>
          <w:sz w:val="17"/>
          <w:szCs w:val="17"/>
          <w:color w:val="auto"/>
        </w:rPr>
      </w:pPr>
    </w:p>
    <w:p>
      <w:pPr>
        <w:ind w:left="900" w:hanging="328"/>
        <w:spacing w:after="0"/>
        <w:tabs>
          <w:tab w:leader="none" w:pos="90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highly competitive nature of the cable programming industry;</w:t>
      </w:r>
    </w:p>
    <w:p>
      <w:pPr>
        <w:spacing w:after="0" w:line="94" w:lineRule="exact"/>
        <w:rPr>
          <w:rFonts w:ascii="Arial" w:cs="Arial" w:eastAsia="Arial" w:hAnsi="Arial"/>
          <w:sz w:val="17"/>
          <w:szCs w:val="17"/>
          <w:color w:val="auto"/>
        </w:rPr>
      </w:pPr>
    </w:p>
    <w:p>
      <w:pPr>
        <w:ind w:left="900" w:hanging="328"/>
        <w:spacing w:after="0"/>
        <w:tabs>
          <w:tab w:leader="none" w:pos="900" w:val="left"/>
        </w:tabs>
        <w:numPr>
          <w:ilvl w:val="0"/>
          <w:numId w:val="9"/>
        </w:numPr>
        <w:rPr>
          <w:rFonts w:ascii="Arial" w:cs="Arial" w:eastAsia="Arial" w:hAnsi="Arial"/>
          <w:sz w:val="17"/>
          <w:szCs w:val="17"/>
          <w:color w:val="auto"/>
        </w:rPr>
      </w:pPr>
      <w:r>
        <w:rPr>
          <w:rFonts w:ascii="Arial" w:cs="Arial" w:eastAsia="Arial" w:hAnsi="Arial"/>
          <w:sz w:val="17"/>
          <w:szCs w:val="17"/>
          <w:color w:val="auto"/>
        </w:rPr>
        <w:t>changes in both domestic and foreign laws or regulations under which we operate;</w:t>
      </w:r>
    </w:p>
    <w:p>
      <w:pPr>
        <w:spacing w:after="0" w:line="94" w:lineRule="exact"/>
        <w:rPr>
          <w:rFonts w:ascii="Arial" w:cs="Arial" w:eastAsia="Arial" w:hAnsi="Arial"/>
          <w:sz w:val="17"/>
          <w:szCs w:val="17"/>
          <w:color w:val="auto"/>
        </w:rPr>
      </w:pPr>
    </w:p>
    <w:p>
      <w:pPr>
        <w:ind w:left="900" w:hanging="328"/>
        <w:spacing w:after="0"/>
        <w:tabs>
          <w:tab w:leader="none" w:pos="90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outcome of litigation and other proceedings, including the matters described in the notes to our consolidated financial statements;</w:t>
      </w:r>
    </w:p>
    <w:p>
      <w:pPr>
        <w:spacing w:after="0" w:line="94" w:lineRule="exact"/>
        <w:rPr>
          <w:rFonts w:ascii="Arial" w:cs="Arial" w:eastAsia="Arial" w:hAnsi="Arial"/>
          <w:sz w:val="17"/>
          <w:szCs w:val="17"/>
          <w:color w:val="auto"/>
        </w:rPr>
      </w:pPr>
    </w:p>
    <w:p>
      <w:pPr>
        <w:ind w:left="900" w:hanging="328"/>
        <w:spacing w:after="0"/>
        <w:tabs>
          <w:tab w:leader="none" w:pos="900" w:val="left"/>
        </w:tabs>
        <w:numPr>
          <w:ilvl w:val="0"/>
          <w:numId w:val="9"/>
        </w:numPr>
        <w:rPr>
          <w:rFonts w:ascii="Arial" w:cs="Arial" w:eastAsia="Arial" w:hAnsi="Arial"/>
          <w:sz w:val="17"/>
          <w:szCs w:val="17"/>
          <w:color w:val="auto"/>
        </w:rPr>
      </w:pPr>
      <w:r>
        <w:rPr>
          <w:rFonts w:ascii="Arial" w:cs="Arial" w:eastAsia="Arial" w:hAnsi="Arial"/>
          <w:sz w:val="17"/>
          <w:szCs w:val="17"/>
          <w:color w:val="auto"/>
        </w:rPr>
        <w:t>general economic conditions in the areas in which we operate;</w:t>
      </w:r>
    </w:p>
    <w:p>
      <w:pPr>
        <w:spacing w:after="0" w:line="94" w:lineRule="exact"/>
        <w:rPr>
          <w:rFonts w:ascii="Arial" w:cs="Arial" w:eastAsia="Arial" w:hAnsi="Arial"/>
          <w:sz w:val="17"/>
          <w:szCs w:val="17"/>
          <w:color w:val="auto"/>
        </w:rPr>
      </w:pPr>
    </w:p>
    <w:p>
      <w:pPr>
        <w:ind w:left="900" w:hanging="328"/>
        <w:spacing w:after="0"/>
        <w:tabs>
          <w:tab w:leader="none" w:pos="90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substantial debt and high leverage;</w:t>
      </w:r>
    </w:p>
    <w:p>
      <w:pPr>
        <w:spacing w:after="0" w:line="94" w:lineRule="exact"/>
        <w:rPr>
          <w:rFonts w:ascii="Arial" w:cs="Arial" w:eastAsia="Arial" w:hAnsi="Arial"/>
          <w:sz w:val="17"/>
          <w:szCs w:val="17"/>
          <w:color w:val="auto"/>
        </w:rPr>
      </w:pPr>
    </w:p>
    <w:p>
      <w:pPr>
        <w:ind w:left="900" w:hanging="328"/>
        <w:spacing w:after="0"/>
        <w:tabs>
          <w:tab w:leader="none" w:pos="900" w:val="left"/>
        </w:tabs>
        <w:numPr>
          <w:ilvl w:val="0"/>
          <w:numId w:val="9"/>
        </w:numPr>
        <w:rPr>
          <w:rFonts w:ascii="Arial" w:cs="Arial" w:eastAsia="Arial" w:hAnsi="Arial"/>
          <w:sz w:val="17"/>
          <w:szCs w:val="17"/>
          <w:color w:val="auto"/>
        </w:rPr>
      </w:pPr>
      <w:r>
        <w:rPr>
          <w:rFonts w:ascii="Arial" w:cs="Arial" w:eastAsia="Arial" w:hAnsi="Arial"/>
          <w:sz w:val="17"/>
          <w:szCs w:val="17"/>
          <w:color w:val="auto"/>
        </w:rPr>
        <w:t>reduced access to capital markets or significant increases in costs to borrow;</w:t>
      </w:r>
    </w:p>
    <w:p>
      <w:pPr>
        <w:spacing w:after="0" w:line="94" w:lineRule="exact"/>
        <w:rPr>
          <w:rFonts w:ascii="Arial" w:cs="Arial" w:eastAsia="Arial" w:hAnsi="Arial"/>
          <w:sz w:val="17"/>
          <w:szCs w:val="17"/>
          <w:color w:val="auto"/>
        </w:rPr>
      </w:pPr>
    </w:p>
    <w:p>
      <w:pPr>
        <w:ind w:left="900" w:hanging="328"/>
        <w:spacing w:after="0"/>
        <w:tabs>
          <w:tab w:leader="none" w:pos="90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level of our expenses;</w:t>
      </w:r>
    </w:p>
    <w:p>
      <w:pPr>
        <w:spacing w:after="0" w:line="94" w:lineRule="exact"/>
        <w:rPr>
          <w:rFonts w:ascii="Arial" w:cs="Arial" w:eastAsia="Arial" w:hAnsi="Arial"/>
          <w:sz w:val="17"/>
          <w:szCs w:val="17"/>
          <w:color w:val="auto"/>
        </w:rPr>
      </w:pPr>
    </w:p>
    <w:p>
      <w:pPr>
        <w:ind w:left="900" w:hanging="328"/>
        <w:spacing w:after="0"/>
        <w:tabs>
          <w:tab w:leader="none" w:pos="90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level of our capital expenditures;</w:t>
      </w:r>
    </w:p>
    <w:p>
      <w:pPr>
        <w:spacing w:after="0" w:line="94" w:lineRule="exact"/>
        <w:rPr>
          <w:rFonts w:ascii="Arial" w:cs="Arial" w:eastAsia="Arial" w:hAnsi="Arial"/>
          <w:sz w:val="17"/>
          <w:szCs w:val="17"/>
          <w:color w:val="auto"/>
        </w:rPr>
      </w:pPr>
    </w:p>
    <w:p>
      <w:pPr>
        <w:ind w:left="900" w:hanging="328"/>
        <w:spacing w:after="0"/>
        <w:tabs>
          <w:tab w:leader="none" w:pos="900" w:val="left"/>
        </w:tabs>
        <w:numPr>
          <w:ilvl w:val="0"/>
          <w:numId w:val="9"/>
        </w:numPr>
        <w:rPr>
          <w:rFonts w:ascii="Arial" w:cs="Arial" w:eastAsia="Arial" w:hAnsi="Arial"/>
          <w:sz w:val="17"/>
          <w:szCs w:val="17"/>
          <w:color w:val="auto"/>
        </w:rPr>
      </w:pPr>
      <w:r>
        <w:rPr>
          <w:rFonts w:ascii="Arial" w:cs="Arial" w:eastAsia="Arial" w:hAnsi="Arial"/>
          <w:sz w:val="17"/>
          <w:szCs w:val="17"/>
          <w:color w:val="auto"/>
        </w:rPr>
        <w:t>future acquisitions and dispositions of assets;</w:t>
      </w:r>
    </w:p>
    <w:p>
      <w:pPr>
        <w:spacing w:after="0" w:line="94" w:lineRule="exact"/>
        <w:rPr>
          <w:rFonts w:ascii="Arial" w:cs="Arial" w:eastAsia="Arial" w:hAnsi="Arial"/>
          <w:sz w:val="17"/>
          <w:szCs w:val="17"/>
          <w:color w:val="auto"/>
        </w:rPr>
      </w:pPr>
    </w:p>
    <w:p>
      <w:pPr>
        <w:ind w:left="900" w:hanging="328"/>
        <w:spacing w:after="0"/>
        <w:tabs>
          <w:tab w:leader="none" w:pos="900" w:val="left"/>
        </w:tabs>
        <w:numPr>
          <w:ilvl w:val="0"/>
          <w:numId w:val="9"/>
        </w:numPr>
        <w:rPr>
          <w:rFonts w:ascii="Arial" w:cs="Arial" w:eastAsia="Arial" w:hAnsi="Arial"/>
          <w:sz w:val="17"/>
          <w:szCs w:val="17"/>
          <w:color w:val="auto"/>
        </w:rPr>
      </w:pPr>
      <w:r>
        <w:rPr>
          <w:rFonts w:ascii="Arial" w:cs="Arial" w:eastAsia="Arial" w:hAnsi="Arial"/>
          <w:sz w:val="17"/>
          <w:szCs w:val="17"/>
          <w:color w:val="auto"/>
        </w:rPr>
        <w:t>whether pending uncompleted transactions, if any, are completed on the terms and at the times set forth (if at all);</w:t>
      </w:r>
    </w:p>
    <w:p>
      <w:pPr>
        <w:spacing w:after="0" w:line="94" w:lineRule="exact"/>
        <w:rPr>
          <w:rFonts w:ascii="Arial" w:cs="Arial" w:eastAsia="Arial" w:hAnsi="Arial"/>
          <w:sz w:val="17"/>
          <w:szCs w:val="17"/>
          <w:color w:val="auto"/>
        </w:rPr>
      </w:pPr>
    </w:p>
    <w:p>
      <w:pPr>
        <w:ind w:left="900" w:hanging="328"/>
        <w:spacing w:after="0"/>
        <w:tabs>
          <w:tab w:leader="none" w:pos="900" w:val="left"/>
        </w:tabs>
        <w:numPr>
          <w:ilvl w:val="0"/>
          <w:numId w:val="9"/>
        </w:numPr>
        <w:rPr>
          <w:rFonts w:ascii="Arial" w:cs="Arial" w:eastAsia="Arial" w:hAnsi="Arial"/>
          <w:sz w:val="17"/>
          <w:szCs w:val="17"/>
          <w:color w:val="auto"/>
        </w:rPr>
      </w:pPr>
      <w:r>
        <w:rPr>
          <w:rFonts w:ascii="Arial" w:cs="Arial" w:eastAsia="Arial" w:hAnsi="Arial"/>
          <w:sz w:val="17"/>
          <w:szCs w:val="17"/>
          <w:color w:val="auto"/>
        </w:rPr>
        <w:t>other risks and uncertainties inherent in our programming businesses;</w:t>
      </w:r>
    </w:p>
    <w:p>
      <w:pPr>
        <w:spacing w:after="0" w:line="94" w:lineRule="exact"/>
        <w:rPr>
          <w:rFonts w:ascii="Arial" w:cs="Arial" w:eastAsia="Arial" w:hAnsi="Arial"/>
          <w:sz w:val="17"/>
          <w:szCs w:val="17"/>
          <w:color w:val="auto"/>
        </w:rPr>
      </w:pPr>
    </w:p>
    <w:p>
      <w:pPr>
        <w:ind w:left="900" w:right="560" w:hanging="328"/>
        <w:spacing w:after="0" w:line="284" w:lineRule="auto"/>
        <w:tabs>
          <w:tab w:leader="none" w:pos="900" w:val="left"/>
        </w:tabs>
        <w:numPr>
          <w:ilvl w:val="0"/>
          <w:numId w:val="9"/>
        </w:numPr>
        <w:rPr>
          <w:rFonts w:ascii="Arial" w:cs="Arial" w:eastAsia="Arial" w:hAnsi="Arial"/>
          <w:sz w:val="17"/>
          <w:szCs w:val="17"/>
          <w:color w:val="auto"/>
        </w:rPr>
      </w:pPr>
      <w:r>
        <w:rPr>
          <w:rFonts w:ascii="Arial" w:cs="Arial" w:eastAsia="Arial" w:hAnsi="Arial"/>
          <w:sz w:val="17"/>
          <w:szCs w:val="17"/>
          <w:color w:val="auto"/>
        </w:rPr>
        <w:t>financial community and rating agency perceptions of our business, operations, financial condition and the industry in which we operate, and the additional factors described herein, and</w:t>
      </w:r>
    </w:p>
    <w:p>
      <w:pPr>
        <w:spacing w:after="0" w:line="37" w:lineRule="exact"/>
        <w:rPr>
          <w:rFonts w:ascii="Arial" w:cs="Arial" w:eastAsia="Arial" w:hAnsi="Arial"/>
          <w:sz w:val="17"/>
          <w:szCs w:val="17"/>
          <w:color w:val="auto"/>
        </w:rPr>
      </w:pPr>
    </w:p>
    <w:p>
      <w:pPr>
        <w:ind w:left="900" w:right="120" w:hanging="328"/>
        <w:spacing w:after="0" w:line="284" w:lineRule="auto"/>
        <w:tabs>
          <w:tab w:leader="none" w:pos="90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factors described under Item 1A, “Risk Factors” in our 2011 Annual Report on Form 10-K (the “2011 Form 10-K”), as filed with the Securities and Exchange Commission (“SEC”).</w:t>
      </w:r>
    </w:p>
    <w:p>
      <w:pPr>
        <w:spacing w:after="0" w:line="10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1380"/>
          </w:cols>
          <w:pgMar w:left="240" w:top="451" w:right="279" w:bottom="1440" w:gutter="0" w:footer="0" w:header="0"/>
        </w:sectPr>
      </w:pPr>
    </w:p>
    <w:bookmarkStart w:id="23" w:name="page24"/>
    <w:bookmarkEnd w:id="2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We disclaim any obligation to update or revise the forward-looking statements contained herein, except as otherwise required by applicable federal securities</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laws.</w:t>
      </w:r>
    </w:p>
    <w:p>
      <w:pPr>
        <w:spacing w:after="0" w:line="161" w:lineRule="exact"/>
        <w:rPr>
          <w:sz w:val="20"/>
          <w:szCs w:val="20"/>
          <w:color w:val="auto"/>
        </w:rPr>
      </w:pPr>
    </w:p>
    <w:p>
      <w:pPr>
        <w:ind w:right="560" w:firstLine="457"/>
        <w:spacing w:after="0" w:line="291" w:lineRule="auto"/>
        <w:rPr>
          <w:sz w:val="20"/>
          <w:szCs w:val="20"/>
          <w:color w:val="auto"/>
        </w:rPr>
      </w:pPr>
      <w:r>
        <w:rPr>
          <w:rFonts w:ascii="Arial" w:cs="Arial" w:eastAsia="Arial" w:hAnsi="Arial"/>
          <w:sz w:val="17"/>
          <w:szCs w:val="17"/>
          <w:b w:val="1"/>
          <w:bCs w:val="1"/>
          <w:color w:val="auto"/>
        </w:rPr>
        <w:t>All dollar amounts and subscriber data included in the following Management’s Discussion and Analysis of Financial Condition and Results of Operations are presented in thousands.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Introduction</w:t>
      </w:r>
    </w:p>
    <w:p>
      <w:pPr>
        <w:spacing w:after="0" w:line="100" w:lineRule="exact"/>
        <w:rPr>
          <w:sz w:val="20"/>
          <w:szCs w:val="20"/>
          <w:color w:val="auto"/>
        </w:rPr>
      </w:pPr>
    </w:p>
    <w:p>
      <w:pPr>
        <w:ind w:right="100" w:firstLine="457"/>
        <w:spacing w:after="0" w:line="313" w:lineRule="auto"/>
        <w:rPr>
          <w:sz w:val="20"/>
          <w:szCs w:val="20"/>
          <w:color w:val="auto"/>
        </w:rPr>
      </w:pPr>
      <w:r>
        <w:rPr>
          <w:rFonts w:ascii="Arial" w:cs="Arial" w:eastAsia="Arial" w:hAnsi="Arial"/>
          <w:sz w:val="15"/>
          <w:szCs w:val="15"/>
          <w:color w:val="auto"/>
        </w:rPr>
        <w:t>Management’s discussion and analysis, or MD&amp;A, of our results of operations and financial condition is provided as a supplement to, and should be read in conjunction with, the unaudited consolidated financial statements and notes thereto included elsewhere herein and in our 2011 Form 10-K to enhance the understanding of our financial condition, changes in financial condition and results of our operations. Unless the context otherwise requires, all references to “we,” “us,” “our,” “AMC Networks” or the “Company” refer to AMC Networks Inc., together with its direct and indirect subsidiaries. Our MD&amp;A is organized as follows:</w:t>
      </w:r>
    </w:p>
    <w:p>
      <w:pPr>
        <w:spacing w:after="0" w:line="101" w:lineRule="exact"/>
        <w:rPr>
          <w:sz w:val="20"/>
          <w:szCs w:val="20"/>
          <w:color w:val="auto"/>
        </w:rPr>
      </w:pPr>
    </w:p>
    <w:p>
      <w:pPr>
        <w:ind w:right="380" w:firstLine="457"/>
        <w:spacing w:after="0" w:line="284" w:lineRule="auto"/>
        <w:rPr>
          <w:sz w:val="20"/>
          <w:szCs w:val="20"/>
          <w:color w:val="auto"/>
        </w:rPr>
      </w:pPr>
      <w:r>
        <w:rPr>
          <w:rFonts w:ascii="Arial" w:cs="Arial" w:eastAsia="Arial" w:hAnsi="Arial"/>
          <w:sz w:val="17"/>
          <w:szCs w:val="17"/>
          <w:i w:val="1"/>
          <w:iCs w:val="1"/>
          <w:color w:val="auto"/>
        </w:rPr>
        <w:t xml:space="preserve">Business Overview. </w:t>
      </w:r>
      <w:r>
        <w:rPr>
          <w:rFonts w:ascii="Arial" w:cs="Arial" w:eastAsia="Arial" w:hAnsi="Arial"/>
          <w:sz w:val="17"/>
          <w:szCs w:val="17"/>
          <w:color w:val="auto"/>
        </w:rPr>
        <w:t>This section provides a general description of our business, as well as other matters that we believe are important in understanding our</w:t>
      </w:r>
      <w:r>
        <w:rPr>
          <w:rFonts w:ascii="Arial" w:cs="Arial" w:eastAsia="Arial" w:hAnsi="Arial"/>
          <w:sz w:val="17"/>
          <w:szCs w:val="17"/>
          <w:i w:val="1"/>
          <w:iCs w:val="1"/>
          <w:color w:val="auto"/>
        </w:rPr>
        <w:t xml:space="preserve"> </w:t>
      </w:r>
      <w:r>
        <w:rPr>
          <w:rFonts w:ascii="Arial" w:cs="Arial" w:eastAsia="Arial" w:hAnsi="Arial"/>
          <w:sz w:val="17"/>
          <w:szCs w:val="17"/>
          <w:color w:val="auto"/>
        </w:rPr>
        <w:t>results of operations and financial condition and in anticipating future trends.</w:t>
      </w:r>
    </w:p>
    <w:p>
      <w:pPr>
        <w:spacing w:after="0" w:line="117" w:lineRule="exact"/>
        <w:rPr>
          <w:sz w:val="20"/>
          <w:szCs w:val="20"/>
          <w:color w:val="auto"/>
        </w:rPr>
      </w:pPr>
    </w:p>
    <w:p>
      <w:pPr>
        <w:ind w:right="120" w:firstLine="457"/>
        <w:spacing w:after="0" w:line="271" w:lineRule="auto"/>
        <w:rPr>
          <w:sz w:val="20"/>
          <w:szCs w:val="20"/>
          <w:color w:val="auto"/>
        </w:rPr>
      </w:pPr>
      <w:r>
        <w:rPr>
          <w:rFonts w:ascii="Arial" w:cs="Arial" w:eastAsia="Arial" w:hAnsi="Arial"/>
          <w:sz w:val="17"/>
          <w:szCs w:val="17"/>
          <w:i w:val="1"/>
          <w:iCs w:val="1"/>
          <w:color w:val="auto"/>
        </w:rPr>
        <w:t xml:space="preserve">Consolidated Results of Operations. </w:t>
      </w:r>
      <w:r>
        <w:rPr>
          <w:rFonts w:ascii="Arial" w:cs="Arial" w:eastAsia="Arial" w:hAnsi="Arial"/>
          <w:sz w:val="17"/>
          <w:szCs w:val="17"/>
          <w:color w:val="auto"/>
        </w:rPr>
        <w:t>This section provides an analysis of our results of operations for the three months ended March 31, 2012 compared to the</w:t>
      </w:r>
      <w:r>
        <w:rPr>
          <w:rFonts w:ascii="Arial" w:cs="Arial" w:eastAsia="Arial" w:hAnsi="Arial"/>
          <w:sz w:val="17"/>
          <w:szCs w:val="17"/>
          <w:i w:val="1"/>
          <w:iCs w:val="1"/>
          <w:color w:val="auto"/>
        </w:rPr>
        <w:t xml:space="preserve"> </w:t>
      </w:r>
      <w:r>
        <w:rPr>
          <w:rFonts w:ascii="Arial" w:cs="Arial" w:eastAsia="Arial" w:hAnsi="Arial"/>
          <w:sz w:val="17"/>
          <w:szCs w:val="17"/>
          <w:color w:val="auto"/>
        </w:rPr>
        <w:t>three months ended March 31, 2011. Our discussion is presented on both a consolidated and segment basis. Our two segments are: (i) National Networks and (ii) International and Other.</w:t>
      </w:r>
    </w:p>
    <w:p>
      <w:pPr>
        <w:spacing w:after="0" w:line="128" w:lineRule="exact"/>
        <w:rPr>
          <w:sz w:val="20"/>
          <w:szCs w:val="20"/>
          <w:color w:val="auto"/>
        </w:rPr>
      </w:pPr>
    </w:p>
    <w:p>
      <w:pPr>
        <w:ind w:firstLine="457"/>
        <w:spacing w:after="0" w:line="296" w:lineRule="auto"/>
        <w:rPr>
          <w:sz w:val="20"/>
          <w:szCs w:val="20"/>
          <w:color w:val="auto"/>
        </w:rPr>
      </w:pPr>
      <w:r>
        <w:rPr>
          <w:rFonts w:ascii="Arial" w:cs="Arial" w:eastAsia="Arial" w:hAnsi="Arial"/>
          <w:sz w:val="16"/>
          <w:szCs w:val="16"/>
          <w:i w:val="1"/>
          <w:iCs w:val="1"/>
          <w:color w:val="auto"/>
        </w:rPr>
        <w:t xml:space="preserve">Liquidity and Capital Resources. </w:t>
      </w:r>
      <w:r>
        <w:rPr>
          <w:rFonts w:ascii="Arial" w:cs="Arial" w:eastAsia="Arial" w:hAnsi="Arial"/>
          <w:sz w:val="16"/>
          <w:szCs w:val="16"/>
          <w:color w:val="auto"/>
        </w:rPr>
        <w:t>This section provides a discussion of our financial condition as of March 31, 2012, as well as an analysis of our cash flows for</w:t>
      </w:r>
      <w:r>
        <w:rPr>
          <w:rFonts w:ascii="Arial" w:cs="Arial" w:eastAsia="Arial" w:hAnsi="Arial"/>
          <w:sz w:val="16"/>
          <w:szCs w:val="16"/>
          <w:i w:val="1"/>
          <w:iCs w:val="1"/>
          <w:color w:val="auto"/>
        </w:rPr>
        <w:t xml:space="preserve"> </w:t>
      </w:r>
      <w:r>
        <w:rPr>
          <w:rFonts w:ascii="Arial" w:cs="Arial" w:eastAsia="Arial" w:hAnsi="Arial"/>
          <w:sz w:val="16"/>
          <w:szCs w:val="16"/>
          <w:color w:val="auto"/>
        </w:rPr>
        <w:t>the three months ended March 31, 2012 and 2011. The discussion of our financial condition and liquidity includes summaries of (i) our primary sources of liquidity and (ii) our contractual obligations and off balance sheet arrangements that existed at March 31, 2012 and December 31, 2011.</w:t>
      </w:r>
    </w:p>
    <w:p>
      <w:pPr>
        <w:spacing w:after="0" w:line="109" w:lineRule="exact"/>
        <w:rPr>
          <w:sz w:val="20"/>
          <w:szCs w:val="20"/>
          <w:color w:val="auto"/>
        </w:rPr>
      </w:pPr>
    </w:p>
    <w:p>
      <w:pPr>
        <w:ind w:right="600" w:firstLine="457"/>
        <w:spacing w:after="0" w:line="317" w:lineRule="auto"/>
        <w:rPr>
          <w:sz w:val="20"/>
          <w:szCs w:val="20"/>
          <w:color w:val="auto"/>
        </w:rPr>
      </w:pPr>
      <w:r>
        <w:rPr>
          <w:rFonts w:ascii="Arial" w:cs="Arial" w:eastAsia="Arial" w:hAnsi="Arial"/>
          <w:sz w:val="16"/>
          <w:szCs w:val="16"/>
          <w:i w:val="1"/>
          <w:iCs w:val="1"/>
          <w:color w:val="auto"/>
        </w:rPr>
        <w:t>Critical Accounting Policies</w:t>
      </w:r>
      <w:r>
        <w:rPr>
          <w:rFonts w:ascii="Arial" w:cs="Arial" w:eastAsia="Arial" w:hAnsi="Arial"/>
          <w:sz w:val="16"/>
          <w:szCs w:val="16"/>
          <w:color w:val="auto"/>
        </w:rPr>
        <w:t>. This section provides a discussion of our critical accounting policy in respect to goodwill and identifiable indefinite-lived</w:t>
      </w:r>
      <w:r>
        <w:rPr>
          <w:rFonts w:ascii="Arial" w:cs="Arial" w:eastAsia="Arial" w:hAnsi="Arial"/>
          <w:sz w:val="16"/>
          <w:szCs w:val="16"/>
          <w:i w:val="1"/>
          <w:iCs w:val="1"/>
          <w:color w:val="auto"/>
        </w:rPr>
        <w:t xml:space="preserve"> </w:t>
      </w:r>
      <w:r>
        <w:rPr>
          <w:rFonts w:ascii="Arial" w:cs="Arial" w:eastAsia="Arial" w:hAnsi="Arial"/>
          <w:sz w:val="16"/>
          <w:szCs w:val="16"/>
          <w:color w:val="auto"/>
        </w:rPr>
        <w:t>intangible assets in order to provide the results of our annual impairment testing performed during the three months ended March 31, 2012.</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Overview</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manage our business through the following two reportable segments:</w:t>
      </w:r>
    </w:p>
    <w:p>
      <w:pPr>
        <w:spacing w:after="0" w:line="94" w:lineRule="exact"/>
        <w:rPr>
          <w:sz w:val="20"/>
          <w:szCs w:val="20"/>
          <w:color w:val="auto"/>
        </w:rPr>
      </w:pPr>
    </w:p>
    <w:p>
      <w:pPr>
        <w:ind w:left="900" w:right="340" w:hanging="328"/>
        <w:spacing w:after="0" w:line="271" w:lineRule="auto"/>
        <w:tabs>
          <w:tab w:leader="none" w:pos="900"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 xml:space="preserve">National Networks: </w:t>
      </w:r>
      <w:r>
        <w:rPr>
          <w:rFonts w:ascii="Arial" w:cs="Arial" w:eastAsia="Arial" w:hAnsi="Arial"/>
          <w:sz w:val="17"/>
          <w:szCs w:val="17"/>
          <w:color w:val="auto"/>
        </w:rPr>
        <w:t>Includes four nationally distributed programming networks: AMC, WE tv, IFC and Sundance Channel. These programming</w:t>
      </w:r>
      <w:r>
        <w:rPr>
          <w:rFonts w:ascii="Arial" w:cs="Arial" w:eastAsia="Arial" w:hAnsi="Arial"/>
          <w:sz w:val="17"/>
          <w:szCs w:val="17"/>
          <w:i w:val="1"/>
          <w:iCs w:val="1"/>
          <w:color w:val="auto"/>
        </w:rPr>
        <w:t xml:space="preserve"> </w:t>
      </w:r>
      <w:r>
        <w:rPr>
          <w:rFonts w:ascii="Arial" w:cs="Arial" w:eastAsia="Arial" w:hAnsi="Arial"/>
          <w:sz w:val="17"/>
          <w:szCs w:val="17"/>
          <w:color w:val="auto"/>
        </w:rPr>
        <w:t>networks are distributed throughout the United States (“U.S.”) via cable and other multichannel distribution platforms, including DBS and platforms operated by multichannel video distributors;</w:t>
      </w:r>
    </w:p>
    <w:p>
      <w:pPr>
        <w:spacing w:after="0" w:line="48" w:lineRule="exact"/>
        <w:rPr>
          <w:rFonts w:ascii="Arial" w:cs="Arial" w:eastAsia="Arial" w:hAnsi="Arial"/>
          <w:sz w:val="17"/>
          <w:szCs w:val="17"/>
          <w:color w:val="auto"/>
        </w:rPr>
      </w:pPr>
    </w:p>
    <w:p>
      <w:pPr>
        <w:ind w:left="900" w:right="20" w:hanging="328"/>
        <w:spacing w:after="0" w:line="308" w:lineRule="auto"/>
        <w:tabs>
          <w:tab w:leader="none" w:pos="900" w:val="left"/>
        </w:tabs>
        <w:numPr>
          <w:ilvl w:val="0"/>
          <w:numId w:val="10"/>
        </w:numPr>
        <w:rPr>
          <w:rFonts w:ascii="Arial" w:cs="Arial" w:eastAsia="Arial" w:hAnsi="Arial"/>
          <w:sz w:val="15"/>
          <w:szCs w:val="15"/>
          <w:color w:val="auto"/>
        </w:rPr>
      </w:pPr>
      <w:r>
        <w:rPr>
          <w:rFonts w:ascii="Arial" w:cs="Arial" w:eastAsia="Arial" w:hAnsi="Arial"/>
          <w:sz w:val="15"/>
          <w:szCs w:val="15"/>
          <w:i w:val="1"/>
          <w:iCs w:val="1"/>
          <w:color w:val="auto"/>
        </w:rPr>
        <w:t xml:space="preserve">International and Other: </w:t>
      </w:r>
      <w:r>
        <w:rPr>
          <w:rFonts w:ascii="Arial" w:cs="Arial" w:eastAsia="Arial" w:hAnsi="Arial"/>
          <w:sz w:val="15"/>
          <w:szCs w:val="15"/>
          <w:color w:val="auto"/>
        </w:rPr>
        <w:t>Principally includes AMC/Sundance Channel Global, our international programming business; IFC Films, our independent film</w:t>
      </w:r>
      <w:r>
        <w:rPr>
          <w:rFonts w:ascii="Arial" w:cs="Arial" w:eastAsia="Arial" w:hAnsi="Arial"/>
          <w:sz w:val="15"/>
          <w:szCs w:val="15"/>
          <w:i w:val="1"/>
          <w:iCs w:val="1"/>
          <w:color w:val="auto"/>
        </w:rPr>
        <w:t xml:space="preserve"> </w:t>
      </w:r>
      <w:r>
        <w:rPr>
          <w:rFonts w:ascii="Arial" w:cs="Arial" w:eastAsia="Arial" w:hAnsi="Arial"/>
          <w:sz w:val="15"/>
          <w:szCs w:val="15"/>
          <w:color w:val="auto"/>
        </w:rPr>
        <w:t>distribution business; and AMC Networks Broadcasting &amp; Technology, our network technical services business, which supplies services primarily to our national programming networks. AMC and Sundance Channel are distributed in Canada and Sundance Channel and WE tv are distributed in other countries throughout Europe and Asia. The International and Other reportable segment also includes VOOM HD, which we are in the process of winding down, and which continues to sell certain limited amounts of programming internationally through program license agreements.</w:t>
      </w:r>
    </w:p>
    <w:p>
      <w:pPr>
        <w:spacing w:after="0" w:line="105" w:lineRule="exact"/>
        <w:rPr>
          <w:sz w:val="20"/>
          <w:szCs w:val="20"/>
          <w:color w:val="auto"/>
        </w:rPr>
      </w:pPr>
    </w:p>
    <w:p>
      <w:pPr>
        <w:ind w:firstLine="457"/>
        <w:spacing w:after="0" w:line="284" w:lineRule="auto"/>
        <w:rPr>
          <w:sz w:val="20"/>
          <w:szCs w:val="20"/>
          <w:color w:val="auto"/>
        </w:rPr>
      </w:pPr>
      <w:r>
        <w:rPr>
          <w:rFonts w:ascii="Arial" w:cs="Arial" w:eastAsia="Arial" w:hAnsi="Arial"/>
          <w:sz w:val="17"/>
          <w:szCs w:val="17"/>
          <w:color w:val="auto"/>
        </w:rPr>
        <w:t>The tables presented below set forth our consolidated revenues, net, operating income (loss) and adjusted operating cash flow (“AOCF”), defined below, for the periods indicated.</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1420"/>
          </w:cols>
          <w:pgMar w:left="240" w:top="451" w:right="239" w:bottom="1440" w:gutter="0" w:footer="0" w:header="0"/>
        </w:sectPr>
      </w:pPr>
    </w:p>
    <w:bookmarkStart w:id="24" w:name="page25"/>
    <w:bookmarkEnd w:id="2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ectPr>
          <w:pgSz w:w="11900" w:h="16838" w:orient="portrait"/>
          <w:cols w:equalWidth="0" w:num="1">
            <w:col w:w="11400"/>
          </w:cols>
          <w:pgMar w:left="240" w:top="451"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840"/>
        <w:spacing w:after="0"/>
        <w:rPr>
          <w:sz w:val="20"/>
          <w:szCs w:val="20"/>
          <w:color w:val="auto"/>
        </w:rPr>
      </w:pPr>
      <w:r>
        <w:rPr>
          <w:rFonts w:ascii="Arial" w:cs="Arial" w:eastAsia="Arial" w:hAnsi="Arial"/>
          <w:sz w:val="17"/>
          <w:szCs w:val="17"/>
          <w:b w:val="1"/>
          <w:bCs w:val="1"/>
          <w:u w:val="single" w:color="auto"/>
          <w:color w:val="auto"/>
        </w:rPr>
        <w:t>Revenues,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1165860</wp:posOffset>
            </wp:positionH>
            <wp:positionV relativeFrom="paragraph">
              <wp:posOffset>-114300</wp:posOffset>
            </wp:positionV>
            <wp:extent cx="4925060" cy="1339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925060" cy="133985"/>
                    </a:xfrm>
                    <a:prstGeom prst="rect">
                      <a:avLst/>
                    </a:prstGeom>
                    <a:noFill/>
                  </pic:spPr>
                </pic:pic>
              </a:graphicData>
            </a:graphic>
          </wp:anchor>
        </w:drawing>
      </w:r>
    </w:p>
    <w:p>
      <w:pPr>
        <w:spacing w:after="0" w:line="7" w:lineRule="exact"/>
        <w:rPr>
          <w:sz w:val="20"/>
          <w:szCs w:val="20"/>
          <w:color w:val="auto"/>
        </w:rPr>
      </w:pPr>
    </w:p>
    <w:p>
      <w:pPr>
        <w:ind w:left="1840"/>
        <w:spacing w:after="0"/>
        <w:rPr>
          <w:sz w:val="20"/>
          <w:szCs w:val="20"/>
          <w:color w:val="auto"/>
        </w:rPr>
      </w:pPr>
      <w:r>
        <w:rPr>
          <w:rFonts w:ascii="Arial" w:cs="Arial" w:eastAsia="Arial" w:hAnsi="Arial"/>
          <w:sz w:val="17"/>
          <w:szCs w:val="17"/>
          <w:color w:val="auto"/>
        </w:rPr>
        <w:t>National Networks</w:t>
      </w:r>
    </w:p>
    <w:p>
      <w:pPr>
        <w:spacing w:after="0" w:line="15" w:lineRule="exact"/>
        <w:rPr>
          <w:sz w:val="20"/>
          <w:szCs w:val="20"/>
          <w:color w:val="auto"/>
        </w:rPr>
      </w:pPr>
    </w:p>
    <w:p>
      <w:pPr>
        <w:ind w:left="1840"/>
        <w:spacing w:after="0"/>
        <w:rPr>
          <w:sz w:val="20"/>
          <w:szCs w:val="20"/>
          <w:color w:val="auto"/>
        </w:rPr>
      </w:pPr>
      <w:r>
        <w:rPr>
          <w:rFonts w:ascii="Arial" w:cs="Arial" w:eastAsia="Arial" w:hAnsi="Arial"/>
          <w:sz w:val="17"/>
          <w:szCs w:val="17"/>
          <w:color w:val="auto"/>
        </w:rPr>
        <w:t>International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1165860</wp:posOffset>
            </wp:positionH>
            <wp:positionV relativeFrom="paragraph">
              <wp:posOffset>-121920</wp:posOffset>
            </wp:positionV>
            <wp:extent cx="4925060" cy="1339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925060" cy="133985"/>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7"/>
          <w:szCs w:val="17"/>
          <w:color w:val="auto"/>
        </w:rPr>
        <w:t>Inter-segment eliminations</w:t>
      </w:r>
    </w:p>
    <w:p>
      <w:pPr>
        <w:spacing w:after="0" w:line="36" w:lineRule="exact"/>
        <w:rPr>
          <w:sz w:val="20"/>
          <w:szCs w:val="20"/>
          <w:color w:val="auto"/>
        </w:rPr>
      </w:pPr>
    </w:p>
    <w:p>
      <w:pPr>
        <w:ind w:left="1840"/>
        <w:spacing w:after="0"/>
        <w:rPr>
          <w:sz w:val="20"/>
          <w:szCs w:val="20"/>
          <w:color w:val="auto"/>
        </w:rPr>
      </w:pPr>
      <w:r>
        <w:rPr>
          <w:rFonts w:ascii="Arial" w:cs="Arial" w:eastAsia="Arial" w:hAnsi="Arial"/>
          <w:sz w:val="17"/>
          <w:szCs w:val="17"/>
          <w:color w:val="auto"/>
        </w:rPr>
        <w:t>Consolidated revenues,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1165860</wp:posOffset>
            </wp:positionH>
            <wp:positionV relativeFrom="paragraph">
              <wp:posOffset>-118110</wp:posOffset>
            </wp:positionV>
            <wp:extent cx="4925060" cy="1339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925060" cy="133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840"/>
        <w:spacing w:after="0"/>
        <w:rPr>
          <w:sz w:val="20"/>
          <w:szCs w:val="20"/>
          <w:color w:val="auto"/>
        </w:rPr>
      </w:pPr>
      <w:r>
        <w:rPr>
          <w:rFonts w:ascii="Arial" w:cs="Arial" w:eastAsia="Arial" w:hAnsi="Arial"/>
          <w:sz w:val="17"/>
          <w:szCs w:val="17"/>
          <w:b w:val="1"/>
          <w:bCs w:val="1"/>
          <w:u w:val="single" w:color="auto"/>
          <w:color w:val="auto"/>
        </w:rPr>
        <w:t>Operating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1165860</wp:posOffset>
            </wp:positionH>
            <wp:positionV relativeFrom="paragraph">
              <wp:posOffset>-114300</wp:posOffset>
            </wp:positionV>
            <wp:extent cx="4925060" cy="1339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925060" cy="133985"/>
                    </a:xfrm>
                    <a:prstGeom prst="rect">
                      <a:avLst/>
                    </a:prstGeom>
                    <a:noFill/>
                  </pic:spPr>
                </pic:pic>
              </a:graphicData>
            </a:graphic>
          </wp:anchor>
        </w:drawing>
      </w:r>
    </w:p>
    <w:p>
      <w:pPr>
        <w:spacing w:after="0" w:line="7" w:lineRule="exact"/>
        <w:rPr>
          <w:sz w:val="20"/>
          <w:szCs w:val="20"/>
          <w:color w:val="auto"/>
        </w:rPr>
      </w:pPr>
    </w:p>
    <w:p>
      <w:pPr>
        <w:ind w:left="1840"/>
        <w:spacing w:after="0"/>
        <w:rPr>
          <w:sz w:val="20"/>
          <w:szCs w:val="20"/>
          <w:color w:val="auto"/>
        </w:rPr>
      </w:pPr>
      <w:r>
        <w:rPr>
          <w:rFonts w:ascii="Arial" w:cs="Arial" w:eastAsia="Arial" w:hAnsi="Arial"/>
          <w:sz w:val="17"/>
          <w:szCs w:val="17"/>
          <w:color w:val="auto"/>
        </w:rPr>
        <w:t>National Networks</w:t>
      </w:r>
    </w:p>
    <w:p>
      <w:pPr>
        <w:spacing w:after="0" w:line="15" w:lineRule="exact"/>
        <w:rPr>
          <w:sz w:val="20"/>
          <w:szCs w:val="20"/>
          <w:color w:val="auto"/>
        </w:rPr>
      </w:pPr>
    </w:p>
    <w:p>
      <w:pPr>
        <w:ind w:left="1840"/>
        <w:spacing w:after="0"/>
        <w:rPr>
          <w:sz w:val="20"/>
          <w:szCs w:val="20"/>
          <w:color w:val="auto"/>
        </w:rPr>
      </w:pPr>
      <w:r>
        <w:rPr>
          <w:rFonts w:ascii="Arial" w:cs="Arial" w:eastAsia="Arial" w:hAnsi="Arial"/>
          <w:sz w:val="17"/>
          <w:szCs w:val="17"/>
          <w:color w:val="auto"/>
        </w:rPr>
        <w:t>International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1165860</wp:posOffset>
            </wp:positionH>
            <wp:positionV relativeFrom="paragraph">
              <wp:posOffset>-121920</wp:posOffset>
            </wp:positionV>
            <wp:extent cx="4925060" cy="1339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925060" cy="133985"/>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7"/>
          <w:szCs w:val="17"/>
          <w:color w:val="auto"/>
        </w:rPr>
        <w:t>Inter-segment eliminations</w:t>
      </w:r>
    </w:p>
    <w:p>
      <w:pPr>
        <w:spacing w:after="0" w:line="36" w:lineRule="exact"/>
        <w:rPr>
          <w:sz w:val="20"/>
          <w:szCs w:val="20"/>
          <w:color w:val="auto"/>
        </w:rPr>
      </w:pPr>
    </w:p>
    <w:p>
      <w:pPr>
        <w:ind w:left="1840"/>
        <w:spacing w:after="0"/>
        <w:rPr>
          <w:sz w:val="20"/>
          <w:szCs w:val="20"/>
          <w:color w:val="auto"/>
        </w:rPr>
      </w:pPr>
      <w:r>
        <w:rPr>
          <w:rFonts w:ascii="Arial" w:cs="Arial" w:eastAsia="Arial" w:hAnsi="Arial"/>
          <w:sz w:val="15"/>
          <w:szCs w:val="15"/>
          <w:color w:val="auto"/>
        </w:rPr>
        <w:t>Consolidated operating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1165860</wp:posOffset>
            </wp:positionH>
            <wp:positionV relativeFrom="paragraph">
              <wp:posOffset>-103505</wp:posOffset>
            </wp:positionV>
            <wp:extent cx="4925060" cy="1339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925060" cy="133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840"/>
        <w:spacing w:after="0"/>
        <w:rPr>
          <w:sz w:val="20"/>
          <w:szCs w:val="20"/>
          <w:color w:val="auto"/>
        </w:rPr>
      </w:pPr>
      <w:r>
        <w:rPr>
          <w:rFonts w:ascii="Arial" w:cs="Arial" w:eastAsia="Arial" w:hAnsi="Arial"/>
          <w:sz w:val="17"/>
          <w:szCs w:val="17"/>
          <w:b w:val="1"/>
          <w:bCs w:val="1"/>
          <w:u w:val="single" w:color="auto"/>
          <w:color w:val="auto"/>
        </w:rPr>
        <w:t>AOCF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1165860</wp:posOffset>
            </wp:positionH>
            <wp:positionV relativeFrom="paragraph">
              <wp:posOffset>-114300</wp:posOffset>
            </wp:positionV>
            <wp:extent cx="4925060" cy="1339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925060" cy="133985"/>
                    </a:xfrm>
                    <a:prstGeom prst="rect">
                      <a:avLst/>
                    </a:prstGeom>
                    <a:noFill/>
                  </pic:spPr>
                </pic:pic>
              </a:graphicData>
            </a:graphic>
          </wp:anchor>
        </w:drawing>
      </w:r>
    </w:p>
    <w:p>
      <w:pPr>
        <w:spacing w:after="0" w:line="7" w:lineRule="exact"/>
        <w:rPr>
          <w:sz w:val="20"/>
          <w:szCs w:val="20"/>
          <w:color w:val="auto"/>
        </w:rPr>
      </w:pPr>
    </w:p>
    <w:p>
      <w:pPr>
        <w:ind w:left="1840"/>
        <w:spacing w:after="0"/>
        <w:rPr>
          <w:sz w:val="20"/>
          <w:szCs w:val="20"/>
          <w:color w:val="auto"/>
        </w:rPr>
      </w:pPr>
      <w:r>
        <w:rPr>
          <w:rFonts w:ascii="Arial" w:cs="Arial" w:eastAsia="Arial" w:hAnsi="Arial"/>
          <w:sz w:val="17"/>
          <w:szCs w:val="17"/>
          <w:color w:val="auto"/>
        </w:rPr>
        <w:t>National Networks</w:t>
      </w:r>
    </w:p>
    <w:p>
      <w:pPr>
        <w:spacing w:after="0" w:line="15" w:lineRule="exact"/>
        <w:rPr>
          <w:sz w:val="20"/>
          <w:szCs w:val="20"/>
          <w:color w:val="auto"/>
        </w:rPr>
      </w:pPr>
    </w:p>
    <w:p>
      <w:pPr>
        <w:ind w:left="1840"/>
        <w:spacing w:after="0"/>
        <w:rPr>
          <w:sz w:val="20"/>
          <w:szCs w:val="20"/>
          <w:color w:val="auto"/>
        </w:rPr>
      </w:pPr>
      <w:r>
        <w:rPr>
          <w:rFonts w:ascii="Arial" w:cs="Arial" w:eastAsia="Arial" w:hAnsi="Arial"/>
          <w:sz w:val="17"/>
          <w:szCs w:val="17"/>
          <w:color w:val="auto"/>
        </w:rPr>
        <w:t>International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1165860</wp:posOffset>
            </wp:positionH>
            <wp:positionV relativeFrom="paragraph">
              <wp:posOffset>-121920</wp:posOffset>
            </wp:positionV>
            <wp:extent cx="4925060" cy="1339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925060" cy="133985"/>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7"/>
          <w:szCs w:val="17"/>
          <w:color w:val="auto"/>
        </w:rPr>
        <w:t>Inter-segment eliminations</w:t>
      </w:r>
    </w:p>
    <w:p>
      <w:pPr>
        <w:spacing w:after="0" w:line="36" w:lineRule="exact"/>
        <w:rPr>
          <w:sz w:val="20"/>
          <w:szCs w:val="20"/>
          <w:color w:val="auto"/>
        </w:rPr>
      </w:pPr>
    </w:p>
    <w:p>
      <w:pPr>
        <w:ind w:left="1840"/>
        <w:spacing w:after="0"/>
        <w:rPr>
          <w:sz w:val="20"/>
          <w:szCs w:val="20"/>
          <w:color w:val="auto"/>
        </w:rPr>
      </w:pPr>
      <w:r>
        <w:rPr>
          <w:rFonts w:ascii="Arial" w:cs="Arial" w:eastAsia="Arial" w:hAnsi="Arial"/>
          <w:sz w:val="17"/>
          <w:szCs w:val="17"/>
          <w:color w:val="auto"/>
        </w:rPr>
        <w:t>Consolidated AOCF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1165860</wp:posOffset>
            </wp:positionH>
            <wp:positionV relativeFrom="paragraph">
              <wp:posOffset>-118110</wp:posOffset>
            </wp:positionV>
            <wp:extent cx="4925060" cy="1339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925060" cy="133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jc w:val="center"/>
        <w:ind w:right="1920"/>
        <w:spacing w:after="0"/>
        <w:rPr>
          <w:sz w:val="20"/>
          <w:szCs w:val="20"/>
          <w:color w:val="auto"/>
        </w:rPr>
      </w:pPr>
      <w:r>
        <w:rPr>
          <w:rFonts w:ascii="Arial" w:cs="Arial" w:eastAsia="Arial" w:hAnsi="Arial"/>
          <w:sz w:val="13"/>
          <w:szCs w:val="13"/>
          <w:b w:val="1"/>
          <w:bCs w:val="1"/>
          <w:color w:val="auto"/>
        </w:rPr>
        <w:t>Three Months Ended</w:t>
      </w:r>
    </w:p>
    <w:p>
      <w:pPr>
        <w:spacing w:after="0" w:line="9" w:lineRule="exact"/>
        <w:rPr>
          <w:sz w:val="20"/>
          <w:szCs w:val="20"/>
          <w:color w:val="auto"/>
        </w:rPr>
      </w:pPr>
    </w:p>
    <w:p>
      <w:pPr>
        <w:jc w:val="center"/>
        <w:ind w:right="1920"/>
        <w:spacing w:after="0"/>
        <w:rPr>
          <w:sz w:val="20"/>
          <w:szCs w:val="20"/>
          <w:color w:val="auto"/>
        </w:rPr>
      </w:pPr>
      <w:r>
        <w:rPr>
          <w:rFonts w:ascii="Arial" w:cs="Arial" w:eastAsia="Arial" w:hAnsi="Arial"/>
          <w:sz w:val="13"/>
          <w:szCs w:val="13"/>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-3175</wp:posOffset>
            </wp:positionV>
            <wp:extent cx="117919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179195" cy="8255"/>
                    </a:xfrm>
                    <a:prstGeom prst="rect">
                      <a:avLst/>
                    </a:prstGeom>
                    <a:noFill/>
                  </pic:spPr>
                </pic:pic>
              </a:graphicData>
            </a:graphic>
          </wp:anchor>
        </w:drawing>
      </w:r>
    </w:p>
    <w:p>
      <w:pPr>
        <w:ind w:left="180"/>
        <w:spacing w:after="0"/>
        <w:tabs>
          <w:tab w:leader="none" w:pos="1360" w:val="left"/>
        </w:tabs>
        <w:rPr>
          <w:sz w:val="20"/>
          <w:szCs w:val="20"/>
          <w:color w:val="auto"/>
        </w:rPr>
      </w:pPr>
      <w:r>
        <w:rPr>
          <w:rFonts w:ascii="Arial" w:cs="Arial" w:eastAsia="Arial" w:hAnsi="Arial"/>
          <w:sz w:val="13"/>
          <w:szCs w:val="13"/>
          <w:b w:val="1"/>
          <w:bCs w:val="1"/>
          <w:color w:val="auto"/>
        </w:rPr>
        <w:t>2012</w:t>
      </w:r>
      <w:r>
        <w:rPr>
          <w:sz w:val="20"/>
          <w:szCs w:val="20"/>
          <w:color w:val="auto"/>
        </w:rPr>
        <w:tab/>
      </w:r>
      <w:r>
        <w:rPr>
          <w:rFonts w:ascii="Arial" w:cs="Arial" w:eastAsia="Arial" w:hAnsi="Arial"/>
          <w:sz w:val="13"/>
          <w:szCs w:val="13"/>
          <w:b w:val="1"/>
          <w:bCs w:val="1"/>
          <w:color w:val="auto"/>
        </w:rPr>
        <w:t>2011</w:t>
      </w:r>
    </w:p>
    <w:p>
      <w:pPr>
        <w:spacing w:after="0" w:line="199" w:lineRule="exact"/>
        <w:rPr>
          <w:sz w:val="20"/>
          <w:szCs w:val="20"/>
          <w:color w:val="auto"/>
        </w:rPr>
      </w:pPr>
    </w:p>
    <w:p>
      <w:pPr>
        <w:spacing w:after="0"/>
        <w:tabs>
          <w:tab w:leader="none" w:pos="1160" w:val="left"/>
        </w:tabs>
        <w:rPr>
          <w:sz w:val="20"/>
          <w:szCs w:val="20"/>
          <w:color w:val="auto"/>
        </w:rPr>
      </w:pPr>
      <w:r>
        <w:rPr>
          <w:rFonts w:ascii="Arial" w:cs="Arial" w:eastAsia="Arial" w:hAnsi="Arial"/>
          <w:sz w:val="17"/>
          <w:szCs w:val="17"/>
          <w:color w:val="auto"/>
        </w:rPr>
        <w:t>$304,223</w:t>
      </w:r>
      <w:r>
        <w:rPr>
          <w:sz w:val="20"/>
          <w:szCs w:val="20"/>
          <w:color w:val="auto"/>
        </w:rPr>
        <w:tab/>
      </w:r>
      <w:r>
        <w:rPr>
          <w:rFonts w:ascii="Arial" w:cs="Arial" w:eastAsia="Arial" w:hAnsi="Arial"/>
          <w:sz w:val="15"/>
          <w:szCs w:val="15"/>
          <w:color w:val="auto"/>
        </w:rPr>
        <w:t>$251,845</w:t>
      </w:r>
    </w:p>
    <w:p>
      <w:pPr>
        <w:spacing w:after="0" w:line="21" w:lineRule="exact"/>
        <w:rPr>
          <w:sz w:val="20"/>
          <w:szCs w:val="20"/>
          <w:color w:val="auto"/>
        </w:rPr>
      </w:pPr>
    </w:p>
    <w:p>
      <w:pPr>
        <w:ind w:left="180"/>
        <w:spacing w:after="0"/>
        <w:tabs>
          <w:tab w:leader="none" w:pos="1360" w:val="left"/>
        </w:tabs>
        <w:rPr>
          <w:sz w:val="20"/>
          <w:szCs w:val="20"/>
          <w:color w:val="auto"/>
        </w:rPr>
      </w:pPr>
      <w:r>
        <w:rPr>
          <w:rFonts w:ascii="Arial" w:cs="Arial" w:eastAsia="Arial" w:hAnsi="Arial"/>
          <w:sz w:val="17"/>
          <w:szCs w:val="17"/>
          <w:color w:val="auto"/>
        </w:rPr>
        <w:t>26,346</w:t>
      </w:r>
      <w:r>
        <w:rPr>
          <w:sz w:val="20"/>
          <w:szCs w:val="20"/>
          <w:color w:val="auto"/>
        </w:rPr>
        <w:tab/>
      </w:r>
      <w:r>
        <w:rPr>
          <w:rFonts w:ascii="Arial" w:cs="Arial" w:eastAsia="Arial" w:hAnsi="Arial"/>
          <w:sz w:val="17"/>
          <w:szCs w:val="17"/>
          <w:color w:val="auto"/>
        </w:rPr>
        <w:t>25,381</w:t>
      </w:r>
    </w:p>
    <w:p>
      <w:pPr>
        <w:spacing w:after="0" w:line="15" w:lineRule="exact"/>
        <w:rPr>
          <w:sz w:val="20"/>
          <w:szCs w:val="20"/>
          <w:color w:val="auto"/>
        </w:rPr>
      </w:pPr>
    </w:p>
    <w:p>
      <w:pPr>
        <w:jc w:val="both"/>
        <w:ind w:left="200"/>
        <w:spacing w:after="0"/>
        <w:tabs>
          <w:tab w:leader="none" w:pos="1380" w:val="left"/>
        </w:tabs>
        <w:rPr>
          <w:sz w:val="20"/>
          <w:szCs w:val="20"/>
          <w:color w:val="auto"/>
        </w:rPr>
      </w:pPr>
      <w:r>
        <w:rPr>
          <w:rFonts w:ascii="Arial" w:cs="Arial" w:eastAsia="Arial" w:hAnsi="Arial"/>
          <w:sz w:val="17"/>
          <w:szCs w:val="17"/>
          <w:color w:val="auto"/>
        </w:rPr>
        <w:t>(4,330)</w:t>
      </w:r>
      <w:r>
        <w:rPr>
          <w:sz w:val="20"/>
          <w:szCs w:val="20"/>
          <w:color w:val="auto"/>
        </w:rPr>
        <w:tab/>
      </w:r>
      <w:r>
        <w:rPr>
          <w:rFonts w:ascii="Arial" w:cs="Arial" w:eastAsia="Arial" w:hAnsi="Arial"/>
          <w:sz w:val="17"/>
          <w:szCs w:val="17"/>
          <w:color w:val="auto"/>
        </w:rPr>
        <w:t>(4,323)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11430</wp:posOffset>
            </wp:positionV>
            <wp:extent cx="41783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17830" cy="8255"/>
                    </a:xfrm>
                    <a:prstGeom prst="rect">
                      <a:avLst/>
                    </a:prstGeom>
                    <a:noFill/>
                  </pic:spPr>
                </pic:pic>
              </a:graphicData>
            </a:graphic>
          </wp:anchor>
        </w:drawing>
        <w:drawing>
          <wp:anchor simplePos="0" relativeHeight="251657728" behindDoc="1" locked="0" layoutInCell="0" allowOverlap="1">
            <wp:simplePos x="0" y="0"/>
            <wp:positionH relativeFrom="column">
              <wp:posOffset>754380</wp:posOffset>
            </wp:positionH>
            <wp:positionV relativeFrom="paragraph">
              <wp:posOffset>11430</wp:posOffset>
            </wp:positionV>
            <wp:extent cx="41783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17830" cy="8255"/>
                    </a:xfrm>
                    <a:prstGeom prst="rect">
                      <a:avLst/>
                    </a:prstGeom>
                    <a:noFill/>
                  </pic:spPr>
                </pic:pic>
              </a:graphicData>
            </a:graphic>
          </wp:anchor>
        </w:drawing>
      </w:r>
    </w:p>
    <w:p>
      <w:pPr>
        <w:spacing w:after="0" w:line="16" w:lineRule="exact"/>
        <w:rPr>
          <w:sz w:val="20"/>
          <w:szCs w:val="20"/>
          <w:color w:val="auto"/>
        </w:rPr>
      </w:pPr>
    </w:p>
    <w:p>
      <w:pPr>
        <w:spacing w:after="0"/>
        <w:tabs>
          <w:tab w:leader="none" w:pos="1160" w:val="left"/>
        </w:tabs>
        <w:rPr>
          <w:sz w:val="20"/>
          <w:szCs w:val="20"/>
          <w:color w:val="auto"/>
        </w:rPr>
      </w:pPr>
      <w:r>
        <w:rPr>
          <w:rFonts w:ascii="Arial" w:cs="Arial" w:eastAsia="Arial" w:hAnsi="Arial"/>
          <w:sz w:val="17"/>
          <w:szCs w:val="17"/>
          <w:u w:val="single" w:color="auto"/>
          <w:color w:val="auto"/>
        </w:rPr>
        <w:t>$326,239</w:t>
      </w:r>
      <w:r>
        <w:rPr>
          <w:sz w:val="20"/>
          <w:szCs w:val="20"/>
          <w:color w:val="auto"/>
        </w:rPr>
        <w:tab/>
      </w:r>
      <w:r>
        <w:rPr>
          <w:rFonts w:ascii="Arial" w:cs="Arial" w:eastAsia="Arial" w:hAnsi="Arial"/>
          <w:sz w:val="15"/>
          <w:szCs w:val="15"/>
          <w:u w:val="single" w:color="auto"/>
          <w:color w:val="auto"/>
        </w:rPr>
        <w:t>$272,903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31750</wp:posOffset>
            </wp:positionV>
            <wp:extent cx="41783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17830" cy="8255"/>
                    </a:xfrm>
                    <a:prstGeom prst="rect">
                      <a:avLst/>
                    </a:prstGeom>
                    <a:noFill/>
                  </pic:spPr>
                </pic:pic>
              </a:graphicData>
            </a:graphic>
          </wp:anchor>
        </w:drawing>
        <w:drawing>
          <wp:anchor simplePos="0" relativeHeight="251657728" behindDoc="1" locked="0" layoutInCell="0" allowOverlap="1">
            <wp:simplePos x="0" y="0"/>
            <wp:positionH relativeFrom="column">
              <wp:posOffset>754380</wp:posOffset>
            </wp:positionH>
            <wp:positionV relativeFrom="paragraph">
              <wp:posOffset>31750</wp:posOffset>
            </wp:positionV>
            <wp:extent cx="41783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17830" cy="8255"/>
                    </a:xfrm>
                    <a:prstGeom prst="rect">
                      <a:avLst/>
                    </a:prstGeom>
                    <a:noFill/>
                  </pic:spPr>
                </pic:pic>
              </a:graphicData>
            </a:graphic>
          </wp:anchor>
        </w:drawing>
      </w:r>
    </w:p>
    <w:p>
      <w:pPr>
        <w:spacing w:after="0" w:line="254" w:lineRule="exact"/>
        <w:rPr>
          <w:sz w:val="20"/>
          <w:szCs w:val="20"/>
          <w:color w:val="auto"/>
        </w:rPr>
      </w:pPr>
    </w:p>
    <w:p>
      <w:pPr>
        <w:jc w:val="center"/>
        <w:ind w:right="1920"/>
        <w:spacing w:after="0"/>
        <w:rPr>
          <w:sz w:val="20"/>
          <w:szCs w:val="20"/>
          <w:color w:val="auto"/>
        </w:rPr>
      </w:pPr>
      <w:r>
        <w:rPr>
          <w:rFonts w:ascii="Arial" w:cs="Arial" w:eastAsia="Arial" w:hAnsi="Arial"/>
          <w:sz w:val="13"/>
          <w:szCs w:val="13"/>
          <w:b w:val="1"/>
          <w:bCs w:val="1"/>
          <w:color w:val="auto"/>
        </w:rPr>
        <w:t>Three Months Ended</w:t>
      </w:r>
    </w:p>
    <w:p>
      <w:pPr>
        <w:spacing w:after="0" w:line="9" w:lineRule="exact"/>
        <w:rPr>
          <w:sz w:val="20"/>
          <w:szCs w:val="20"/>
          <w:color w:val="auto"/>
        </w:rPr>
      </w:pPr>
    </w:p>
    <w:p>
      <w:pPr>
        <w:jc w:val="center"/>
        <w:ind w:right="1920"/>
        <w:spacing w:after="0"/>
        <w:rPr>
          <w:sz w:val="20"/>
          <w:szCs w:val="20"/>
          <w:color w:val="auto"/>
        </w:rPr>
      </w:pPr>
      <w:r>
        <w:rPr>
          <w:rFonts w:ascii="Arial" w:cs="Arial" w:eastAsia="Arial" w:hAnsi="Arial"/>
          <w:sz w:val="13"/>
          <w:szCs w:val="13"/>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-3175</wp:posOffset>
            </wp:positionV>
            <wp:extent cx="117919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179195" cy="8255"/>
                    </a:xfrm>
                    <a:prstGeom prst="rect">
                      <a:avLst/>
                    </a:prstGeom>
                    <a:noFill/>
                  </pic:spPr>
                </pic:pic>
              </a:graphicData>
            </a:graphic>
          </wp:anchor>
        </w:drawing>
      </w:r>
    </w:p>
    <w:p>
      <w:pPr>
        <w:ind w:left="180"/>
        <w:spacing w:after="0"/>
        <w:tabs>
          <w:tab w:leader="none" w:pos="1360" w:val="left"/>
        </w:tabs>
        <w:rPr>
          <w:sz w:val="20"/>
          <w:szCs w:val="20"/>
          <w:color w:val="auto"/>
        </w:rPr>
      </w:pPr>
      <w:r>
        <w:rPr>
          <w:rFonts w:ascii="Arial" w:cs="Arial" w:eastAsia="Arial" w:hAnsi="Arial"/>
          <w:sz w:val="13"/>
          <w:szCs w:val="13"/>
          <w:b w:val="1"/>
          <w:bCs w:val="1"/>
          <w:color w:val="auto"/>
        </w:rPr>
        <w:t>2012</w:t>
      </w:r>
      <w:r>
        <w:rPr>
          <w:sz w:val="20"/>
          <w:szCs w:val="20"/>
          <w:color w:val="auto"/>
        </w:rPr>
        <w:tab/>
      </w:r>
      <w:r>
        <w:rPr>
          <w:rFonts w:ascii="Arial" w:cs="Arial" w:eastAsia="Arial" w:hAnsi="Arial"/>
          <w:sz w:val="13"/>
          <w:szCs w:val="13"/>
          <w:b w:val="1"/>
          <w:bCs w:val="1"/>
          <w:color w:val="auto"/>
        </w:rPr>
        <w:t>2011</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40" w:type="dxa"/>
            <w:vAlign w:val="bottom"/>
            <w:gridSpan w:val="2"/>
          </w:tcPr>
          <w:p>
            <w:pPr>
              <w:jc w:val="right"/>
              <w:spacing w:after="0"/>
              <w:rPr>
                <w:sz w:val="20"/>
                <w:szCs w:val="20"/>
                <w:color w:val="auto"/>
              </w:rPr>
            </w:pPr>
            <w:r>
              <w:rPr>
                <w:rFonts w:ascii="Arial" w:cs="Arial" w:eastAsia="Arial" w:hAnsi="Arial"/>
                <w:sz w:val="17"/>
                <w:szCs w:val="17"/>
                <w:color w:val="auto"/>
                <w:w w:val="87"/>
              </w:rPr>
              <w:t>$109,218</w:t>
            </w:r>
          </w:p>
        </w:tc>
        <w:tc>
          <w:tcPr>
            <w:tcW w:w="30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81,895</w:t>
            </w:r>
          </w:p>
        </w:tc>
        <w:tc>
          <w:tcPr>
            <w:tcW w:w="60" w:type="dxa"/>
            <w:vAlign w:val="bottom"/>
          </w:tcPr>
          <w:p>
            <w:pPr>
              <w:spacing w:after="0"/>
              <w:rPr>
                <w:sz w:val="18"/>
                <w:szCs w:val="18"/>
                <w:color w:val="auto"/>
              </w:rPr>
            </w:pPr>
          </w:p>
        </w:tc>
      </w:tr>
      <w:tr>
        <w:trPr>
          <w:trHeight w:val="211"/>
        </w:trPr>
        <w:tc>
          <w:tcPr>
            <w:tcW w:w="940" w:type="dxa"/>
            <w:vAlign w:val="bottom"/>
            <w:gridSpan w:val="3"/>
          </w:tcPr>
          <w:p>
            <w:pPr>
              <w:jc w:val="right"/>
              <w:ind w:right="240"/>
              <w:spacing w:after="0"/>
              <w:rPr>
                <w:sz w:val="20"/>
                <w:szCs w:val="20"/>
                <w:color w:val="auto"/>
              </w:rPr>
            </w:pPr>
            <w:r>
              <w:rPr>
                <w:rFonts w:ascii="Arial" w:cs="Arial" w:eastAsia="Arial" w:hAnsi="Arial"/>
                <w:sz w:val="17"/>
                <w:szCs w:val="17"/>
                <w:color w:val="auto"/>
              </w:rPr>
              <w:t>(12,684)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7"/>
                <w:szCs w:val="17"/>
                <w:color w:val="auto"/>
                <w:w w:val="94"/>
              </w:rPr>
              <w:t>(11,512)</w:t>
            </w:r>
          </w:p>
        </w:tc>
      </w:tr>
      <w:tr>
        <w:trPr>
          <w:trHeight w:val="218"/>
        </w:trPr>
        <w:tc>
          <w:tcPr>
            <w:tcW w:w="20" w:type="dxa"/>
            <w:vAlign w:val="bottom"/>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505</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296</w:t>
            </w:r>
          </w:p>
        </w:tc>
        <w:tc>
          <w:tcPr>
            <w:tcW w:w="60" w:type="dxa"/>
            <w:vAlign w:val="bottom"/>
          </w:tcPr>
          <w:p>
            <w:pPr>
              <w:spacing w:after="0"/>
              <w:rPr>
                <w:sz w:val="18"/>
                <w:szCs w:val="18"/>
                <w:color w:val="auto"/>
              </w:rPr>
            </w:pPr>
          </w:p>
        </w:tc>
      </w:tr>
      <w:tr>
        <w:trPr>
          <w:trHeight w:val="217"/>
        </w:trPr>
        <w:tc>
          <w:tcPr>
            <w:tcW w:w="640" w:type="dxa"/>
            <w:vAlign w:val="bottom"/>
            <w:gridSpan w:val="2"/>
          </w:tcPr>
          <w:p>
            <w:pPr>
              <w:jc w:val="right"/>
              <w:spacing w:after="0"/>
              <w:rPr>
                <w:sz w:val="20"/>
                <w:szCs w:val="20"/>
                <w:color w:val="auto"/>
              </w:rPr>
            </w:pPr>
            <w:r>
              <w:rPr>
                <w:rFonts w:ascii="Arial" w:cs="Arial" w:eastAsia="Arial" w:hAnsi="Arial"/>
                <w:sz w:val="17"/>
                <w:szCs w:val="17"/>
                <w:color w:val="auto"/>
                <w:w w:val="93"/>
              </w:rPr>
              <w:t>$ 97,039</w:t>
            </w:r>
          </w:p>
        </w:tc>
        <w:tc>
          <w:tcPr>
            <w:tcW w:w="30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70,679</w:t>
            </w: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37"/>
        </w:trPr>
        <w:tc>
          <w:tcPr>
            <w:tcW w:w="20" w:type="dxa"/>
            <w:vAlign w:val="bottom"/>
          </w:tcPr>
          <w:p>
            <w:pPr>
              <w:spacing w:after="0"/>
              <w:rPr>
                <w:sz w:val="24"/>
                <w:szCs w:val="24"/>
                <w:color w:val="auto"/>
              </w:rPr>
            </w:pPr>
          </w:p>
        </w:tc>
        <w:tc>
          <w:tcPr>
            <w:tcW w:w="1880" w:type="dxa"/>
            <w:vAlign w:val="bottom"/>
            <w:gridSpan w:val="6"/>
          </w:tcPr>
          <w:p>
            <w:pPr>
              <w:jc w:val="right"/>
              <w:ind w:right="380"/>
              <w:spacing w:after="0"/>
              <w:rPr>
                <w:sz w:val="20"/>
                <w:szCs w:val="20"/>
                <w:color w:val="auto"/>
              </w:rPr>
            </w:pPr>
            <w:r>
              <w:rPr>
                <w:rFonts w:ascii="Arial" w:cs="Arial" w:eastAsia="Arial" w:hAnsi="Arial"/>
                <w:sz w:val="13"/>
                <w:szCs w:val="13"/>
                <w:b w:val="1"/>
                <w:bCs w:val="1"/>
                <w:color w:val="auto"/>
              </w:rPr>
              <w:t>Three Months Ended</w:t>
            </w:r>
          </w:p>
        </w:tc>
      </w:tr>
      <w:tr>
        <w:trPr>
          <w:trHeight w:val="158"/>
        </w:trPr>
        <w:tc>
          <w:tcPr>
            <w:tcW w:w="20" w:type="dxa"/>
            <w:vAlign w:val="bottom"/>
          </w:tcPr>
          <w:p>
            <w:pPr>
              <w:spacing w:after="0"/>
              <w:rPr>
                <w:sz w:val="13"/>
                <w:szCs w:val="13"/>
                <w:color w:val="auto"/>
              </w:rPr>
            </w:pPr>
          </w:p>
        </w:tc>
        <w:tc>
          <w:tcPr>
            <w:tcW w:w="126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3"/>
                <w:szCs w:val="13"/>
                <w:b w:val="1"/>
                <w:bCs w:val="1"/>
                <w:color w:val="auto"/>
              </w:rPr>
              <w:t>March 31,</w:t>
            </w:r>
          </w:p>
        </w:tc>
        <w:tc>
          <w:tcPr>
            <w:tcW w:w="56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138"/>
        </w:trPr>
        <w:tc>
          <w:tcPr>
            <w:tcW w:w="20" w:type="dxa"/>
            <w:vAlign w:val="bottom"/>
          </w:tcPr>
          <w:p>
            <w:pPr>
              <w:spacing w:after="0"/>
              <w:rPr>
                <w:sz w:val="12"/>
                <w:szCs w:val="12"/>
                <w:color w:val="auto"/>
              </w:rPr>
            </w:pPr>
          </w:p>
        </w:tc>
        <w:tc>
          <w:tcPr>
            <w:tcW w:w="620" w:type="dxa"/>
            <w:vAlign w:val="bottom"/>
            <w:tcBorders>
              <w:bottom w:val="single" w:sz="8" w:color="auto"/>
            </w:tcBorders>
          </w:tcPr>
          <w:p>
            <w:pPr>
              <w:jc w:val="right"/>
              <w:ind w:right="106"/>
              <w:spacing w:after="0" w:line="138" w:lineRule="exact"/>
              <w:rPr>
                <w:sz w:val="20"/>
                <w:szCs w:val="20"/>
                <w:color w:val="auto"/>
              </w:rPr>
            </w:pPr>
            <w:r>
              <w:rPr>
                <w:rFonts w:ascii="Arial" w:cs="Arial" w:eastAsia="Arial" w:hAnsi="Arial"/>
                <w:sz w:val="13"/>
                <w:szCs w:val="13"/>
                <w:b w:val="1"/>
                <w:bCs w:val="1"/>
                <w:color w:val="auto"/>
              </w:rPr>
              <w:t>2012</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7"/>
              <w:spacing w:after="0" w:line="138" w:lineRule="exact"/>
              <w:rPr>
                <w:sz w:val="20"/>
                <w:szCs w:val="20"/>
                <w:color w:val="auto"/>
              </w:rPr>
            </w:pPr>
            <w:r>
              <w:rPr>
                <w:rFonts w:ascii="Arial" w:cs="Arial" w:eastAsia="Arial" w:hAnsi="Arial"/>
                <w:sz w:val="13"/>
                <w:szCs w:val="13"/>
                <w:b w:val="1"/>
                <w:bCs w:val="1"/>
                <w:color w:val="auto"/>
              </w:rPr>
              <w:t>2011</w:t>
            </w:r>
          </w:p>
        </w:tc>
        <w:tc>
          <w:tcPr>
            <w:tcW w:w="60" w:type="dxa"/>
            <w:vAlign w:val="bottom"/>
          </w:tcPr>
          <w:p>
            <w:pPr>
              <w:spacing w:after="0"/>
              <w:rPr>
                <w:sz w:val="12"/>
                <w:szCs w:val="12"/>
                <w:color w:val="auto"/>
              </w:rPr>
            </w:pPr>
          </w:p>
        </w:tc>
      </w:tr>
      <w:tr>
        <w:trPr>
          <w:trHeight w:val="393"/>
        </w:trPr>
        <w:tc>
          <w:tcPr>
            <w:tcW w:w="640" w:type="dxa"/>
            <w:vAlign w:val="bottom"/>
            <w:gridSpan w:val="2"/>
          </w:tcPr>
          <w:p>
            <w:pPr>
              <w:jc w:val="right"/>
              <w:spacing w:after="0"/>
              <w:rPr>
                <w:sz w:val="20"/>
                <w:szCs w:val="20"/>
                <w:color w:val="auto"/>
              </w:rPr>
            </w:pPr>
            <w:r>
              <w:rPr>
                <w:rFonts w:ascii="Arial" w:cs="Arial" w:eastAsia="Arial" w:hAnsi="Arial"/>
                <w:sz w:val="17"/>
                <w:szCs w:val="17"/>
                <w:color w:val="auto"/>
                <w:w w:val="87"/>
              </w:rPr>
              <w:t>$133,372</w:t>
            </w:r>
          </w:p>
        </w:tc>
        <w:tc>
          <w:tcPr>
            <w:tcW w:w="300" w:type="dxa"/>
            <w:vAlign w:val="bottom"/>
          </w:tcPr>
          <w:p>
            <w:pPr>
              <w:spacing w:after="0"/>
              <w:rPr>
                <w:sz w:val="24"/>
                <w:szCs w:val="24"/>
                <w:color w:val="auto"/>
              </w:rPr>
            </w:pPr>
          </w:p>
        </w:tc>
        <w:tc>
          <w:tcPr>
            <w:tcW w:w="3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w w:val="87"/>
              </w:rPr>
              <w:t>106,356</w:t>
            </w:r>
          </w:p>
        </w:tc>
        <w:tc>
          <w:tcPr>
            <w:tcW w:w="60" w:type="dxa"/>
            <w:vAlign w:val="bottom"/>
          </w:tcPr>
          <w:p>
            <w:pPr>
              <w:spacing w:after="0"/>
              <w:rPr>
                <w:sz w:val="24"/>
                <w:szCs w:val="24"/>
                <w:color w:val="auto"/>
              </w:rPr>
            </w:pPr>
          </w:p>
        </w:tc>
      </w:tr>
      <w:tr>
        <w:trPr>
          <w:trHeight w:val="211"/>
        </w:trPr>
        <w:tc>
          <w:tcPr>
            <w:tcW w:w="940" w:type="dxa"/>
            <w:vAlign w:val="bottom"/>
            <w:gridSpan w:val="3"/>
          </w:tcPr>
          <w:p>
            <w:pPr>
              <w:jc w:val="right"/>
              <w:ind w:right="240"/>
              <w:spacing w:after="0"/>
              <w:rPr>
                <w:sz w:val="20"/>
                <w:szCs w:val="20"/>
                <w:color w:val="auto"/>
              </w:rPr>
            </w:pPr>
            <w:r>
              <w:rPr>
                <w:rFonts w:ascii="Arial" w:cs="Arial" w:eastAsia="Arial" w:hAnsi="Arial"/>
                <w:sz w:val="17"/>
                <w:szCs w:val="17"/>
                <w:color w:val="auto"/>
              </w:rPr>
              <w:t>(8,207)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(7,104)</w:t>
            </w:r>
          </w:p>
        </w:tc>
      </w:tr>
      <w:tr>
        <w:trPr>
          <w:trHeight w:val="218"/>
        </w:trPr>
        <w:tc>
          <w:tcPr>
            <w:tcW w:w="20" w:type="dxa"/>
            <w:vAlign w:val="bottom"/>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505</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296</w:t>
            </w:r>
          </w:p>
        </w:tc>
        <w:tc>
          <w:tcPr>
            <w:tcW w:w="60" w:type="dxa"/>
            <w:vAlign w:val="bottom"/>
          </w:tcPr>
          <w:p>
            <w:pPr>
              <w:spacing w:after="0"/>
              <w:rPr>
                <w:sz w:val="18"/>
                <w:szCs w:val="18"/>
                <w:color w:val="auto"/>
              </w:rPr>
            </w:pPr>
          </w:p>
        </w:tc>
      </w:tr>
      <w:tr>
        <w:trPr>
          <w:trHeight w:val="217"/>
        </w:trPr>
        <w:tc>
          <w:tcPr>
            <w:tcW w:w="640" w:type="dxa"/>
            <w:vAlign w:val="bottom"/>
            <w:gridSpan w:val="2"/>
          </w:tcPr>
          <w:p>
            <w:pPr>
              <w:jc w:val="right"/>
              <w:spacing w:after="0"/>
              <w:rPr>
                <w:sz w:val="20"/>
                <w:szCs w:val="20"/>
                <w:color w:val="auto"/>
              </w:rPr>
            </w:pPr>
            <w:r>
              <w:rPr>
                <w:rFonts w:ascii="Arial" w:cs="Arial" w:eastAsia="Arial" w:hAnsi="Arial"/>
                <w:sz w:val="17"/>
                <w:szCs w:val="17"/>
                <w:u w:val="single" w:color="auto"/>
                <w:color w:val="auto"/>
                <w:w w:val="87"/>
              </w:rPr>
              <w:t>$</w:t>
            </w:r>
            <w:r>
              <w:rPr>
                <w:rFonts w:ascii="Arial" w:cs="Arial" w:eastAsia="Arial" w:hAnsi="Arial"/>
                <w:sz w:val="17"/>
                <w:szCs w:val="17"/>
                <w:color w:val="auto"/>
                <w:w w:val="87"/>
              </w:rPr>
              <w:t>125,670</w:t>
            </w:r>
          </w:p>
        </w:tc>
        <w:tc>
          <w:tcPr>
            <w:tcW w:w="30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99,548</w:t>
            </w:r>
          </w:p>
        </w:tc>
        <w:tc>
          <w:tcPr>
            <w:tcW w:w="60" w:type="dxa"/>
            <w:vAlign w:val="bottom"/>
          </w:tcPr>
          <w:p>
            <w:pPr>
              <w:spacing w:after="0"/>
              <w:rPr>
                <w:sz w:val="18"/>
                <w:szCs w:val="18"/>
                <w:color w:val="auto"/>
              </w:rPr>
            </w:pPr>
          </w:p>
        </w:tc>
      </w:tr>
      <w:tr>
        <w:trPr>
          <w:trHeight w:val="20"/>
        </w:trPr>
        <w:tc>
          <w:tcPr>
            <w:tcW w:w="20" w:type="dxa"/>
            <w:vAlign w:val="bottom"/>
            <w:tcBorders>
              <w:top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3" w:lineRule="exact"/>
        <w:rPr>
          <w:sz w:val="20"/>
          <w:szCs w:val="20"/>
          <w:color w:val="auto"/>
        </w:rPr>
      </w:pPr>
    </w:p>
    <w:p>
      <w:pPr>
        <w:sectPr>
          <w:pgSz w:w="11900" w:h="16838" w:orient="portrait"/>
          <w:cols w:equalWidth="0" w:num="2">
            <w:col w:w="6920" w:space="720"/>
            <w:col w:w="3760"/>
          </w:cols>
          <w:pgMar w:left="240" w:top="451" w:right="259" w:bottom="1440" w:gutter="0" w:footer="0" w:header="0"/>
          <w:type w:val="continuous"/>
        </w:sectPr>
      </w:pPr>
    </w:p>
    <w:p>
      <w:pPr>
        <w:jc w:val="both"/>
        <w:ind w:right="40" w:firstLine="457"/>
        <w:spacing w:after="0" w:line="271" w:lineRule="auto"/>
        <w:rPr>
          <w:sz w:val="20"/>
          <w:szCs w:val="20"/>
          <w:color w:val="auto"/>
        </w:rPr>
      </w:pPr>
      <w:r>
        <w:rPr>
          <w:rFonts w:ascii="Arial" w:cs="Arial" w:eastAsia="Arial" w:hAnsi="Arial"/>
          <w:sz w:val="17"/>
          <w:szCs w:val="17"/>
          <w:color w:val="auto"/>
        </w:rPr>
        <w:t>We evaluate segment performance based on several factors, of which the primary financial measure is business segment AOCF. We define AOCF, which is not a generally accepted accounting principles (“GAAP”) financial measure, as operating income (loss) before depreciation and amortization, share-based compensation expense or benefit and restructuring expense or credit.</w:t>
      </w:r>
    </w:p>
    <w:p>
      <w:pPr>
        <w:spacing w:after="0" w:line="128" w:lineRule="exact"/>
        <w:rPr>
          <w:sz w:val="20"/>
          <w:szCs w:val="20"/>
          <w:color w:val="auto"/>
        </w:rPr>
      </w:pPr>
    </w:p>
    <w:p>
      <w:pPr>
        <w:ind w:right="400" w:firstLine="457"/>
        <w:spacing w:after="0" w:line="354" w:lineRule="auto"/>
        <w:rPr>
          <w:sz w:val="20"/>
          <w:szCs w:val="20"/>
          <w:color w:val="auto"/>
        </w:rPr>
      </w:pPr>
      <w:r>
        <w:rPr>
          <w:rFonts w:ascii="Arial" w:cs="Arial" w:eastAsia="Arial" w:hAnsi="Arial"/>
          <w:sz w:val="15"/>
          <w:szCs w:val="15"/>
          <w:color w:val="auto"/>
        </w:rPr>
        <w:t>We believe that AOCF is an appropriate measure for evaluating the operating performance on both a business segment and consolidated basis. AOCF and similar measures with similar titles are common performance measures used by investors, analysts and peers to compare performance in the industry.</w:t>
      </w:r>
    </w:p>
    <w:p>
      <w:pPr>
        <w:spacing w:after="0" w:line="71" w:lineRule="exact"/>
        <w:rPr>
          <w:sz w:val="20"/>
          <w:szCs w:val="20"/>
          <w:color w:val="auto"/>
        </w:rPr>
      </w:pPr>
    </w:p>
    <w:p>
      <w:pPr>
        <w:ind w:right="100" w:firstLine="457"/>
        <w:spacing w:after="0" w:line="313" w:lineRule="auto"/>
        <w:rPr>
          <w:sz w:val="20"/>
          <w:szCs w:val="20"/>
          <w:color w:val="auto"/>
        </w:rPr>
      </w:pPr>
      <w:r>
        <w:rPr>
          <w:rFonts w:ascii="Arial" w:cs="Arial" w:eastAsia="Arial" w:hAnsi="Arial"/>
          <w:sz w:val="15"/>
          <w:szCs w:val="15"/>
          <w:color w:val="auto"/>
        </w:rPr>
        <w:t>Internally, we use revenues, net and AOCF measures as the most important indicators of our business performance, and evaluate management’s effectiveness with specific reference to these indicators. AOCF should be viewed as a supplement to and not a substitute for operating income (loss), net income (loss), cash flows from operating activities and other measures of performance and/or liquidity presented in accordance with GAAP. Since AOCF is not a measure of performance calculated in accordance with GAAP, this measure may not be comparable to similar measures with similar titles used by other companies.</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reconciliation of consolidated operating income to AOCF for the periods indicated:</w:t>
      </w:r>
    </w:p>
    <w:p>
      <w:pPr>
        <w:spacing w:after="0" w:line="204" w:lineRule="exact"/>
        <w:rPr>
          <w:sz w:val="20"/>
          <w:szCs w:val="20"/>
          <w:color w:val="auto"/>
        </w:rPr>
      </w:pPr>
    </w:p>
    <w:tbl>
      <w:tblPr>
        <w:tblLayout w:type="fixed"/>
        <w:tblInd w:w="138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gridSpan w:val="5"/>
          </w:tcPr>
          <w:p>
            <w:pPr>
              <w:jc w:val="right"/>
              <w:ind w:right="380"/>
              <w:spacing w:after="0"/>
              <w:rPr>
                <w:sz w:val="20"/>
                <w:szCs w:val="20"/>
                <w:color w:val="auto"/>
              </w:rPr>
            </w:pPr>
            <w:r>
              <w:rPr>
                <w:rFonts w:ascii="Arial" w:cs="Arial" w:eastAsia="Arial" w:hAnsi="Arial"/>
                <w:sz w:val="13"/>
                <w:szCs w:val="13"/>
                <w:b w:val="1"/>
                <w:bCs w:val="1"/>
                <w:color w:val="auto"/>
              </w:rPr>
              <w:t>Three Months Ended</w:t>
            </w:r>
          </w:p>
        </w:tc>
      </w:tr>
      <w:tr>
        <w:trPr>
          <w:trHeight w:val="158"/>
        </w:trPr>
        <w:tc>
          <w:tcPr>
            <w:tcW w:w="20" w:type="dxa"/>
            <w:vAlign w:val="bottom"/>
          </w:tcPr>
          <w:p>
            <w:pPr>
              <w:spacing w:after="0"/>
              <w:rPr>
                <w:sz w:val="13"/>
                <w:szCs w:val="13"/>
                <w:color w:val="auto"/>
              </w:rPr>
            </w:pPr>
          </w:p>
        </w:tc>
        <w:tc>
          <w:tcPr>
            <w:tcW w:w="460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March 31,</w:t>
            </w:r>
          </w:p>
        </w:tc>
        <w:tc>
          <w:tcPr>
            <w:tcW w:w="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38"/>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122"/>
              <w:spacing w:after="0" w:line="138" w:lineRule="exact"/>
              <w:rPr>
                <w:sz w:val="20"/>
                <w:szCs w:val="20"/>
                <w:color w:val="auto"/>
              </w:rPr>
            </w:pPr>
            <w:r>
              <w:rPr>
                <w:rFonts w:ascii="Arial" w:cs="Arial" w:eastAsia="Arial" w:hAnsi="Arial"/>
                <w:sz w:val="13"/>
                <w:szCs w:val="13"/>
                <w:b w:val="1"/>
                <w:bCs w:val="1"/>
                <w:color w:val="auto"/>
              </w:rPr>
              <w:t>2012</w:t>
            </w:r>
          </w:p>
        </w:tc>
        <w:tc>
          <w:tcPr>
            <w:tcW w:w="500" w:type="dxa"/>
            <w:vAlign w:val="bottom"/>
          </w:tcPr>
          <w:p>
            <w:pPr>
              <w:spacing w:after="0"/>
              <w:rPr>
                <w:sz w:val="12"/>
                <w:szCs w:val="12"/>
                <w:color w:val="auto"/>
              </w:rPr>
            </w:pPr>
          </w:p>
        </w:tc>
        <w:tc>
          <w:tcPr>
            <w:tcW w:w="580" w:type="dxa"/>
            <w:vAlign w:val="bottom"/>
            <w:gridSpan w:val="2"/>
          </w:tcPr>
          <w:p>
            <w:pPr>
              <w:jc w:val="right"/>
              <w:ind w:right="74"/>
              <w:spacing w:after="0" w:line="138" w:lineRule="exact"/>
              <w:rPr>
                <w:sz w:val="20"/>
                <w:szCs w:val="20"/>
                <w:color w:val="auto"/>
              </w:rPr>
            </w:pPr>
            <w:r>
              <w:rPr>
                <w:rFonts w:ascii="Arial" w:cs="Arial" w:eastAsia="Arial" w:hAnsi="Arial"/>
                <w:sz w:val="13"/>
                <w:szCs w:val="13"/>
                <w:b w:val="1"/>
                <w:bCs w:val="1"/>
                <w:color w:val="auto"/>
              </w:rPr>
              <w:t>2011</w:t>
            </w:r>
          </w:p>
        </w:tc>
        <w:tc>
          <w:tcPr>
            <w:tcW w:w="120" w:type="dxa"/>
            <w:vAlign w:val="bottom"/>
          </w:tcPr>
          <w:p>
            <w:pPr>
              <w:spacing w:after="0"/>
              <w:rPr>
                <w:sz w:val="12"/>
                <w:szCs w:val="12"/>
                <w:color w:val="auto"/>
              </w:rPr>
            </w:pPr>
          </w:p>
        </w:tc>
      </w:tr>
      <w:tr>
        <w:trPr>
          <w:trHeight w:val="204"/>
        </w:trPr>
        <w:tc>
          <w:tcPr>
            <w:tcW w:w="20" w:type="dxa"/>
            <w:vAlign w:val="bottom"/>
          </w:tcPr>
          <w:p>
            <w:pPr>
              <w:spacing w:after="0"/>
              <w:rPr>
                <w:sz w:val="17"/>
                <w:szCs w:val="17"/>
                <w:color w:val="auto"/>
              </w:rPr>
            </w:pPr>
          </w:p>
        </w:tc>
        <w:tc>
          <w:tcPr>
            <w:tcW w:w="4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Operating income</w:t>
            </w:r>
          </w:p>
        </w:tc>
        <w:tc>
          <w:tcPr>
            <w:tcW w:w="2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97,039</w:t>
            </w:r>
          </w:p>
        </w:tc>
        <w:tc>
          <w:tcPr>
            <w:tcW w:w="5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$70,679</w:t>
            </w:r>
          </w:p>
        </w:tc>
        <w:tc>
          <w:tcPr>
            <w:tcW w:w="120" w:type="dxa"/>
            <w:vAlign w:val="bottom"/>
            <w:tcBorders>
              <w:top w:val="single" w:sz="8" w:color="CCEEFF"/>
            </w:tcBorders>
            <w:shd w:val="clear" w:color="auto" w:fill="CCEEFF"/>
          </w:tcPr>
          <w:p>
            <w:pPr>
              <w:spacing w:after="0"/>
              <w:rPr>
                <w:sz w:val="17"/>
                <w:szCs w:val="17"/>
                <w:color w:val="auto"/>
              </w:rPr>
            </w:pPr>
          </w:p>
        </w:tc>
      </w:tr>
      <w:tr>
        <w:trPr>
          <w:trHeight w:val="211"/>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7"/>
                <w:szCs w:val="17"/>
                <w:color w:val="auto"/>
              </w:rPr>
              <w:t>Share-based compensation expense</w:t>
            </w: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3,583</w:t>
            </w:r>
          </w:p>
        </w:tc>
        <w:tc>
          <w:tcPr>
            <w:tcW w:w="5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7"/>
                <w:szCs w:val="17"/>
                <w:color w:val="auto"/>
              </w:rPr>
              <w:t>3,977</w:t>
            </w:r>
          </w:p>
        </w:tc>
        <w:tc>
          <w:tcPr>
            <w:tcW w:w="120" w:type="dxa"/>
            <w:vAlign w:val="bottom"/>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7"/>
                <w:szCs w:val="17"/>
                <w:color w:val="auto"/>
              </w:rPr>
              <w:t>Restructuring credit</w:t>
            </w: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(3)</w:t>
            </w: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(34)</w:t>
            </w:r>
          </w:p>
        </w:tc>
      </w:tr>
      <w:tr>
        <w:trPr>
          <w:trHeight w:val="217"/>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7"/>
                <w:szCs w:val="17"/>
                <w:color w:val="auto"/>
              </w:rPr>
              <w:t>Depreciation and amortization</w:t>
            </w:r>
          </w:p>
        </w:tc>
        <w:tc>
          <w:tcPr>
            <w:tcW w:w="2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25,051</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24,926</w:t>
            </w:r>
          </w:p>
        </w:tc>
        <w:tc>
          <w:tcPr>
            <w:tcW w:w="120" w:type="dxa"/>
            <w:vAlign w:val="bottom"/>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7"/>
                <w:szCs w:val="17"/>
                <w:color w:val="auto"/>
              </w:rPr>
              <w:t>AOCF</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125,670</w:t>
            </w:r>
          </w:p>
        </w:tc>
        <w:tc>
          <w:tcPr>
            <w:tcW w:w="5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w w:val="91"/>
              </w:rPr>
              <w:t>$</w:t>
            </w:r>
            <w:r>
              <w:rPr>
                <w:rFonts w:ascii="Arial" w:cs="Arial" w:eastAsia="Arial" w:hAnsi="Arial"/>
                <w:sz w:val="17"/>
                <w:szCs w:val="17"/>
                <w:color w:val="auto"/>
                <w:w w:val="91"/>
              </w:rPr>
              <w:t>99,548</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National Networks</w:t>
      </w:r>
    </w:p>
    <w:p>
      <w:pPr>
        <w:spacing w:after="0" w:line="94" w:lineRule="exact"/>
        <w:rPr>
          <w:sz w:val="20"/>
          <w:szCs w:val="20"/>
          <w:color w:val="auto"/>
        </w:rPr>
      </w:pPr>
    </w:p>
    <w:p>
      <w:pPr>
        <w:ind w:firstLine="457"/>
        <w:spacing w:after="0" w:line="267" w:lineRule="auto"/>
        <w:rPr>
          <w:sz w:val="20"/>
          <w:szCs w:val="20"/>
          <w:color w:val="auto"/>
        </w:rPr>
      </w:pPr>
      <w:r>
        <w:rPr>
          <w:rFonts w:ascii="Arial" w:cs="Arial" w:eastAsia="Arial" w:hAnsi="Arial"/>
          <w:sz w:val="17"/>
          <w:szCs w:val="17"/>
          <w:color w:val="auto"/>
        </w:rPr>
        <w:t>In our National Networks segment, which accounted for 93% of our consolidated revenues for the three months ended March 31, 2012, we earn revenues in two principal ways. First, we receive affiliation fees from distributors. These revenues are generally based on a per subscriber fee under multi-year contracts, commonly referred to as “affiliation agreements,” which generally provide for annual affiliation rate increases. The specific affiliation fee revenues we earn vary from period to period, distributor to distributor and also vary among our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1400"/>
          </w:cols>
          <w:pgMar w:left="240" w:top="451" w:right="259" w:bottom="1440" w:gutter="0" w:footer="0" w:header="0"/>
          <w:type w:val="continuous"/>
        </w:sectPr>
      </w:pPr>
    </w:p>
    <w:bookmarkStart w:id="25" w:name="page26"/>
    <w:bookmarkEnd w:id="2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ind w:right="60"/>
        <w:spacing w:after="0" w:line="313" w:lineRule="auto"/>
        <w:rPr>
          <w:sz w:val="20"/>
          <w:szCs w:val="20"/>
          <w:color w:val="auto"/>
        </w:rPr>
      </w:pPr>
      <w:r>
        <w:rPr>
          <w:rFonts w:ascii="Arial" w:cs="Arial" w:eastAsia="Arial" w:hAnsi="Arial"/>
          <w:sz w:val="15"/>
          <w:szCs w:val="15"/>
          <w:color w:val="auto"/>
        </w:rPr>
        <w:t>networks, but are generally based upon the number of each distributor’s subscribers who receive our programming, referred to as “viewing subscribers.” The terms of certain other affiliation agreements provide that the affiliation fee revenues we earn are a fixed contractual monthly fee. Other sources of distribution revenue include the licensing of original programming for foreign and digital distribution to distributors, which is recognized upon availability for distribution by the licensee. Revenue from pay-per-view arrangements is recognized as such programming is exhibited, based on end-customer purchases as reported by the distributor.</w:t>
      </w:r>
    </w:p>
    <w:p>
      <w:pPr>
        <w:spacing w:after="0" w:line="101" w:lineRule="exact"/>
        <w:rPr>
          <w:sz w:val="20"/>
          <w:szCs w:val="20"/>
          <w:color w:val="auto"/>
        </w:rPr>
      </w:pPr>
    </w:p>
    <w:p>
      <w:pPr>
        <w:ind w:firstLine="457"/>
        <w:spacing w:after="0" w:line="279" w:lineRule="auto"/>
        <w:rPr>
          <w:sz w:val="20"/>
          <w:szCs w:val="20"/>
          <w:color w:val="auto"/>
        </w:rPr>
      </w:pPr>
      <w:r>
        <w:rPr>
          <w:rFonts w:ascii="Arial" w:cs="Arial" w:eastAsia="Arial" w:hAnsi="Arial"/>
          <w:sz w:val="16"/>
          <w:szCs w:val="16"/>
          <w:color w:val="auto"/>
        </w:rPr>
        <w:t>Advertising is our second principal source of revenues. Under our affiliation agreements with our distributors, we have the right to sell a specified amount of national advertising time on certain of our programming networks. Our advertising revenues are more variable than affiliation fee revenues because virtually all of our advertising is sold on a short-term basis, not under long-term contracts. Our advertising arrangements with advertisers provide for a set number of advertising units to air over a specific period of time at a negotiated price per unit. In certain advertising sales arrangements, our programming networks guarantee specified viewer ratings for their programming. If these guaranteed viewer ratings are not met, we are generally required to provide additional advertising units to the advertiser at no charge. For these types of arrangements, a portion of the related revenue is deferred if the guaranteed viewer ratings are not met and is subsequently recognized either when we provide the required additional advertising time, the guarantee obligation contractually expires or performance requirements become remote. Most of our advertising revenues vary based upon the popularity of our programming as measured by Nielsen Media Research (“Nielsen”). As of March 31 2012, our national programming networks had approximately 1,000 advertisers representing companies in a broad range of sectors, including the health, insurance, food, automotive and retail industries. Our AMC, WE tv and IFC programming networks use a traditional advertising sales model, while Sundance Channel principally sells sponsorships. Prior to December 2010, IFC principally sold sponsorships.</w:t>
      </w:r>
    </w:p>
    <w:p>
      <w:pPr>
        <w:spacing w:after="0" w:line="123" w:lineRule="exact"/>
        <w:rPr>
          <w:sz w:val="20"/>
          <w:szCs w:val="20"/>
          <w:color w:val="auto"/>
        </w:rPr>
      </w:pPr>
    </w:p>
    <w:p>
      <w:pPr>
        <w:ind w:right="40" w:firstLine="457"/>
        <w:spacing w:after="0" w:line="278" w:lineRule="auto"/>
        <w:rPr>
          <w:sz w:val="20"/>
          <w:szCs w:val="20"/>
          <w:color w:val="auto"/>
        </w:rPr>
      </w:pPr>
      <w:r>
        <w:rPr>
          <w:rFonts w:ascii="Arial" w:cs="Arial" w:eastAsia="Arial" w:hAnsi="Arial"/>
          <w:sz w:val="16"/>
          <w:szCs w:val="16"/>
          <w:color w:val="auto"/>
        </w:rPr>
        <w:t>We seek to grow our revenues by increasing the number of viewing subscribers of the distributors that carry our services. We refer to this as our “penetration.” AMC, which is widely distributed, has a more limited ability to increase its penetration than do WE tv, IFC and Sundance Channel. WE tv, IFC and Sundance Channel, although carried by all of the larger distributors, have higher growth opportunities due to their current penetration levels with those distributors. IFC and Sundance Channel are currently carried primarily on digital tiers, while WE tv is carried on either analog expanded basic or digital tiers. Therefore, WE tv, IFC and Sundance Channel penetration rates may increase if distributors are successful in converting their analog subscribers to digital tiers of service that include those networks. Our revenues may also increase over time through contractual rate increases stipulated in most of our affiliation agreements. In negotiating for increased or extended carriage, we have in some instances made upfront payments in exchange for additional subscribers or extended carriage, which we record as deferred carriage fees and which are amortized as a reduction to revenue over the period of the related affiliation agreements, or agreed to waive for a specified period or accept lower per subscriber fees if certain additional subscribers are provided. We also may help fund the distributors’ efforts to market our channels. We believe that these transactions generate a positive return on investment over the contract period. We seek to increase our advertising revenues by increasing the number of minutes of national advertising sold and by increasing the rates we charge for such advertising, but, ultimately, the level of our advertising revenues, in most cases, is directly related to the overall distribution of our programming, penetration of our services and the popularity (including within desirable demographic groups) of our services as measured by Nielsen.</w:t>
      </w:r>
    </w:p>
    <w:p>
      <w:pPr>
        <w:spacing w:after="0" w:line="127" w:lineRule="exact"/>
        <w:rPr>
          <w:sz w:val="20"/>
          <w:szCs w:val="20"/>
          <w:color w:val="auto"/>
        </w:rPr>
      </w:pPr>
    </w:p>
    <w:p>
      <w:pPr>
        <w:ind w:right="160" w:firstLine="457"/>
        <w:spacing w:after="0" w:line="267" w:lineRule="auto"/>
        <w:rPr>
          <w:sz w:val="20"/>
          <w:szCs w:val="20"/>
          <w:color w:val="auto"/>
        </w:rPr>
      </w:pPr>
      <w:r>
        <w:rPr>
          <w:rFonts w:ascii="Arial" w:cs="Arial" w:eastAsia="Arial" w:hAnsi="Arial"/>
          <w:sz w:val="17"/>
          <w:szCs w:val="17"/>
          <w:color w:val="auto"/>
        </w:rPr>
        <w:t>Programming expense, including the amortization and impairments of programming rights, such as those for feature films, acquired series and original programming, included in technical and operating expense, represents the largest category of expense within the National Networks segment. The other components of technical and operating expense primarily include participation and residual costs, distribution and production related costs and program operating costs, such as origination, transmission, uplinking and encryption.</w:t>
      </w:r>
    </w:p>
    <w:p>
      <w:pPr>
        <w:spacing w:after="0" w:line="131" w:lineRule="exact"/>
        <w:rPr>
          <w:sz w:val="20"/>
          <w:szCs w:val="20"/>
          <w:color w:val="auto"/>
        </w:rPr>
      </w:pPr>
    </w:p>
    <w:p>
      <w:pPr>
        <w:ind w:right="20" w:firstLine="457"/>
        <w:spacing w:after="0" w:line="265" w:lineRule="auto"/>
        <w:rPr>
          <w:sz w:val="20"/>
          <w:szCs w:val="20"/>
          <w:color w:val="auto"/>
        </w:rPr>
      </w:pPr>
      <w:r>
        <w:rPr>
          <w:rFonts w:ascii="Arial" w:cs="Arial" w:eastAsia="Arial" w:hAnsi="Arial"/>
          <w:sz w:val="17"/>
          <w:szCs w:val="17"/>
          <w:color w:val="auto"/>
        </w:rPr>
        <w:t>Our principal goal is to increase our revenues by increasing distribution and penetration of our services, and increasing our ratings. To do this, we must continue to contract for and produce high-quality, attractive programming. As competition for programming from other programming services increases and alternative distribution technologies continue to emerge and develop, costs for content acquisition and original programming may increase. There is a concentration of subscribers in the hands of a few distributors, which could create disparate bargaining power between the largest distributors and us by giving those distributors greater leverage in negotiating the price and other terms of affiliation agreements.</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International and Other</w:t>
      </w:r>
    </w:p>
    <w:p>
      <w:pPr>
        <w:spacing w:after="0" w:line="94" w:lineRule="exact"/>
        <w:rPr>
          <w:sz w:val="20"/>
          <w:szCs w:val="20"/>
          <w:color w:val="auto"/>
        </w:rPr>
      </w:pPr>
    </w:p>
    <w:p>
      <w:pPr>
        <w:ind w:left="460"/>
        <w:spacing w:after="0"/>
        <w:rPr>
          <w:sz w:val="20"/>
          <w:szCs w:val="20"/>
          <w:color w:val="auto"/>
        </w:rPr>
      </w:pPr>
      <w:r>
        <w:rPr>
          <w:rFonts w:ascii="Arial" w:cs="Arial" w:eastAsia="Arial" w:hAnsi="Arial"/>
          <w:sz w:val="15"/>
          <w:szCs w:val="15"/>
          <w:color w:val="auto"/>
        </w:rPr>
        <w:t>Our International and Other segment includes the operations of AMC/Sundance Channel Global, IFC Films, AMC Networks Broadcasting &amp; Technology and</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VOOM HD.</w:t>
      </w:r>
    </w:p>
    <w:p>
      <w:pPr>
        <w:spacing w:after="0" w:line="167" w:lineRule="exact"/>
        <w:rPr>
          <w:sz w:val="20"/>
          <w:szCs w:val="20"/>
          <w:color w:val="auto"/>
        </w:rPr>
      </w:pPr>
    </w:p>
    <w:p>
      <w:pPr>
        <w:ind w:right="120" w:firstLine="457"/>
        <w:spacing w:after="0" w:line="267" w:lineRule="auto"/>
        <w:rPr>
          <w:sz w:val="20"/>
          <w:szCs w:val="20"/>
          <w:color w:val="auto"/>
        </w:rPr>
      </w:pPr>
      <w:r>
        <w:rPr>
          <w:rFonts w:ascii="Arial" w:cs="Arial" w:eastAsia="Arial" w:hAnsi="Arial"/>
          <w:sz w:val="17"/>
          <w:szCs w:val="17"/>
          <w:color w:val="auto"/>
        </w:rPr>
        <w:t>VOOM HD historically offered a suite of channels, produced exclusively in high definition (“HD”) and marketed for distribution to DBS and multichannel video distributors. VOOM was available in the U.S. only on the cable television systems of Cablevision Systems Corporation (Cablevision Systems Corporation and its subsidiaries are referred to as “Cablevision”) and on the satellite delivered programming of DISH Network. On December 18, 2008, we decided to discontinue funding the domestic offerings of VOOM. Subsequently, VOOM HD terminated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1420"/>
          </w:cols>
          <w:pgMar w:left="240" w:top="451" w:right="239" w:bottom="1440" w:gutter="0" w:footer="0" w:header="0"/>
        </w:sectPr>
      </w:pPr>
    </w:p>
    <w:bookmarkStart w:id="26" w:name="page27"/>
    <w:bookmarkEnd w:id="2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ind w:right="260"/>
        <w:spacing w:after="0" w:line="267" w:lineRule="auto"/>
        <w:rPr>
          <w:sz w:val="20"/>
          <w:szCs w:val="20"/>
          <w:color w:val="auto"/>
        </w:rPr>
      </w:pPr>
      <w:r>
        <w:rPr>
          <w:rFonts w:ascii="Arial" w:cs="Arial" w:eastAsia="Arial" w:hAnsi="Arial"/>
          <w:sz w:val="17"/>
          <w:szCs w:val="17"/>
          <w:color w:val="auto"/>
        </w:rPr>
        <w:t>the domestic offerings of VOOM. VOOM HD discontinued the VOOM international channel as of December 31, 2009 but continued distributing the Rush HD channel in Europe through April 2011. VOOM HD, which we are in the process of winding down, continues to sell certain limited amounts of programming internationally through program license agreements. See also Note 7, Commitments and Contingencies in the unaudited consolidated financial statements included elsewhere herein.</w:t>
      </w:r>
    </w:p>
    <w:p>
      <w:pPr>
        <w:spacing w:after="0" w:line="131" w:lineRule="exact"/>
        <w:rPr>
          <w:sz w:val="20"/>
          <w:szCs w:val="20"/>
          <w:color w:val="auto"/>
        </w:rPr>
      </w:pPr>
    </w:p>
    <w:p>
      <w:pPr>
        <w:ind w:right="140" w:firstLine="457"/>
        <w:spacing w:after="0" w:line="303" w:lineRule="auto"/>
        <w:rPr>
          <w:sz w:val="20"/>
          <w:szCs w:val="20"/>
          <w:color w:val="auto"/>
        </w:rPr>
      </w:pPr>
      <w:r>
        <w:rPr>
          <w:rFonts w:ascii="Arial" w:cs="Arial" w:eastAsia="Arial" w:hAnsi="Arial"/>
          <w:sz w:val="15"/>
          <w:szCs w:val="15"/>
          <w:color w:val="auto"/>
        </w:rPr>
        <w:t>Although we view our international expansion as an important long-term strategy, international expansion is currently expected to represent only a small amount of our projected overall financial results over the next five years. However, international expansion could provide a benefit to our financial results if we are able to grow this portion of our business faster than expected. Similar to our domestic businesses, the most significant business challenges we expect to encounter in our international business include programming competition (from both foreign and domestic programmers), limited channel capacity on distributors’ platforms, the growth of subscribers on those platforms and economic pressures on affiliation fees. Other significant business challenges unique to international expansion include increased programming costs for international rights and translation (</w:t>
      </w:r>
      <w:r>
        <w:rPr>
          <w:rFonts w:ascii="Arial" w:cs="Arial" w:eastAsia="Arial" w:hAnsi="Arial"/>
          <w:sz w:val="15"/>
          <w:szCs w:val="15"/>
          <w:i w:val="1"/>
          <w:iCs w:val="1"/>
          <w:color w:val="auto"/>
        </w:rPr>
        <w:t>i.e.,</w:t>
      </w:r>
      <w:r>
        <w:rPr>
          <w:rFonts w:ascii="Arial" w:cs="Arial" w:eastAsia="Arial" w:hAnsi="Arial"/>
          <w:sz w:val="15"/>
          <w:szCs w:val="15"/>
          <w:color w:val="auto"/>
        </w:rPr>
        <w:t xml:space="preserve"> dubbing and subtitling), a lack of availability of international rights for a portion of our domestic programming content, increased distribution costs for cable, satellite or fiber feeds and a limited physical presence in each territory.</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Spin-off from Cablevision</w:t>
      </w:r>
    </w:p>
    <w:p>
      <w:pPr>
        <w:spacing w:after="0" w:line="94" w:lineRule="exact"/>
        <w:rPr>
          <w:sz w:val="20"/>
          <w:szCs w:val="20"/>
          <w:color w:val="auto"/>
        </w:rPr>
      </w:pPr>
    </w:p>
    <w:p>
      <w:pPr>
        <w:ind w:right="40" w:firstLine="457"/>
        <w:spacing w:after="0" w:line="271" w:lineRule="auto"/>
        <w:rPr>
          <w:sz w:val="20"/>
          <w:szCs w:val="20"/>
          <w:color w:val="auto"/>
        </w:rPr>
      </w:pPr>
      <w:r>
        <w:rPr>
          <w:rFonts w:ascii="Arial" w:cs="Arial" w:eastAsia="Arial" w:hAnsi="Arial"/>
          <w:sz w:val="17"/>
          <w:szCs w:val="17"/>
          <w:color w:val="auto"/>
        </w:rPr>
        <w:t>On June 30, 2011, Cablevision spun-off the Company (the “Distribution”) and we became an independent public company. In connection with the Distribution, Cablevision contributed all of the membership interests of Rainbow Media Holdings LLC (“RMH”) to us. Both Cablevision and the Company continue to be controlled by the Dolan family.</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Corporate Expenses</w:t>
      </w:r>
    </w:p>
    <w:p>
      <w:pPr>
        <w:spacing w:after="0" w:line="94" w:lineRule="exact"/>
        <w:rPr>
          <w:sz w:val="20"/>
          <w:szCs w:val="20"/>
          <w:color w:val="auto"/>
        </w:rPr>
      </w:pPr>
    </w:p>
    <w:p>
      <w:pPr>
        <w:ind w:firstLine="457"/>
        <w:spacing w:after="0" w:line="300" w:lineRule="auto"/>
        <w:rPr>
          <w:sz w:val="20"/>
          <w:szCs w:val="20"/>
          <w:color w:val="auto"/>
        </w:rPr>
      </w:pPr>
      <w:r>
        <w:rPr>
          <w:rFonts w:ascii="Arial" w:cs="Arial" w:eastAsia="Arial" w:hAnsi="Arial"/>
          <w:sz w:val="15"/>
          <w:szCs w:val="15"/>
          <w:color w:val="auto"/>
        </w:rPr>
        <w:t>Our historical results of operations reflected in our consolidated financial statements, for periods prior to the Distribution, include management fee charges and the allocation of expenses related to certain corporate functions historically provided by Cablevision. Our results of operations after the Distribution reflect certain revenues and expenses related to transactions with or charges from related parties as described in Note 11 in the accompanying consolidated financial statements. As a separate, stand-alone public company, we have expanded our financial, administrative and other staff to support these new requirements. In addition, we continue to add staff and are adding systems to replace some of the functions previously provided by Cablevision. However, our corporate operating costs as a separate company subsequent to the Distribution, including those associated with being a publicly-traded company, through March 31, 2012 have been, and are expected to continue to be, lower than the historical allocation of expenses related to certain corporate functions (including management fee charges). Pursuant to a consulting agreement with Cablevision, until the Distribution date, the Company paid a management fee calculated based on certain of our subsidiaries gross revenues (as defined under the terms of the consulting agreement) on a monthly basis. We terminated the consulting agreement on the Distribution date and did not replace it.</w:t>
      </w:r>
    </w:p>
    <w:p>
      <w:pPr>
        <w:spacing w:after="0" w:line="114" w:lineRule="exact"/>
        <w:rPr>
          <w:sz w:val="20"/>
          <w:szCs w:val="20"/>
          <w:color w:val="auto"/>
        </w:rPr>
      </w:pPr>
    </w:p>
    <w:p>
      <w:pPr>
        <w:ind w:right="40" w:firstLine="457"/>
        <w:spacing w:after="0" w:line="284" w:lineRule="auto"/>
        <w:rPr>
          <w:sz w:val="20"/>
          <w:szCs w:val="20"/>
          <w:color w:val="auto"/>
        </w:rPr>
      </w:pPr>
      <w:r>
        <w:rPr>
          <w:rFonts w:ascii="Arial" w:cs="Arial" w:eastAsia="Arial" w:hAnsi="Arial"/>
          <w:sz w:val="17"/>
          <w:szCs w:val="17"/>
          <w:color w:val="auto"/>
        </w:rPr>
        <w:t>We allocate corporate overhead to each segment based upon their proportionate estimated usage of services. The segment financial information set forth below, including the discussion related to individual line items, does not reflect inter-segment eliminations unless specifically indicated.</w:t>
      </w:r>
    </w:p>
    <w:p>
      <w:pPr>
        <w:spacing w:after="0" w:line="19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Cautionary Note Concerning Historical Financial Statements</w:t>
      </w:r>
    </w:p>
    <w:p>
      <w:pPr>
        <w:spacing w:after="0" w:line="173" w:lineRule="exact"/>
        <w:rPr>
          <w:sz w:val="20"/>
          <w:szCs w:val="20"/>
          <w:color w:val="auto"/>
        </w:rPr>
      </w:pPr>
    </w:p>
    <w:p>
      <w:pPr>
        <w:jc w:val="both"/>
        <w:ind w:right="260" w:firstLine="457"/>
        <w:spacing w:after="0" w:line="271" w:lineRule="auto"/>
        <w:rPr>
          <w:sz w:val="20"/>
          <w:szCs w:val="20"/>
          <w:color w:val="auto"/>
        </w:rPr>
      </w:pPr>
      <w:r>
        <w:rPr>
          <w:rFonts w:ascii="Arial" w:cs="Arial" w:eastAsia="Arial" w:hAnsi="Arial"/>
          <w:sz w:val="17"/>
          <w:szCs w:val="17"/>
          <w:color w:val="auto"/>
        </w:rPr>
        <w:t>As noted above, our consolidated financial statements for periods prior to the Distribution have been derived from the consolidated financial statements and accounting records of Cablevision and reflect certain assumptions and allocations. Our results of operations and cash flows could differ from those that might have resulted had we operated autonomously or as an entity independent of Cablevision.</w:t>
      </w:r>
    </w:p>
    <w:p>
      <w:pPr>
        <w:spacing w:after="0" w:line="128" w:lineRule="exact"/>
        <w:rPr>
          <w:sz w:val="20"/>
          <w:szCs w:val="20"/>
          <w:color w:val="auto"/>
        </w:rPr>
      </w:pPr>
    </w:p>
    <w:p>
      <w:pPr>
        <w:jc w:val="both"/>
        <w:ind w:right="60" w:firstLine="457"/>
        <w:spacing w:after="0" w:line="296" w:lineRule="auto"/>
        <w:rPr>
          <w:sz w:val="20"/>
          <w:szCs w:val="20"/>
          <w:color w:val="auto"/>
        </w:rPr>
      </w:pPr>
      <w:r>
        <w:rPr>
          <w:rFonts w:ascii="Arial" w:cs="Arial" w:eastAsia="Arial" w:hAnsi="Arial"/>
          <w:sz w:val="16"/>
          <w:szCs w:val="16"/>
          <w:color w:val="auto"/>
        </w:rPr>
        <w:t>Our capital structure after the Distribution is different from the capital structure presented in the historical consolidated financial statements for periods prior to the Distribution and, accordingly, our interest expense in periods after June 30, 2011 as a separate independent entity is, and we expect will continue to be, materially higher than the interest expense reflected in our historical consolidated financial statements in periods prior to June 30, 2011.</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1420"/>
          </w:cols>
          <w:pgMar w:left="240" w:top="451" w:right="239" w:bottom="1440" w:gutter="0" w:footer="0" w:header="0"/>
        </w:sectPr>
      </w:pPr>
    </w:p>
    <w:bookmarkStart w:id="27" w:name="page28"/>
    <w:bookmarkEnd w:id="2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Impact of Economic Conditions</w:t>
      </w:r>
    </w:p>
    <w:p>
      <w:pPr>
        <w:spacing w:after="0" w:line="100" w:lineRule="exact"/>
        <w:rPr>
          <w:sz w:val="20"/>
          <w:szCs w:val="20"/>
          <w:color w:val="auto"/>
        </w:rPr>
      </w:pPr>
    </w:p>
    <w:p>
      <w:pPr>
        <w:ind w:right="240" w:firstLine="457"/>
        <w:spacing w:after="0" w:line="284" w:lineRule="auto"/>
        <w:rPr>
          <w:sz w:val="20"/>
          <w:szCs w:val="20"/>
          <w:color w:val="auto"/>
        </w:rPr>
      </w:pPr>
      <w:r>
        <w:rPr>
          <w:rFonts w:ascii="Arial" w:cs="Arial" w:eastAsia="Arial" w:hAnsi="Arial"/>
          <w:sz w:val="17"/>
          <w:szCs w:val="17"/>
          <w:color w:val="auto"/>
        </w:rPr>
        <w:t>Our future performance is dependent, to a large extent, on general economic conditions including the impact of direct competition, our ability to manage our businesses effectively, and our relative strength and leverage in the marketplace, both with suppliers and customers.</w:t>
      </w:r>
    </w:p>
    <w:p>
      <w:pPr>
        <w:spacing w:after="0" w:line="117" w:lineRule="exact"/>
        <w:rPr>
          <w:sz w:val="20"/>
          <w:szCs w:val="20"/>
          <w:color w:val="auto"/>
        </w:rPr>
      </w:pPr>
    </w:p>
    <w:p>
      <w:pPr>
        <w:ind w:firstLine="457"/>
        <w:spacing w:after="0" w:line="323" w:lineRule="auto"/>
        <w:rPr>
          <w:sz w:val="20"/>
          <w:szCs w:val="20"/>
          <w:color w:val="auto"/>
        </w:rPr>
      </w:pPr>
      <w:r>
        <w:rPr>
          <w:rFonts w:ascii="Arial" w:cs="Arial" w:eastAsia="Arial" w:hAnsi="Arial"/>
          <w:sz w:val="15"/>
          <w:szCs w:val="15"/>
          <w:color w:val="auto"/>
        </w:rPr>
        <w:t>Additional capital and credit market disruptions could cause economic downturns, which may lead to lower demand for our products, such as lower demand for television advertising and a decrease in the number of subscribers receiving our programming networks from our distributors. We have experienced some of the effects of the recent economic downturn. Continuation of events such as these may adversely impact our results of operations, cash flows and financial position.</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Results of Operations</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Three Months Ended March 31, 2012 Compared to Three Months Ended March 31, 2011</w:t>
      </w:r>
    </w:p>
    <w:p>
      <w:pPr>
        <w:spacing w:after="0" w:line="9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sets forth our consolidated results of operations for the periods indicated.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0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760" w:type="dxa"/>
            <w:vAlign w:val="bottom"/>
            <w:tcBorders>
              <w:bottom w:val="single" w:sz="8" w:color="auto"/>
            </w:tcBorders>
            <w:gridSpan w:val="6"/>
          </w:tcPr>
          <w:p>
            <w:pPr>
              <w:jc w:val="right"/>
              <w:ind w:right="660"/>
              <w:spacing w:after="0"/>
              <w:rPr>
                <w:sz w:val="20"/>
                <w:szCs w:val="20"/>
                <w:color w:val="auto"/>
              </w:rPr>
            </w:pPr>
            <w:r>
              <w:rPr>
                <w:rFonts w:ascii="Arial" w:cs="Arial" w:eastAsia="Arial" w:hAnsi="Arial"/>
                <w:sz w:val="13"/>
                <w:szCs w:val="13"/>
                <w:b w:val="1"/>
                <w:bCs w:val="1"/>
                <w:color w:val="auto"/>
              </w:rPr>
              <w:t>Three Months Ended March 31,</w:t>
            </w:r>
          </w:p>
        </w:tc>
        <w:tc>
          <w:tcPr>
            <w:tcW w:w="58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60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2"/>
          </w:tcPr>
          <w:p>
            <w:pPr>
              <w:jc w:val="right"/>
              <w:ind w:right="60"/>
              <w:spacing w:after="0" w:line="138" w:lineRule="exact"/>
              <w:rPr>
                <w:sz w:val="20"/>
                <w:szCs w:val="20"/>
                <w:color w:val="auto"/>
              </w:rPr>
            </w:pPr>
            <w:r>
              <w:rPr>
                <w:rFonts w:ascii="Arial" w:cs="Arial" w:eastAsia="Arial" w:hAnsi="Arial"/>
                <w:sz w:val="13"/>
                <w:szCs w:val="13"/>
                <w:b w:val="1"/>
                <w:bCs w:val="1"/>
                <w:color w:val="auto"/>
              </w:rPr>
              <w:t>2012</w:t>
            </w:r>
          </w:p>
        </w:tc>
        <w:tc>
          <w:tcPr>
            <w:tcW w:w="580" w:type="dxa"/>
            <w:vAlign w:val="bottom"/>
            <w:tcBorders>
              <w:bottom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tcBorders>
              <w:bottom w:val="single" w:sz="8" w:color="auto"/>
            </w:tcBorders>
            <w:gridSpan w:val="2"/>
          </w:tcPr>
          <w:p>
            <w:pPr>
              <w:jc w:val="right"/>
              <w:ind w:right="40"/>
              <w:spacing w:after="0" w:line="138" w:lineRule="exact"/>
              <w:rPr>
                <w:sz w:val="20"/>
                <w:szCs w:val="20"/>
                <w:color w:val="auto"/>
              </w:rPr>
            </w:pPr>
            <w:r>
              <w:rPr>
                <w:rFonts w:ascii="Arial" w:cs="Arial" w:eastAsia="Arial" w:hAnsi="Arial"/>
                <w:sz w:val="13"/>
                <w:szCs w:val="13"/>
                <w:b w:val="1"/>
                <w:bCs w:val="1"/>
                <w:color w:val="auto"/>
              </w:rPr>
              <w:t>2011</w:t>
            </w:r>
          </w:p>
        </w:tc>
        <w:tc>
          <w:tcPr>
            <w:tcW w:w="58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6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8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94"/>
              </w:rPr>
              <w:t>% of</w:t>
            </w:r>
          </w:p>
        </w:tc>
        <w:tc>
          <w:tcPr>
            <w:tcW w:w="3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rPr>
              <w:t>% of</w:t>
            </w: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6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gridSpan w:val="2"/>
          </w:tcPr>
          <w:p>
            <w:pPr>
              <w:jc w:val="center"/>
              <w:ind w:right="380"/>
              <w:spacing w:after="0" w:line="145" w:lineRule="exact"/>
              <w:rPr>
                <w:sz w:val="20"/>
                <w:szCs w:val="20"/>
                <w:color w:val="auto"/>
              </w:rPr>
            </w:pPr>
            <w:r>
              <w:rPr>
                <w:rFonts w:ascii="Arial" w:cs="Arial" w:eastAsia="Arial" w:hAnsi="Arial"/>
                <w:sz w:val="13"/>
                <w:szCs w:val="13"/>
                <w:b w:val="1"/>
                <w:bCs w:val="1"/>
                <w:color w:val="auto"/>
                <w:w w:val="89"/>
              </w:rPr>
              <w:t>Revenues,</w:t>
            </w: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gridSpan w:val="2"/>
          </w:tcPr>
          <w:p>
            <w:pPr>
              <w:jc w:val="center"/>
              <w:ind w:right="240"/>
              <w:spacing w:after="0" w:line="145" w:lineRule="exact"/>
              <w:rPr>
                <w:sz w:val="20"/>
                <w:szCs w:val="20"/>
                <w:color w:val="auto"/>
              </w:rPr>
            </w:pPr>
            <w:r>
              <w:rPr>
                <w:rFonts w:ascii="Arial" w:cs="Arial" w:eastAsia="Arial" w:hAnsi="Arial"/>
                <w:sz w:val="13"/>
                <w:szCs w:val="13"/>
                <w:b w:val="1"/>
                <w:bCs w:val="1"/>
                <w:color w:val="auto"/>
                <w:w w:val="86"/>
              </w:rPr>
              <w:t>Revenues,</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gridSpan w:val="2"/>
          </w:tcPr>
          <w:p>
            <w:pPr>
              <w:ind w:left="240"/>
              <w:spacing w:after="0" w:line="145" w:lineRule="exact"/>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6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18"/>
              <w:spacing w:after="0"/>
              <w:rPr>
                <w:sz w:val="20"/>
                <w:szCs w:val="20"/>
                <w:color w:val="auto"/>
              </w:rPr>
            </w:pPr>
            <w:r>
              <w:rPr>
                <w:rFonts w:ascii="Arial" w:cs="Arial" w:eastAsia="Arial" w:hAnsi="Arial"/>
                <w:sz w:val="13"/>
                <w:szCs w:val="13"/>
                <w:b w:val="1"/>
                <w:bCs w:val="1"/>
                <w:color w:val="auto"/>
                <w:w w:val="89"/>
              </w:rPr>
              <w:t>Amount</w:t>
            </w:r>
          </w:p>
        </w:tc>
        <w:tc>
          <w:tcPr>
            <w:tcW w:w="300" w:type="dxa"/>
            <w:vAlign w:val="bottom"/>
          </w:tcPr>
          <w:p>
            <w:pPr>
              <w:spacing w:after="0"/>
              <w:rPr>
                <w:sz w:val="13"/>
                <w:szCs w:val="13"/>
                <w:color w:val="auto"/>
              </w:rPr>
            </w:pP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92"/>
              </w:rPr>
              <w:t>net</w:t>
            </w:r>
          </w:p>
        </w:tc>
        <w:tc>
          <w:tcPr>
            <w:tcW w:w="380" w:type="dxa"/>
            <w:vAlign w:val="bottom"/>
          </w:tcPr>
          <w:p>
            <w:pPr>
              <w:spacing w:after="0"/>
              <w:rPr>
                <w:sz w:val="13"/>
                <w:szCs w:val="13"/>
                <w:color w:val="auto"/>
              </w:rPr>
            </w:pPr>
          </w:p>
        </w:tc>
        <w:tc>
          <w:tcPr>
            <w:tcW w:w="660" w:type="dxa"/>
            <w:vAlign w:val="bottom"/>
          </w:tcPr>
          <w:p>
            <w:pPr>
              <w:jc w:val="right"/>
              <w:ind w:right="17"/>
              <w:spacing w:after="0"/>
              <w:rPr>
                <w:sz w:val="20"/>
                <w:szCs w:val="20"/>
                <w:color w:val="auto"/>
              </w:rPr>
            </w:pPr>
            <w:r>
              <w:rPr>
                <w:rFonts w:ascii="Arial" w:cs="Arial" w:eastAsia="Arial" w:hAnsi="Arial"/>
                <w:sz w:val="13"/>
                <w:szCs w:val="13"/>
                <w:b w:val="1"/>
                <w:bCs w:val="1"/>
                <w:color w:val="auto"/>
              </w:rPr>
              <w:t>Amount</w:t>
            </w:r>
          </w:p>
        </w:tc>
        <w:tc>
          <w:tcPr>
            <w:tcW w:w="280" w:type="dxa"/>
            <w:vAlign w:val="bottom"/>
          </w:tcPr>
          <w:p>
            <w:pPr>
              <w:spacing w:after="0"/>
              <w:rPr>
                <w:sz w:val="13"/>
                <w:szCs w:val="13"/>
                <w:color w:val="auto"/>
              </w:rPr>
            </w:pP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92"/>
              </w:rPr>
              <w:t>net</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b w:val="1"/>
                <w:bCs w:val="1"/>
                <w:color w:val="auto"/>
                <w:w w:val="99"/>
              </w:rPr>
              <w:t>$ change</w:t>
            </w:r>
          </w:p>
        </w:tc>
        <w:tc>
          <w:tcPr>
            <w:tcW w:w="180" w:type="dxa"/>
            <w:vAlign w:val="bottom"/>
          </w:tcPr>
          <w:p>
            <w:pPr>
              <w:spacing w:after="0"/>
              <w:rPr>
                <w:sz w:val="13"/>
                <w:szCs w:val="13"/>
                <w:color w:val="auto"/>
              </w:rPr>
            </w:pPr>
          </w:p>
        </w:tc>
        <w:tc>
          <w:tcPr>
            <w:tcW w:w="700" w:type="dxa"/>
            <w:vAlign w:val="bottom"/>
            <w:gridSpan w:val="3"/>
          </w:tcPr>
          <w:p>
            <w:pPr>
              <w:jc w:val="right"/>
              <w:ind w:right="200"/>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20"/>
        </w:trPr>
        <w:tc>
          <w:tcPr>
            <w:tcW w:w="6080" w:type="dxa"/>
            <w:vAlign w:val="bottom"/>
            <w:vMerge w:val="restart"/>
            <w:shd w:val="clear" w:color="auto" w:fill="CCEEFF"/>
          </w:tcPr>
          <w:p>
            <w:pPr>
              <w:spacing w:after="0"/>
              <w:rPr>
                <w:sz w:val="20"/>
                <w:szCs w:val="20"/>
                <w:color w:val="auto"/>
              </w:rPr>
            </w:pPr>
            <w:r>
              <w:rPr>
                <w:rFonts w:ascii="Arial" w:cs="Arial" w:eastAsia="Arial" w:hAnsi="Arial"/>
                <w:sz w:val="17"/>
                <w:szCs w:val="17"/>
                <w:color w:val="auto"/>
              </w:rPr>
              <w:t>Revenues, net</w:t>
            </w: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Borders>
              <w:left w:val="single" w:sz="8" w:color="CCEEFF"/>
            </w:tcBorders>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0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326,239</w:t>
            </w:r>
          </w:p>
        </w:tc>
        <w:tc>
          <w:tcPr>
            <w:tcW w:w="300" w:type="dxa"/>
            <w:vAlign w:val="bottom"/>
            <w:tcBorders>
              <w:left w:val="single" w:sz="8" w:color="CCEEFF"/>
            </w:tcBorders>
            <w:shd w:val="clear" w:color="auto" w:fill="CCEEFF"/>
          </w:tcPr>
          <w:p>
            <w:pPr>
              <w:spacing w:after="0"/>
              <w:rPr>
                <w:sz w:val="17"/>
                <w:szCs w:val="17"/>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100%</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0"/>
              </w:rPr>
              <w:t>$272,903</w:t>
            </w:r>
          </w:p>
        </w:tc>
        <w:tc>
          <w:tcPr>
            <w:tcW w:w="2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100%</w:t>
            </w:r>
          </w:p>
        </w:tc>
        <w:tc>
          <w:tcPr>
            <w:tcW w:w="120" w:type="dxa"/>
            <w:vAlign w:val="bottom"/>
            <w:vMerge w:val="continue"/>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$ 53,336</w:t>
            </w:r>
          </w:p>
        </w:tc>
        <w:tc>
          <w:tcPr>
            <w:tcW w:w="180" w:type="dxa"/>
            <w:vAlign w:val="bottom"/>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211"/>
        </w:trPr>
        <w:tc>
          <w:tcPr>
            <w:tcW w:w="6080" w:type="dxa"/>
            <w:vAlign w:val="bottom"/>
          </w:tcPr>
          <w:p>
            <w:pPr>
              <w:spacing w:after="0"/>
              <w:rPr>
                <w:sz w:val="20"/>
                <w:szCs w:val="20"/>
                <w:color w:val="auto"/>
              </w:rPr>
            </w:pPr>
            <w:r>
              <w:rPr>
                <w:rFonts w:ascii="Arial" w:cs="Arial" w:eastAsia="Arial" w:hAnsi="Arial"/>
                <w:sz w:val="17"/>
                <w:szCs w:val="17"/>
                <w:color w:val="auto"/>
              </w:rPr>
              <w:t>Operating expenses: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0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Technical and operating (excluding depreciation and amortization shown</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00" w:type="dxa"/>
            <w:vAlign w:val="bottom"/>
            <w:tcBorders>
              <w:left w:val="single" w:sz="8" w:color="CCEEFF"/>
            </w:tcBorders>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080" w:type="dxa"/>
            <w:vAlign w:val="bottom"/>
            <w:shd w:val="clear" w:color="auto" w:fill="CCEEFF"/>
          </w:tcPr>
          <w:p>
            <w:pPr>
              <w:ind w:left="640"/>
              <w:spacing w:after="0"/>
              <w:rPr>
                <w:sz w:val="20"/>
                <w:szCs w:val="20"/>
                <w:color w:val="auto"/>
              </w:rPr>
            </w:pPr>
            <w:r>
              <w:rPr>
                <w:rFonts w:ascii="Arial" w:cs="Arial" w:eastAsia="Arial" w:hAnsi="Arial"/>
                <w:sz w:val="17"/>
                <w:szCs w:val="17"/>
                <w:color w:val="auto"/>
              </w:rPr>
              <w:t>below)</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104,930</w:t>
            </w:r>
          </w:p>
        </w:tc>
        <w:tc>
          <w:tcPr>
            <w:tcW w:w="300" w:type="dxa"/>
            <w:vAlign w:val="bottom"/>
            <w:tcBorders>
              <w:left w:val="single" w:sz="8" w:color="CCEEFF"/>
            </w:tcBorders>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3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90,411</w:t>
            </w:r>
          </w:p>
        </w:tc>
        <w:tc>
          <w:tcPr>
            <w:tcW w:w="2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33</w:t>
            </w: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14,519</w:t>
            </w:r>
          </w:p>
        </w:tc>
        <w:tc>
          <w:tcPr>
            <w:tcW w:w="70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11"/>
        </w:trPr>
        <w:tc>
          <w:tcPr>
            <w:tcW w:w="6080" w:type="dxa"/>
            <w:vAlign w:val="bottom"/>
          </w:tcPr>
          <w:p>
            <w:pPr>
              <w:ind w:left="420"/>
              <w:spacing w:after="0"/>
              <w:rPr>
                <w:sz w:val="20"/>
                <w:szCs w:val="20"/>
                <w:color w:val="auto"/>
              </w:rPr>
            </w:pPr>
            <w:r>
              <w:rPr>
                <w:rFonts w:ascii="Arial" w:cs="Arial" w:eastAsia="Arial" w:hAnsi="Arial"/>
                <w:sz w:val="17"/>
                <w:szCs w:val="17"/>
                <w:color w:val="auto"/>
              </w:rPr>
              <w:t>Selling, general and administrative</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99,222</w:t>
            </w: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30</w:t>
            </w:r>
          </w:p>
        </w:tc>
        <w:tc>
          <w:tcPr>
            <w:tcW w:w="3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86,921</w:t>
            </w:r>
          </w:p>
        </w:tc>
        <w:tc>
          <w:tcPr>
            <w:tcW w:w="28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7"/>
                <w:szCs w:val="17"/>
                <w:color w:val="auto"/>
              </w:rPr>
              <w:t>32</w:t>
            </w:r>
          </w:p>
        </w:tc>
        <w:tc>
          <w:tcPr>
            <w:tcW w:w="940" w:type="dxa"/>
            <w:vAlign w:val="bottom"/>
            <w:gridSpan w:val="3"/>
          </w:tcPr>
          <w:p>
            <w:pPr>
              <w:jc w:val="right"/>
              <w:ind w:right="180"/>
              <w:spacing w:after="0"/>
              <w:rPr>
                <w:sz w:val="20"/>
                <w:szCs w:val="20"/>
                <w:color w:val="auto"/>
              </w:rPr>
            </w:pPr>
            <w:r>
              <w:rPr>
                <w:rFonts w:ascii="Arial" w:cs="Arial" w:eastAsia="Arial" w:hAnsi="Arial"/>
                <w:sz w:val="17"/>
                <w:szCs w:val="17"/>
                <w:color w:val="auto"/>
              </w:rPr>
              <w:t>12,301</w:t>
            </w:r>
          </w:p>
        </w:tc>
        <w:tc>
          <w:tcPr>
            <w:tcW w:w="700" w:type="dxa"/>
            <w:vAlign w:val="bottom"/>
            <w:gridSpan w:val="3"/>
          </w:tcPr>
          <w:p>
            <w:pPr>
              <w:jc w:val="right"/>
              <w:ind w:right="200"/>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11"/>
        </w:trPr>
        <w:tc>
          <w:tcPr>
            <w:tcW w:w="60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Restructuring credit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(3)</w:t>
            </w: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(34)</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31</w:t>
            </w:r>
          </w:p>
        </w:tc>
        <w:tc>
          <w:tcPr>
            <w:tcW w:w="70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(91)</w:t>
            </w:r>
          </w:p>
        </w:tc>
        <w:tc>
          <w:tcPr>
            <w:tcW w:w="0" w:type="dxa"/>
            <w:vAlign w:val="bottom"/>
          </w:tcPr>
          <w:p>
            <w:pPr>
              <w:spacing w:after="0"/>
              <w:rPr>
                <w:sz w:val="1"/>
                <w:szCs w:val="1"/>
                <w:color w:val="auto"/>
              </w:rPr>
            </w:pPr>
          </w:p>
        </w:tc>
      </w:tr>
      <w:tr>
        <w:trPr>
          <w:trHeight w:val="211"/>
        </w:trPr>
        <w:tc>
          <w:tcPr>
            <w:tcW w:w="6080" w:type="dxa"/>
            <w:vAlign w:val="bottom"/>
          </w:tcPr>
          <w:p>
            <w:pPr>
              <w:ind w:left="420"/>
              <w:spacing w:after="0"/>
              <w:rPr>
                <w:sz w:val="20"/>
                <w:szCs w:val="20"/>
                <w:color w:val="auto"/>
              </w:rPr>
            </w:pPr>
            <w:r>
              <w:rPr>
                <w:rFonts w:ascii="Arial" w:cs="Arial" w:eastAsia="Arial" w:hAnsi="Arial"/>
                <w:sz w:val="17"/>
                <w:szCs w:val="17"/>
                <w:color w:val="auto"/>
              </w:rPr>
              <w:t>Depreciation and amortization</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25,051</w:t>
            </w: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8</w:t>
            </w:r>
          </w:p>
        </w:tc>
        <w:tc>
          <w:tcPr>
            <w:tcW w:w="3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24,926</w:t>
            </w:r>
          </w:p>
        </w:tc>
        <w:tc>
          <w:tcPr>
            <w:tcW w:w="28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7"/>
                <w:szCs w:val="17"/>
                <w:color w:val="auto"/>
              </w:rPr>
              <w:t>9</w:t>
            </w:r>
          </w:p>
        </w:tc>
        <w:tc>
          <w:tcPr>
            <w:tcW w:w="1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rPr>
              <w:t>125</w:t>
            </w:r>
          </w:p>
        </w:tc>
        <w:tc>
          <w:tcPr>
            <w:tcW w:w="700" w:type="dxa"/>
            <w:vAlign w:val="bottom"/>
            <w:gridSpan w:val="3"/>
          </w:tcPr>
          <w:p>
            <w:pPr>
              <w:jc w:val="right"/>
              <w:ind w:right="20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6"/>
        </w:trPr>
        <w:tc>
          <w:tcPr>
            <w:tcW w:w="6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6080" w:type="dxa"/>
            <w:vAlign w:val="bottom"/>
            <w:shd w:val="clear" w:color="auto" w:fill="CCEEFF"/>
          </w:tcPr>
          <w:p>
            <w:pPr>
              <w:ind w:left="840"/>
              <w:spacing w:after="0"/>
              <w:rPr>
                <w:sz w:val="20"/>
                <w:szCs w:val="20"/>
                <w:color w:val="auto"/>
              </w:rPr>
            </w:pPr>
            <w:r>
              <w:rPr>
                <w:rFonts w:ascii="Arial" w:cs="Arial" w:eastAsia="Arial" w:hAnsi="Arial"/>
                <w:sz w:val="17"/>
                <w:szCs w:val="17"/>
                <w:color w:val="auto"/>
              </w:rPr>
              <w:t>Total operating expenses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229,200</w:t>
            </w:r>
          </w:p>
        </w:tc>
        <w:tc>
          <w:tcPr>
            <w:tcW w:w="300" w:type="dxa"/>
            <w:vAlign w:val="bottom"/>
            <w:tcBorders>
              <w:left w:val="single" w:sz="8" w:color="CCEEFF"/>
            </w:tcBorders>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w:t>
            </w: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202,224</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74</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26,976</w:t>
            </w:r>
          </w:p>
        </w:tc>
        <w:tc>
          <w:tcPr>
            <w:tcW w:w="70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0"/>
        </w:trPr>
        <w:tc>
          <w:tcPr>
            <w:tcW w:w="6080" w:type="dxa"/>
            <w:vAlign w:val="bottom"/>
            <w:vMerge w:val="restart"/>
          </w:tcPr>
          <w:p>
            <w:pPr>
              <w:spacing w:after="0"/>
              <w:rPr>
                <w:sz w:val="20"/>
                <w:szCs w:val="20"/>
                <w:color w:val="auto"/>
              </w:rPr>
            </w:pPr>
            <w:r>
              <w:rPr>
                <w:rFonts w:ascii="Arial" w:cs="Arial" w:eastAsia="Arial" w:hAnsi="Arial"/>
                <w:sz w:val="17"/>
                <w:szCs w:val="17"/>
                <w:color w:val="auto"/>
              </w:rPr>
              <w:t>Operating income</w:t>
            </w: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vMerge w:val="restart"/>
          </w:tcPr>
          <w:p>
            <w:pPr>
              <w:jc w:val="right"/>
              <w:spacing w:after="0"/>
              <w:rPr>
                <w:sz w:val="20"/>
                <w:szCs w:val="20"/>
                <w:color w:val="auto"/>
              </w:rPr>
            </w:pPr>
            <w:r>
              <w:rPr>
                <w:rFonts w:ascii="Arial" w:cs="Arial" w:eastAsia="Arial" w:hAnsi="Arial"/>
                <w:sz w:val="17"/>
                <w:szCs w:val="17"/>
                <w:color w:val="auto"/>
              </w:rPr>
              <w:t>30</w:t>
            </w:r>
          </w:p>
        </w:tc>
        <w:tc>
          <w:tcPr>
            <w:tcW w:w="3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gridSpan w:val="2"/>
            <w:vMerge w:val="restart"/>
          </w:tcPr>
          <w:p>
            <w:pPr>
              <w:jc w:val="right"/>
              <w:ind w:right="260"/>
              <w:spacing w:after="0"/>
              <w:rPr>
                <w:sz w:val="20"/>
                <w:szCs w:val="20"/>
                <w:color w:val="auto"/>
              </w:rPr>
            </w:pPr>
            <w:r>
              <w:rPr>
                <w:rFonts w:ascii="Arial" w:cs="Arial" w:eastAsia="Arial" w:hAnsi="Arial"/>
                <w:sz w:val="17"/>
                <w:szCs w:val="17"/>
                <w:color w:val="auto"/>
              </w:rPr>
              <w:t>26</w:t>
            </w: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gridSpan w:val="3"/>
            <w:vMerge w:val="restart"/>
          </w:tcPr>
          <w:p>
            <w:pPr>
              <w:jc w:val="right"/>
              <w:ind w:right="200"/>
              <w:spacing w:after="0"/>
              <w:rPr>
                <w:sz w:val="20"/>
                <w:szCs w:val="20"/>
                <w:color w:val="auto"/>
              </w:rPr>
            </w:pPr>
            <w:r>
              <w:rPr>
                <w:rFonts w:ascii="Arial" w:cs="Arial" w:eastAsia="Arial" w:hAnsi="Arial"/>
                <w:sz w:val="17"/>
                <w:szCs w:val="17"/>
                <w:color w:val="auto"/>
              </w:rPr>
              <w:t>37</w:t>
            </w:r>
          </w:p>
        </w:tc>
        <w:tc>
          <w:tcPr>
            <w:tcW w:w="0" w:type="dxa"/>
            <w:vAlign w:val="bottom"/>
          </w:tcPr>
          <w:p>
            <w:pPr>
              <w:spacing w:after="0" w:line="20" w:lineRule="exact"/>
              <w:rPr>
                <w:sz w:val="1"/>
                <w:szCs w:val="1"/>
                <w:color w:val="auto"/>
              </w:rPr>
            </w:pPr>
          </w:p>
        </w:tc>
      </w:tr>
      <w:tr>
        <w:trPr>
          <w:trHeight w:val="223"/>
        </w:trPr>
        <w:tc>
          <w:tcPr>
            <w:tcW w:w="60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97,039</w:t>
            </w:r>
          </w:p>
        </w:tc>
        <w:tc>
          <w:tcPr>
            <w:tcW w:w="300" w:type="dxa"/>
            <w:vAlign w:val="bottom"/>
          </w:tcPr>
          <w:p>
            <w:pPr>
              <w:spacing w:after="0"/>
              <w:rPr>
                <w:sz w:val="19"/>
                <w:szCs w:val="19"/>
                <w:color w:val="auto"/>
              </w:rPr>
            </w:pPr>
          </w:p>
        </w:tc>
        <w:tc>
          <w:tcPr>
            <w:tcW w:w="58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70,679</w:t>
            </w:r>
          </w:p>
        </w:tc>
        <w:tc>
          <w:tcPr>
            <w:tcW w:w="280" w:type="dxa"/>
            <w:vAlign w:val="bottom"/>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rPr>
              <w:t>26,360</w:t>
            </w:r>
          </w:p>
        </w:tc>
        <w:tc>
          <w:tcPr>
            <w:tcW w:w="70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6080" w:type="dxa"/>
            <w:vAlign w:val="bottom"/>
            <w:shd w:val="clear" w:color="auto" w:fill="CCEEFF"/>
          </w:tcPr>
          <w:p>
            <w:pPr>
              <w:spacing w:after="0"/>
              <w:rPr>
                <w:sz w:val="20"/>
                <w:szCs w:val="20"/>
                <w:color w:val="auto"/>
              </w:rPr>
            </w:pPr>
            <w:r>
              <w:rPr>
                <w:rFonts w:ascii="Arial" w:cs="Arial" w:eastAsia="Arial" w:hAnsi="Arial"/>
                <w:sz w:val="17"/>
                <w:szCs w:val="17"/>
                <w:color w:val="auto"/>
              </w:rPr>
              <w:t>Other income (expense):</w:t>
            </w: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00" w:type="dxa"/>
            <w:vAlign w:val="bottom"/>
            <w:tcBorders>
              <w:left w:val="single" w:sz="8" w:color="CCEEFF"/>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080" w:type="dxa"/>
            <w:vAlign w:val="bottom"/>
          </w:tcPr>
          <w:p>
            <w:pPr>
              <w:ind w:left="420"/>
              <w:spacing w:after="0"/>
              <w:rPr>
                <w:sz w:val="20"/>
                <w:szCs w:val="20"/>
                <w:color w:val="auto"/>
              </w:rPr>
            </w:pPr>
            <w:r>
              <w:rPr>
                <w:rFonts w:ascii="Arial" w:cs="Arial" w:eastAsia="Arial" w:hAnsi="Arial"/>
                <w:sz w:val="17"/>
                <w:szCs w:val="17"/>
                <w:color w:val="auto"/>
              </w:rPr>
              <w:t>Interest expense, net</w:t>
            </w: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7"/>
                <w:szCs w:val="17"/>
                <w:color w:val="auto"/>
                <w:w w:val="94"/>
              </w:rPr>
              <w:t>(29,692)</w:t>
            </w:r>
          </w:p>
        </w:tc>
        <w:tc>
          <w:tcPr>
            <w:tcW w:w="960" w:type="dxa"/>
            <w:vAlign w:val="bottom"/>
            <w:gridSpan w:val="2"/>
          </w:tcPr>
          <w:p>
            <w:pPr>
              <w:jc w:val="right"/>
              <w:ind w:right="320"/>
              <w:spacing w:after="0"/>
              <w:rPr>
                <w:sz w:val="20"/>
                <w:szCs w:val="20"/>
                <w:color w:val="auto"/>
              </w:rPr>
            </w:pPr>
            <w:r>
              <w:rPr>
                <w:rFonts w:ascii="Arial" w:cs="Arial" w:eastAsia="Arial" w:hAnsi="Arial"/>
                <w:sz w:val="17"/>
                <w:szCs w:val="17"/>
                <w:color w:val="auto"/>
              </w:rPr>
              <w:t>(9)</w:t>
            </w:r>
          </w:p>
        </w:tc>
        <w:tc>
          <w:tcPr>
            <w:tcW w:w="940" w:type="dxa"/>
            <w:vAlign w:val="bottom"/>
            <w:gridSpan w:val="2"/>
          </w:tcPr>
          <w:p>
            <w:pPr>
              <w:jc w:val="right"/>
              <w:ind w:right="220"/>
              <w:spacing w:after="0"/>
              <w:rPr>
                <w:sz w:val="20"/>
                <w:szCs w:val="20"/>
                <w:color w:val="auto"/>
              </w:rPr>
            </w:pPr>
            <w:r>
              <w:rPr>
                <w:rFonts w:ascii="Arial" w:cs="Arial" w:eastAsia="Arial" w:hAnsi="Arial"/>
                <w:sz w:val="17"/>
                <w:szCs w:val="17"/>
                <w:color w:val="auto"/>
              </w:rPr>
              <w:t>(17,893)</w:t>
            </w:r>
          </w:p>
        </w:tc>
        <w:tc>
          <w:tcPr>
            <w:tcW w:w="840" w:type="dxa"/>
            <w:vAlign w:val="bottom"/>
            <w:gridSpan w:val="2"/>
          </w:tcPr>
          <w:p>
            <w:pPr>
              <w:jc w:val="right"/>
              <w:ind w:right="200"/>
              <w:spacing w:after="0"/>
              <w:rPr>
                <w:sz w:val="20"/>
                <w:szCs w:val="20"/>
                <w:color w:val="auto"/>
              </w:rPr>
            </w:pPr>
            <w:r>
              <w:rPr>
                <w:rFonts w:ascii="Arial" w:cs="Arial" w:eastAsia="Arial" w:hAnsi="Arial"/>
                <w:sz w:val="17"/>
                <w:szCs w:val="17"/>
                <w:color w:val="auto"/>
              </w:rPr>
              <w:t>(7)</w:t>
            </w:r>
          </w:p>
        </w:tc>
        <w:tc>
          <w:tcPr>
            <w:tcW w:w="940" w:type="dxa"/>
            <w:vAlign w:val="bottom"/>
            <w:gridSpan w:val="3"/>
          </w:tcPr>
          <w:p>
            <w:pPr>
              <w:jc w:val="right"/>
              <w:ind w:right="120"/>
              <w:spacing w:after="0"/>
              <w:rPr>
                <w:sz w:val="20"/>
                <w:szCs w:val="20"/>
                <w:color w:val="auto"/>
              </w:rPr>
            </w:pPr>
            <w:r>
              <w:rPr>
                <w:rFonts w:ascii="Arial" w:cs="Arial" w:eastAsia="Arial" w:hAnsi="Arial"/>
                <w:sz w:val="17"/>
                <w:szCs w:val="17"/>
                <w:color w:val="auto"/>
              </w:rPr>
              <w:t>(11,799)</w:t>
            </w:r>
          </w:p>
        </w:tc>
        <w:tc>
          <w:tcPr>
            <w:tcW w:w="700" w:type="dxa"/>
            <w:vAlign w:val="bottom"/>
            <w:gridSpan w:val="3"/>
          </w:tcPr>
          <w:p>
            <w:pPr>
              <w:jc w:val="right"/>
              <w:ind w:right="200"/>
              <w:spacing w:after="0"/>
              <w:rPr>
                <w:sz w:val="20"/>
                <w:szCs w:val="20"/>
                <w:color w:val="auto"/>
              </w:rPr>
            </w:pPr>
            <w:r>
              <w:rPr>
                <w:rFonts w:ascii="Arial" w:cs="Arial" w:eastAsia="Arial" w:hAnsi="Arial"/>
                <w:sz w:val="17"/>
                <w:szCs w:val="17"/>
                <w:color w:val="auto"/>
              </w:rPr>
              <w:t>66</w:t>
            </w:r>
          </w:p>
        </w:tc>
        <w:tc>
          <w:tcPr>
            <w:tcW w:w="0" w:type="dxa"/>
            <w:vAlign w:val="bottom"/>
          </w:tcPr>
          <w:p>
            <w:pPr>
              <w:spacing w:after="0"/>
              <w:rPr>
                <w:sz w:val="1"/>
                <w:szCs w:val="1"/>
                <w:color w:val="auto"/>
              </w:rPr>
            </w:pPr>
          </w:p>
        </w:tc>
      </w:tr>
      <w:tr>
        <w:trPr>
          <w:trHeight w:val="211"/>
        </w:trPr>
        <w:tc>
          <w:tcPr>
            <w:tcW w:w="60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Write-off of deferred financing costs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(312)</w:t>
            </w: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(312)</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1"/>
        </w:trPr>
        <w:tc>
          <w:tcPr>
            <w:tcW w:w="6080" w:type="dxa"/>
            <w:vAlign w:val="bottom"/>
          </w:tcPr>
          <w:p>
            <w:pPr>
              <w:ind w:left="420"/>
              <w:spacing w:after="0"/>
              <w:rPr>
                <w:sz w:val="20"/>
                <w:szCs w:val="20"/>
                <w:color w:val="auto"/>
              </w:rPr>
            </w:pPr>
            <w:r>
              <w:rPr>
                <w:rFonts w:ascii="Arial" w:cs="Arial" w:eastAsia="Arial" w:hAnsi="Arial"/>
                <w:sz w:val="17"/>
                <w:szCs w:val="17"/>
                <w:color w:val="auto"/>
              </w:rPr>
              <w:t>Miscellaneous, net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12</w:t>
            </w:r>
          </w:p>
        </w:tc>
        <w:tc>
          <w:tcPr>
            <w:tcW w:w="30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72</w:t>
            </w:r>
          </w:p>
        </w:tc>
        <w:tc>
          <w:tcPr>
            <w:tcW w:w="28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7"/>
                <w:szCs w:val="17"/>
                <w:color w:val="auto"/>
              </w:rPr>
              <w:t>(60)</w:t>
            </w:r>
          </w:p>
        </w:tc>
        <w:tc>
          <w:tcPr>
            <w:tcW w:w="700" w:type="dxa"/>
            <w:vAlign w:val="bottom"/>
            <w:gridSpan w:val="3"/>
          </w:tcPr>
          <w:p>
            <w:pPr>
              <w:jc w:val="right"/>
              <w:ind w:right="140"/>
              <w:spacing w:after="0"/>
              <w:rPr>
                <w:sz w:val="20"/>
                <w:szCs w:val="20"/>
                <w:color w:val="auto"/>
              </w:rPr>
            </w:pPr>
            <w:r>
              <w:rPr>
                <w:rFonts w:ascii="Arial" w:cs="Arial" w:eastAsia="Arial" w:hAnsi="Arial"/>
                <w:sz w:val="17"/>
                <w:szCs w:val="17"/>
                <w:color w:val="auto"/>
              </w:rPr>
              <w:t>(83)</w:t>
            </w:r>
          </w:p>
        </w:tc>
        <w:tc>
          <w:tcPr>
            <w:tcW w:w="0" w:type="dxa"/>
            <w:vAlign w:val="bottom"/>
          </w:tcPr>
          <w:p>
            <w:pPr>
              <w:spacing w:after="0"/>
              <w:rPr>
                <w:sz w:val="1"/>
                <w:szCs w:val="1"/>
                <w:color w:val="auto"/>
              </w:rPr>
            </w:pPr>
          </w:p>
        </w:tc>
      </w:tr>
      <w:tr>
        <w:trPr>
          <w:trHeight w:val="26"/>
        </w:trPr>
        <w:tc>
          <w:tcPr>
            <w:tcW w:w="6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6080" w:type="dxa"/>
            <w:vAlign w:val="bottom"/>
            <w:shd w:val="clear" w:color="auto" w:fill="CCEEFF"/>
          </w:tcPr>
          <w:p>
            <w:pPr>
              <w:ind w:left="840"/>
              <w:spacing w:after="0"/>
              <w:rPr>
                <w:sz w:val="20"/>
                <w:szCs w:val="20"/>
                <w:color w:val="auto"/>
              </w:rPr>
            </w:pPr>
            <w:r>
              <w:rPr>
                <w:rFonts w:ascii="Arial" w:cs="Arial" w:eastAsia="Arial" w:hAnsi="Arial"/>
                <w:sz w:val="17"/>
                <w:szCs w:val="17"/>
                <w:color w:val="auto"/>
              </w:rPr>
              <w:t>Total other income (expense)</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w w:val="94"/>
              </w:rPr>
              <w:t>(29,992)</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(9)</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(17,821)</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(7)</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(12,171)</w:t>
            </w:r>
          </w:p>
        </w:tc>
        <w:tc>
          <w:tcPr>
            <w:tcW w:w="70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68</w:t>
            </w:r>
          </w:p>
        </w:tc>
        <w:tc>
          <w:tcPr>
            <w:tcW w:w="0" w:type="dxa"/>
            <w:vAlign w:val="bottom"/>
          </w:tcPr>
          <w:p>
            <w:pPr>
              <w:spacing w:after="0"/>
              <w:rPr>
                <w:sz w:val="1"/>
                <w:szCs w:val="1"/>
                <w:color w:val="auto"/>
              </w:rPr>
            </w:pPr>
          </w:p>
        </w:tc>
      </w:tr>
      <w:tr>
        <w:trPr>
          <w:trHeight w:val="20"/>
        </w:trPr>
        <w:tc>
          <w:tcPr>
            <w:tcW w:w="6080" w:type="dxa"/>
            <w:vAlign w:val="bottom"/>
            <w:vMerge w:val="restart"/>
          </w:tcPr>
          <w:p>
            <w:pPr>
              <w:spacing w:after="0"/>
              <w:rPr>
                <w:sz w:val="20"/>
                <w:szCs w:val="20"/>
                <w:color w:val="auto"/>
              </w:rPr>
            </w:pPr>
            <w:r>
              <w:rPr>
                <w:rFonts w:ascii="Arial" w:cs="Arial" w:eastAsia="Arial" w:hAnsi="Arial"/>
                <w:sz w:val="17"/>
                <w:szCs w:val="17"/>
                <w:color w:val="auto"/>
              </w:rPr>
              <w:t>Income from continuing operations before income taxes</w:t>
            </w: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vMerge w:val="restart"/>
          </w:tcPr>
          <w:p>
            <w:pPr>
              <w:jc w:val="right"/>
              <w:spacing w:after="0"/>
              <w:rPr>
                <w:sz w:val="20"/>
                <w:szCs w:val="20"/>
                <w:color w:val="auto"/>
              </w:rPr>
            </w:pPr>
            <w:r>
              <w:rPr>
                <w:rFonts w:ascii="Arial" w:cs="Arial" w:eastAsia="Arial" w:hAnsi="Arial"/>
                <w:sz w:val="17"/>
                <w:szCs w:val="17"/>
                <w:color w:val="auto"/>
              </w:rPr>
              <w:t>21</w:t>
            </w:r>
          </w:p>
        </w:tc>
        <w:tc>
          <w:tcPr>
            <w:tcW w:w="3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gridSpan w:val="2"/>
            <w:vMerge w:val="restart"/>
          </w:tcPr>
          <w:p>
            <w:pPr>
              <w:jc w:val="right"/>
              <w:ind w:right="260"/>
              <w:spacing w:after="0"/>
              <w:rPr>
                <w:sz w:val="20"/>
                <w:szCs w:val="20"/>
                <w:color w:val="auto"/>
              </w:rPr>
            </w:pPr>
            <w:r>
              <w:rPr>
                <w:rFonts w:ascii="Arial" w:cs="Arial" w:eastAsia="Arial" w:hAnsi="Arial"/>
                <w:sz w:val="17"/>
                <w:szCs w:val="17"/>
                <w:color w:val="auto"/>
              </w:rPr>
              <w:t>19</w:t>
            </w: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gridSpan w:val="3"/>
            <w:vMerge w:val="restart"/>
          </w:tcPr>
          <w:p>
            <w:pPr>
              <w:jc w:val="right"/>
              <w:ind w:right="200"/>
              <w:spacing w:after="0"/>
              <w:rPr>
                <w:sz w:val="20"/>
                <w:szCs w:val="20"/>
                <w:color w:val="auto"/>
              </w:rPr>
            </w:pPr>
            <w:r>
              <w:rPr>
                <w:rFonts w:ascii="Arial" w:cs="Arial" w:eastAsia="Arial" w:hAnsi="Arial"/>
                <w:sz w:val="17"/>
                <w:szCs w:val="17"/>
                <w:color w:val="auto"/>
              </w:rPr>
              <w:t>27</w:t>
            </w:r>
          </w:p>
        </w:tc>
        <w:tc>
          <w:tcPr>
            <w:tcW w:w="0" w:type="dxa"/>
            <w:vAlign w:val="bottom"/>
          </w:tcPr>
          <w:p>
            <w:pPr>
              <w:spacing w:after="0" w:line="20" w:lineRule="exact"/>
              <w:rPr>
                <w:sz w:val="1"/>
                <w:szCs w:val="1"/>
                <w:color w:val="auto"/>
              </w:rPr>
            </w:pPr>
          </w:p>
        </w:tc>
      </w:tr>
      <w:tr>
        <w:trPr>
          <w:trHeight w:val="216"/>
        </w:trPr>
        <w:tc>
          <w:tcPr>
            <w:tcW w:w="60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67,047</w:t>
            </w:r>
          </w:p>
        </w:tc>
        <w:tc>
          <w:tcPr>
            <w:tcW w:w="30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52,858</w:t>
            </w:r>
          </w:p>
        </w:tc>
        <w:tc>
          <w:tcPr>
            <w:tcW w:w="28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rPr>
              <w:t>14,189</w:t>
            </w:r>
          </w:p>
        </w:tc>
        <w:tc>
          <w:tcPr>
            <w:tcW w:w="70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080" w:type="dxa"/>
            <w:vAlign w:val="bottom"/>
            <w:shd w:val="clear" w:color="auto" w:fill="CCEEFF"/>
          </w:tcPr>
          <w:p>
            <w:pPr>
              <w:spacing w:after="0"/>
              <w:rPr>
                <w:sz w:val="20"/>
                <w:szCs w:val="20"/>
                <w:color w:val="auto"/>
              </w:rPr>
            </w:pPr>
            <w:r>
              <w:rPr>
                <w:rFonts w:ascii="Arial" w:cs="Arial" w:eastAsia="Arial" w:hAnsi="Arial"/>
                <w:sz w:val="17"/>
                <w:szCs w:val="17"/>
                <w:color w:val="auto"/>
              </w:rPr>
              <w:t>Income tax expense</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w w:val="94"/>
              </w:rPr>
              <w:t>(23,970)</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(7)</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(23,136)</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(8)</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(834)</w:t>
            </w:r>
          </w:p>
        </w:tc>
        <w:tc>
          <w:tcPr>
            <w:tcW w:w="70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0"/>
        </w:trPr>
        <w:tc>
          <w:tcPr>
            <w:tcW w:w="6080" w:type="dxa"/>
            <w:vAlign w:val="bottom"/>
            <w:vMerge w:val="restart"/>
          </w:tcPr>
          <w:p>
            <w:pPr>
              <w:spacing w:after="0"/>
              <w:rPr>
                <w:sz w:val="20"/>
                <w:szCs w:val="20"/>
                <w:color w:val="auto"/>
              </w:rPr>
            </w:pPr>
            <w:r>
              <w:rPr>
                <w:rFonts w:ascii="Arial" w:cs="Arial" w:eastAsia="Arial" w:hAnsi="Arial"/>
                <w:sz w:val="17"/>
                <w:szCs w:val="17"/>
                <w:color w:val="auto"/>
              </w:rPr>
              <w:t>Income from continuing operations</w:t>
            </w: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vMerge w:val="restart"/>
          </w:tcPr>
          <w:p>
            <w:pPr>
              <w:jc w:val="right"/>
              <w:spacing w:after="0"/>
              <w:rPr>
                <w:sz w:val="20"/>
                <w:szCs w:val="20"/>
                <w:color w:val="auto"/>
              </w:rPr>
            </w:pPr>
            <w:r>
              <w:rPr>
                <w:rFonts w:ascii="Arial" w:cs="Arial" w:eastAsia="Arial" w:hAnsi="Arial"/>
                <w:sz w:val="17"/>
                <w:szCs w:val="17"/>
                <w:color w:val="auto"/>
              </w:rPr>
              <w:t>13</w:t>
            </w:r>
          </w:p>
        </w:tc>
        <w:tc>
          <w:tcPr>
            <w:tcW w:w="3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gridSpan w:val="2"/>
            <w:vMerge w:val="restart"/>
          </w:tcPr>
          <w:p>
            <w:pPr>
              <w:jc w:val="right"/>
              <w:ind w:right="260"/>
              <w:spacing w:after="0"/>
              <w:rPr>
                <w:sz w:val="20"/>
                <w:szCs w:val="20"/>
                <w:color w:val="auto"/>
              </w:rPr>
            </w:pPr>
            <w:r>
              <w:rPr>
                <w:rFonts w:ascii="Arial" w:cs="Arial" w:eastAsia="Arial" w:hAnsi="Arial"/>
                <w:sz w:val="17"/>
                <w:szCs w:val="17"/>
                <w:color w:val="auto"/>
              </w:rPr>
              <w:t>11</w:t>
            </w: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gridSpan w:val="3"/>
            <w:vMerge w:val="restart"/>
          </w:tcPr>
          <w:p>
            <w:pPr>
              <w:jc w:val="right"/>
              <w:ind w:right="200"/>
              <w:spacing w:after="0"/>
              <w:rPr>
                <w:sz w:val="20"/>
                <w:szCs w:val="20"/>
                <w:color w:val="auto"/>
              </w:rPr>
            </w:pPr>
            <w:r>
              <w:rPr>
                <w:rFonts w:ascii="Arial" w:cs="Arial" w:eastAsia="Arial" w:hAnsi="Arial"/>
                <w:sz w:val="17"/>
                <w:szCs w:val="17"/>
                <w:color w:val="auto"/>
              </w:rPr>
              <w:t>45</w:t>
            </w:r>
          </w:p>
        </w:tc>
        <w:tc>
          <w:tcPr>
            <w:tcW w:w="0" w:type="dxa"/>
            <w:vAlign w:val="bottom"/>
          </w:tcPr>
          <w:p>
            <w:pPr>
              <w:spacing w:after="0" w:line="20" w:lineRule="exact"/>
              <w:rPr>
                <w:sz w:val="1"/>
                <w:szCs w:val="1"/>
                <w:color w:val="auto"/>
              </w:rPr>
            </w:pPr>
          </w:p>
        </w:tc>
      </w:tr>
      <w:tr>
        <w:trPr>
          <w:trHeight w:val="216"/>
        </w:trPr>
        <w:tc>
          <w:tcPr>
            <w:tcW w:w="60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43,077</w:t>
            </w:r>
          </w:p>
        </w:tc>
        <w:tc>
          <w:tcPr>
            <w:tcW w:w="30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29,722</w:t>
            </w:r>
          </w:p>
        </w:tc>
        <w:tc>
          <w:tcPr>
            <w:tcW w:w="28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rPr>
              <w:t>13,355</w:t>
            </w:r>
          </w:p>
        </w:tc>
        <w:tc>
          <w:tcPr>
            <w:tcW w:w="70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080" w:type="dxa"/>
            <w:vAlign w:val="bottom"/>
            <w:shd w:val="clear" w:color="auto" w:fill="CCEEFF"/>
          </w:tcPr>
          <w:p>
            <w:pPr>
              <w:spacing w:after="0"/>
              <w:rPr>
                <w:sz w:val="20"/>
                <w:szCs w:val="20"/>
                <w:color w:val="auto"/>
              </w:rPr>
            </w:pPr>
            <w:r>
              <w:rPr>
                <w:rFonts w:ascii="Arial" w:cs="Arial" w:eastAsia="Arial" w:hAnsi="Arial"/>
                <w:sz w:val="17"/>
                <w:szCs w:val="17"/>
                <w:color w:val="auto"/>
              </w:rPr>
              <w:t>Income from discontinued operations, net of income taxes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w:t>
            </w:r>
          </w:p>
        </w:tc>
        <w:tc>
          <w:tcPr>
            <w:tcW w:w="300" w:type="dxa"/>
            <w:vAlign w:val="bottom"/>
            <w:tcBorders>
              <w:left w:val="single" w:sz="8" w:color="CCEEFF"/>
            </w:tcBorders>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8</w:t>
            </w:r>
          </w:p>
        </w:tc>
        <w:tc>
          <w:tcPr>
            <w:tcW w:w="70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20"/>
        </w:trPr>
        <w:tc>
          <w:tcPr>
            <w:tcW w:w="6080" w:type="dxa"/>
            <w:vAlign w:val="bottom"/>
            <w:vMerge w:val="restart"/>
          </w:tcPr>
          <w:p>
            <w:pPr>
              <w:spacing w:after="0"/>
              <w:rPr>
                <w:sz w:val="20"/>
                <w:szCs w:val="20"/>
                <w:color w:val="auto"/>
              </w:rPr>
            </w:pPr>
            <w:r>
              <w:rPr>
                <w:rFonts w:ascii="Arial" w:cs="Arial" w:eastAsia="Arial" w:hAnsi="Arial"/>
                <w:sz w:val="17"/>
                <w:szCs w:val="17"/>
                <w:color w:val="auto"/>
              </w:rPr>
              <w:t>Net Income</w:t>
            </w: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gridSpan w:val="2"/>
            <w:vMerge w:val="restart"/>
          </w:tcPr>
          <w:p>
            <w:pPr>
              <w:jc w:val="right"/>
              <w:ind w:right="240"/>
              <w:spacing w:after="0"/>
              <w:rPr>
                <w:sz w:val="20"/>
                <w:szCs w:val="20"/>
                <w:color w:val="auto"/>
              </w:rPr>
            </w:pPr>
            <w:r>
              <w:rPr>
                <w:rFonts w:ascii="Arial" w:cs="Arial" w:eastAsia="Arial" w:hAnsi="Arial"/>
                <w:sz w:val="17"/>
                <w:szCs w:val="17"/>
                <w:color w:val="auto"/>
              </w:rPr>
              <w:t>13%</w:t>
            </w: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gridSpan w:val="2"/>
            <w:vMerge w:val="restart"/>
          </w:tcPr>
          <w:p>
            <w:pPr>
              <w:jc w:val="right"/>
              <w:ind w:right="120"/>
              <w:spacing w:after="0"/>
              <w:rPr>
                <w:sz w:val="20"/>
                <w:szCs w:val="20"/>
                <w:color w:val="auto"/>
              </w:rPr>
            </w:pPr>
            <w:r>
              <w:rPr>
                <w:rFonts w:ascii="Arial" w:cs="Arial" w:eastAsia="Arial" w:hAnsi="Arial"/>
                <w:sz w:val="17"/>
                <w:szCs w:val="17"/>
                <w:color w:val="auto"/>
              </w:rPr>
              <w:t>11%</w:t>
            </w: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gridSpan w:val="3"/>
            <w:vMerge w:val="restart"/>
          </w:tcPr>
          <w:p>
            <w:pPr>
              <w:jc w:val="right"/>
              <w:ind w:right="60"/>
              <w:spacing w:after="0"/>
              <w:rPr>
                <w:sz w:val="20"/>
                <w:szCs w:val="20"/>
                <w:color w:val="auto"/>
              </w:rPr>
            </w:pPr>
            <w:r>
              <w:rPr>
                <w:rFonts w:ascii="Arial" w:cs="Arial" w:eastAsia="Arial" w:hAnsi="Arial"/>
                <w:sz w:val="17"/>
                <w:szCs w:val="17"/>
                <w:color w:val="auto"/>
              </w:rPr>
              <w:t>45%</w:t>
            </w:r>
          </w:p>
        </w:tc>
        <w:tc>
          <w:tcPr>
            <w:tcW w:w="0" w:type="dxa"/>
            <w:vAlign w:val="bottom"/>
          </w:tcPr>
          <w:p>
            <w:pPr>
              <w:spacing w:after="0" w:line="20" w:lineRule="exact"/>
              <w:rPr>
                <w:sz w:val="1"/>
                <w:szCs w:val="1"/>
                <w:color w:val="auto"/>
              </w:rPr>
            </w:pPr>
          </w:p>
        </w:tc>
      </w:tr>
      <w:tr>
        <w:trPr>
          <w:trHeight w:val="216"/>
        </w:trPr>
        <w:tc>
          <w:tcPr>
            <w:tcW w:w="608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43,181</w:t>
            </w:r>
          </w:p>
        </w:tc>
        <w:tc>
          <w:tcPr>
            <w:tcW w:w="30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w w:val="96"/>
              </w:rPr>
              <w:t>$ 29,818</w:t>
            </w:r>
          </w:p>
        </w:tc>
        <w:tc>
          <w:tcPr>
            <w:tcW w:w="28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w w:val="93"/>
              </w:rPr>
              <w:t>$ 13,363</w:t>
            </w:r>
          </w:p>
        </w:tc>
        <w:tc>
          <w:tcPr>
            <w:tcW w:w="70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is a reconciliation of our consolidated operating income to AOCF:</w:t>
      </w:r>
    </w:p>
    <w:p>
      <w:pPr>
        <w:spacing w:after="0" w:line="208" w:lineRule="exact"/>
        <w:rPr>
          <w:sz w:val="20"/>
          <w:szCs w:val="20"/>
          <w:color w:val="auto"/>
        </w:rPr>
      </w:pPr>
    </w:p>
    <w:tbl>
      <w:tblPr>
        <w:tblLayout w:type="fixed"/>
        <w:tblInd w:w="138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00" w:type="dxa"/>
            <w:vAlign w:val="bottom"/>
            <w:gridSpan w:val="6"/>
          </w:tcPr>
          <w:p>
            <w:pPr>
              <w:jc w:val="right"/>
              <w:ind w:right="440"/>
              <w:spacing w:after="0"/>
              <w:rPr>
                <w:sz w:val="20"/>
                <w:szCs w:val="20"/>
                <w:color w:val="auto"/>
              </w:rPr>
            </w:pPr>
            <w:r>
              <w:rPr>
                <w:rFonts w:ascii="Arial" w:cs="Arial" w:eastAsia="Arial" w:hAnsi="Arial"/>
                <w:sz w:val="13"/>
                <w:szCs w:val="13"/>
                <w:b w:val="1"/>
                <w:bCs w:val="1"/>
                <w:color w:val="auto"/>
                <w:w w:val="95"/>
              </w:rPr>
              <w:t>Three Months Ended March 31,</w:t>
            </w:r>
          </w:p>
        </w:tc>
        <w:tc>
          <w:tcPr>
            <w:tcW w:w="220" w:type="dxa"/>
            <w:vAlign w:val="bottom"/>
          </w:tcPr>
          <w:p>
            <w:pPr>
              <w:spacing w:after="0"/>
              <w:rPr>
                <w:sz w:val="13"/>
                <w:szCs w:val="13"/>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88"/>
              </w:rPr>
              <w:t>$ change</w:t>
            </w:r>
          </w:p>
        </w:tc>
        <w:tc>
          <w:tcPr>
            <w:tcW w:w="260" w:type="dxa"/>
            <w:vAlign w:val="bottom"/>
            <w:vMerge w:val="restart"/>
          </w:tcPr>
          <w:p>
            <w:pPr>
              <w:spacing w:after="0"/>
              <w:rPr>
                <w:sz w:val="13"/>
                <w:szCs w:val="13"/>
                <w:color w:val="auto"/>
              </w:rPr>
            </w:pPr>
          </w:p>
        </w:tc>
        <w:tc>
          <w:tcPr>
            <w:tcW w:w="220" w:type="dxa"/>
            <w:vAlign w:val="bottom"/>
            <w:vMerge w:val="restart"/>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88"/>
              </w:rPr>
              <w:t>% change</w:t>
            </w:r>
          </w:p>
        </w:tc>
        <w:tc>
          <w:tcPr>
            <w:tcW w:w="20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300" w:type="dxa"/>
            <w:vAlign w:val="bottom"/>
            <w:tcBorders>
              <w:bottom w:val="single" w:sz="8" w:color="CCEEFF"/>
            </w:tcBorders>
          </w:tcPr>
          <w:p>
            <w:pPr>
              <w:spacing w:after="0"/>
              <w:rPr>
                <w:sz w:val="12"/>
                <w:szCs w:val="12"/>
                <w:color w:val="auto"/>
              </w:rPr>
            </w:pPr>
          </w:p>
        </w:tc>
        <w:tc>
          <w:tcPr>
            <w:tcW w:w="9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40"/>
              <w:spacing w:after="0" w:line="138" w:lineRule="exact"/>
              <w:rPr>
                <w:sz w:val="20"/>
                <w:szCs w:val="20"/>
                <w:color w:val="auto"/>
              </w:rPr>
            </w:pPr>
            <w:r>
              <w:rPr>
                <w:rFonts w:ascii="Arial" w:cs="Arial" w:eastAsia="Arial" w:hAnsi="Arial"/>
                <w:sz w:val="13"/>
                <w:szCs w:val="13"/>
                <w:b w:val="1"/>
                <w:bCs w:val="1"/>
                <w:color w:val="auto"/>
              </w:rPr>
              <w:t>2012</w:t>
            </w:r>
          </w:p>
        </w:tc>
        <w:tc>
          <w:tcPr>
            <w:tcW w:w="26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78"/>
              <w:spacing w:after="0" w:line="138" w:lineRule="exact"/>
              <w:rPr>
                <w:sz w:val="20"/>
                <w:szCs w:val="20"/>
                <w:color w:val="auto"/>
              </w:rPr>
            </w:pPr>
            <w:r>
              <w:rPr>
                <w:rFonts w:ascii="Arial" w:cs="Arial" w:eastAsia="Arial" w:hAnsi="Arial"/>
                <w:sz w:val="13"/>
                <w:szCs w:val="13"/>
                <w:b w:val="1"/>
                <w:bCs w:val="1"/>
                <w:color w:val="auto"/>
              </w:rPr>
              <w:t>2011</w:t>
            </w:r>
          </w:p>
        </w:tc>
        <w:tc>
          <w:tcPr>
            <w:tcW w:w="2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vMerge w:val="continue"/>
          </w:tcPr>
          <w:p>
            <w:pPr>
              <w:spacing w:after="0"/>
              <w:rPr>
                <w:sz w:val="12"/>
                <w:szCs w:val="12"/>
                <w:color w:val="auto"/>
              </w:rPr>
            </w:pPr>
          </w:p>
        </w:tc>
        <w:tc>
          <w:tcPr>
            <w:tcW w:w="260" w:type="dxa"/>
            <w:vAlign w:val="bottom"/>
            <w:tcBorders>
              <w:bottom w:val="single" w:sz="8" w:color="CCEEFF"/>
            </w:tcBorders>
            <w:vMerge w:val="continue"/>
          </w:tcPr>
          <w:p>
            <w:pPr>
              <w:spacing w:after="0"/>
              <w:rPr>
                <w:sz w:val="12"/>
                <w:szCs w:val="12"/>
                <w:color w:val="auto"/>
              </w:rPr>
            </w:pPr>
          </w:p>
        </w:tc>
        <w:tc>
          <w:tcPr>
            <w:tcW w:w="220" w:type="dxa"/>
            <w:vAlign w:val="bottom"/>
            <w:tcBorders>
              <w:bottom w:val="single" w:sz="8" w:color="CCEEFF"/>
            </w:tcBorders>
            <w:vMerge w:val="continue"/>
          </w:tcPr>
          <w:p>
            <w:pPr>
              <w:spacing w:after="0"/>
              <w:rPr>
                <w:sz w:val="12"/>
                <w:szCs w:val="12"/>
                <w:color w:val="auto"/>
              </w:rPr>
            </w:pPr>
          </w:p>
        </w:tc>
        <w:tc>
          <w:tcPr>
            <w:tcW w:w="580" w:type="dxa"/>
            <w:vAlign w:val="bottom"/>
            <w:tcBorders>
              <w:bottom w:val="single" w:sz="8" w:color="auto"/>
            </w:tcBorders>
            <w:vMerge w:val="continue"/>
          </w:tcPr>
          <w:p>
            <w:pPr>
              <w:spacing w:after="0"/>
              <w:rPr>
                <w:sz w:val="12"/>
                <w:szCs w:val="12"/>
                <w:color w:val="auto"/>
              </w:rPr>
            </w:pPr>
          </w:p>
        </w:tc>
        <w:tc>
          <w:tcPr>
            <w:tcW w:w="200" w:type="dxa"/>
            <w:vAlign w:val="bottom"/>
            <w:tcBorders>
              <w:bottom w:val="single" w:sz="8" w:color="CCEEFF"/>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7"/>
                <w:szCs w:val="17"/>
                <w:color w:val="auto"/>
              </w:rPr>
              <w:t>Operating income</w:t>
            </w: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97,039</w:t>
            </w: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70,679</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$26,360</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37%</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7"/>
                <w:szCs w:val="17"/>
                <w:color w:val="auto"/>
              </w:rPr>
              <w:t>Share-based compensation expense</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3,583</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3,977</w:t>
            </w:r>
          </w:p>
        </w:tc>
        <w:tc>
          <w:tcPr>
            <w:tcW w:w="280" w:type="dxa"/>
            <w:vAlign w:val="bottom"/>
          </w:tcPr>
          <w:p>
            <w:pPr>
              <w:spacing w:after="0"/>
              <w:rPr>
                <w:sz w:val="18"/>
                <w:szCs w:val="18"/>
                <w:color w:val="auto"/>
              </w:rPr>
            </w:pPr>
          </w:p>
        </w:tc>
        <w:tc>
          <w:tcPr>
            <w:tcW w:w="1040" w:type="dxa"/>
            <w:vAlign w:val="bottom"/>
            <w:gridSpan w:val="3"/>
          </w:tcPr>
          <w:p>
            <w:pPr>
              <w:jc w:val="right"/>
              <w:ind w:right="200"/>
              <w:spacing w:after="0"/>
              <w:rPr>
                <w:sz w:val="20"/>
                <w:szCs w:val="20"/>
                <w:color w:val="auto"/>
              </w:rPr>
            </w:pPr>
            <w:r>
              <w:rPr>
                <w:rFonts w:ascii="Arial" w:cs="Arial" w:eastAsia="Arial" w:hAnsi="Arial"/>
                <w:sz w:val="17"/>
                <w:szCs w:val="17"/>
                <w:color w:val="auto"/>
              </w:rPr>
              <w:t>(394)</w:t>
            </w:r>
          </w:p>
        </w:tc>
        <w:tc>
          <w:tcPr>
            <w:tcW w:w="1000" w:type="dxa"/>
            <w:vAlign w:val="bottom"/>
            <w:gridSpan w:val="3"/>
          </w:tcPr>
          <w:p>
            <w:pPr>
              <w:jc w:val="right"/>
              <w:ind w:right="160"/>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7"/>
                <w:szCs w:val="17"/>
                <w:color w:val="auto"/>
              </w:rPr>
              <w:t>Restructuring credit</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(34)</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2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(91)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7"/>
                <w:szCs w:val="17"/>
                <w:color w:val="auto"/>
              </w:rPr>
              <w:t>Depreciation and amortization</w:t>
            </w:r>
          </w:p>
        </w:tc>
        <w:tc>
          <w:tcPr>
            <w:tcW w:w="9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25,051</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24,926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125</w:t>
            </w:r>
          </w:p>
        </w:tc>
        <w:tc>
          <w:tcPr>
            <w:tcW w:w="2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7"/>
                <w:szCs w:val="17"/>
                <w:color w:val="auto"/>
              </w:rPr>
              <w:t>Consolidated AOCF</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125,670</w:t>
            </w:r>
          </w:p>
        </w:tc>
        <w:tc>
          <w:tcPr>
            <w:tcW w:w="2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5"/>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99,548</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26,122</w:t>
            </w:r>
          </w:p>
        </w:tc>
        <w:tc>
          <w:tcPr>
            <w:tcW w:w="2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780" w:type="dxa"/>
            <w:vAlign w:val="bottom"/>
            <w:gridSpan w:val="3"/>
          </w:tcPr>
          <w:p>
            <w:pPr>
              <w:jc w:val="right"/>
              <w:ind w:right="600"/>
              <w:spacing w:after="0"/>
              <w:rPr>
                <w:sz w:val="20"/>
                <w:szCs w:val="20"/>
                <w:color w:val="auto"/>
              </w:rPr>
            </w:pPr>
            <w:r>
              <w:rPr>
                <w:rFonts w:ascii="Arial" w:cs="Arial" w:eastAsia="Arial" w:hAnsi="Arial"/>
                <w:sz w:val="17"/>
                <w:szCs w:val="17"/>
                <w:color w:val="auto"/>
              </w:rPr>
              <w:t>28</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1" w:right="239" w:bottom="1440" w:gutter="0" w:footer="0" w:header="0"/>
        </w:sectPr>
      </w:pPr>
    </w:p>
    <w:bookmarkStart w:id="28" w:name="page29"/>
    <w:bookmarkEnd w:id="2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National Networks Segment Results</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sets forth our National Networks segment results for the periods indicated.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200" w:type="dxa"/>
            <w:vAlign w:val="bottom"/>
            <w:tcBorders>
              <w:bottom w:val="single" w:sz="8" w:color="auto"/>
            </w:tcBorders>
            <w:gridSpan w:val="7"/>
          </w:tcPr>
          <w:p>
            <w:pPr>
              <w:jc w:val="right"/>
              <w:ind w:right="240"/>
              <w:spacing w:after="0"/>
              <w:rPr>
                <w:sz w:val="20"/>
                <w:szCs w:val="20"/>
                <w:color w:val="auto"/>
              </w:rPr>
            </w:pPr>
            <w:r>
              <w:rPr>
                <w:rFonts w:ascii="Arial" w:cs="Arial" w:eastAsia="Arial" w:hAnsi="Arial"/>
                <w:sz w:val="13"/>
                <w:szCs w:val="13"/>
                <w:b w:val="1"/>
                <w:bCs w:val="1"/>
                <w:color w:val="auto"/>
              </w:rPr>
              <w:t>Three Months Ended March 31,</w:t>
            </w:r>
          </w:p>
        </w:tc>
        <w:tc>
          <w:tcPr>
            <w:tcW w:w="580" w:type="dxa"/>
            <w:vAlign w:val="bottom"/>
            <w:tcBorders>
              <w:bottom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5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40" w:type="dxa"/>
            <w:vAlign w:val="bottom"/>
            <w:tcBorders>
              <w:bottom w:val="single" w:sz="8" w:color="auto"/>
            </w:tcBorders>
            <w:gridSpan w:val="2"/>
          </w:tcPr>
          <w:p>
            <w:pPr>
              <w:jc w:val="right"/>
              <w:spacing w:after="0" w:line="138" w:lineRule="exact"/>
              <w:rPr>
                <w:sz w:val="20"/>
                <w:szCs w:val="20"/>
                <w:color w:val="auto"/>
              </w:rPr>
            </w:pPr>
            <w:r>
              <w:rPr>
                <w:rFonts w:ascii="Arial" w:cs="Arial" w:eastAsia="Arial" w:hAnsi="Arial"/>
                <w:sz w:val="13"/>
                <w:szCs w:val="13"/>
                <w:b w:val="1"/>
                <w:bCs w:val="1"/>
                <w:color w:val="auto"/>
              </w:rPr>
              <w:t>2012</w:t>
            </w:r>
          </w:p>
        </w:tc>
        <w:tc>
          <w:tcPr>
            <w:tcW w:w="58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2"/>
          </w:tcPr>
          <w:p>
            <w:pPr>
              <w:jc w:val="right"/>
              <w:ind w:right="40"/>
              <w:spacing w:after="0" w:line="138" w:lineRule="exact"/>
              <w:rPr>
                <w:sz w:val="20"/>
                <w:szCs w:val="20"/>
                <w:color w:val="auto"/>
              </w:rPr>
            </w:pPr>
            <w:r>
              <w:rPr>
                <w:rFonts w:ascii="Arial" w:cs="Arial" w:eastAsia="Arial" w:hAnsi="Arial"/>
                <w:sz w:val="13"/>
                <w:szCs w:val="13"/>
                <w:b w:val="1"/>
                <w:bCs w:val="1"/>
                <w:color w:val="auto"/>
              </w:rPr>
              <w:t>2011</w:t>
            </w:r>
          </w:p>
        </w:tc>
        <w:tc>
          <w:tcPr>
            <w:tcW w:w="580" w:type="dxa"/>
            <w:vAlign w:val="bottom"/>
            <w:tcBorders>
              <w:bottom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53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rPr>
              <w:t>% of</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rPr>
              <w:t>% of</w:t>
            </w:r>
          </w:p>
        </w:tc>
        <w:tc>
          <w:tcPr>
            <w:tcW w:w="4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5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gridSpan w:val="2"/>
          </w:tcPr>
          <w:p>
            <w:pPr>
              <w:jc w:val="center"/>
              <w:ind w:right="260"/>
              <w:spacing w:after="0" w:line="145" w:lineRule="exact"/>
              <w:rPr>
                <w:sz w:val="20"/>
                <w:szCs w:val="20"/>
                <w:color w:val="auto"/>
              </w:rPr>
            </w:pPr>
            <w:r>
              <w:rPr>
                <w:rFonts w:ascii="Arial" w:cs="Arial" w:eastAsia="Arial" w:hAnsi="Arial"/>
                <w:sz w:val="13"/>
                <w:szCs w:val="13"/>
                <w:b w:val="1"/>
                <w:bCs w:val="1"/>
                <w:color w:val="auto"/>
                <w:w w:val="86"/>
              </w:rPr>
              <w:t>Revenues,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gridSpan w:val="2"/>
          </w:tcPr>
          <w:p>
            <w:pPr>
              <w:jc w:val="center"/>
              <w:ind w:right="380"/>
              <w:spacing w:after="0" w:line="145" w:lineRule="exact"/>
              <w:rPr>
                <w:sz w:val="20"/>
                <w:szCs w:val="20"/>
                <w:color w:val="auto"/>
              </w:rPr>
            </w:pPr>
            <w:r>
              <w:rPr>
                <w:rFonts w:ascii="Arial" w:cs="Arial" w:eastAsia="Arial" w:hAnsi="Arial"/>
                <w:sz w:val="13"/>
                <w:szCs w:val="13"/>
                <w:b w:val="1"/>
                <w:bCs w:val="1"/>
                <w:color w:val="auto"/>
                <w:w w:val="86"/>
              </w:rPr>
              <w:t>Revenues,</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gridSpan w:val="2"/>
          </w:tcPr>
          <w:p>
            <w:pPr>
              <w:ind w:left="260"/>
              <w:spacing w:after="0" w:line="145" w:lineRule="exact"/>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5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60" w:type="dxa"/>
            <w:vAlign w:val="bottom"/>
          </w:tcPr>
          <w:p>
            <w:pPr>
              <w:jc w:val="right"/>
              <w:ind w:right="24"/>
              <w:spacing w:after="0"/>
              <w:rPr>
                <w:sz w:val="20"/>
                <w:szCs w:val="20"/>
                <w:color w:val="auto"/>
              </w:rPr>
            </w:pPr>
            <w:r>
              <w:rPr>
                <w:rFonts w:ascii="Arial" w:cs="Arial" w:eastAsia="Arial" w:hAnsi="Arial"/>
                <w:sz w:val="13"/>
                <w:szCs w:val="13"/>
                <w:b w:val="1"/>
                <w:bCs w:val="1"/>
                <w:color w:val="auto"/>
              </w:rPr>
              <w:t>Amount</w:t>
            </w:r>
          </w:p>
        </w:tc>
        <w:tc>
          <w:tcPr>
            <w:tcW w:w="280" w:type="dxa"/>
            <w:vAlign w:val="bottom"/>
          </w:tcPr>
          <w:p>
            <w:pPr>
              <w:spacing w:after="0"/>
              <w:rPr>
                <w:sz w:val="13"/>
                <w:szCs w:val="13"/>
                <w:color w:val="auto"/>
              </w:rPr>
            </w:pP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92"/>
              </w:rPr>
              <w:t>net</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20"/>
              <w:spacing w:after="0"/>
              <w:rPr>
                <w:sz w:val="20"/>
                <w:szCs w:val="20"/>
                <w:color w:val="auto"/>
              </w:rPr>
            </w:pPr>
            <w:r>
              <w:rPr>
                <w:rFonts w:ascii="Arial" w:cs="Arial" w:eastAsia="Arial" w:hAnsi="Arial"/>
                <w:sz w:val="13"/>
                <w:szCs w:val="13"/>
                <w:b w:val="1"/>
                <w:bCs w:val="1"/>
                <w:color w:val="auto"/>
                <w:w w:val="89"/>
              </w:rPr>
              <w:t>Amount</w:t>
            </w:r>
          </w:p>
        </w:tc>
        <w:tc>
          <w:tcPr>
            <w:tcW w:w="280" w:type="dxa"/>
            <w:vAlign w:val="bottom"/>
          </w:tcPr>
          <w:p>
            <w:pPr>
              <w:spacing w:after="0"/>
              <w:rPr>
                <w:sz w:val="13"/>
                <w:szCs w:val="13"/>
                <w:color w:val="auto"/>
              </w:rPr>
            </w:pP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92"/>
              </w:rPr>
              <w:t>net</w:t>
            </w:r>
          </w:p>
        </w:tc>
        <w:tc>
          <w:tcPr>
            <w:tcW w:w="400" w:type="dxa"/>
            <w:vAlign w:val="bottom"/>
          </w:tcPr>
          <w:p>
            <w:pPr>
              <w:spacing w:after="0"/>
              <w:rPr>
                <w:sz w:val="13"/>
                <w:szCs w:val="13"/>
                <w:color w:val="auto"/>
              </w:rPr>
            </w:pP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w w:val="88"/>
              </w:rPr>
              <w:t>$ change</w:t>
            </w:r>
          </w:p>
        </w:tc>
        <w:tc>
          <w:tcPr>
            <w:tcW w:w="180" w:type="dxa"/>
            <w:vAlign w:val="bottom"/>
          </w:tcPr>
          <w:p>
            <w:pPr>
              <w:spacing w:after="0"/>
              <w:rPr>
                <w:sz w:val="13"/>
                <w:szCs w:val="13"/>
                <w:color w:val="auto"/>
              </w:rPr>
            </w:pPr>
          </w:p>
        </w:tc>
        <w:tc>
          <w:tcPr>
            <w:tcW w:w="720" w:type="dxa"/>
            <w:vAlign w:val="bottom"/>
            <w:gridSpan w:val="3"/>
          </w:tcPr>
          <w:p>
            <w:pPr>
              <w:ind w:left="140"/>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20"/>
        </w:trPr>
        <w:tc>
          <w:tcPr>
            <w:tcW w:w="5340" w:type="dxa"/>
            <w:vAlign w:val="bottom"/>
            <w:vMerge w:val="restart"/>
            <w:shd w:val="clear" w:color="auto" w:fill="CCEEFF"/>
          </w:tcPr>
          <w:p>
            <w:pPr>
              <w:spacing w:after="0"/>
              <w:rPr>
                <w:sz w:val="20"/>
                <w:szCs w:val="20"/>
                <w:color w:val="auto"/>
              </w:rPr>
            </w:pPr>
            <w:r>
              <w:rPr>
                <w:rFonts w:ascii="Arial" w:cs="Arial" w:eastAsia="Arial" w:hAnsi="Arial"/>
                <w:sz w:val="17"/>
                <w:szCs w:val="17"/>
                <w:color w:val="auto"/>
              </w:rPr>
              <w:t>Revenues, net</w:t>
            </w:r>
          </w:p>
        </w:tc>
        <w:tc>
          <w:tcPr>
            <w:tcW w:w="78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340" w:type="dxa"/>
            <w:vAlign w:val="bottom"/>
            <w:vMerge w:val="continue"/>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0"/>
              </w:rPr>
              <w:t>$304,223</w:t>
            </w:r>
          </w:p>
        </w:tc>
        <w:tc>
          <w:tcPr>
            <w:tcW w:w="28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100%</w:t>
            </w:r>
          </w:p>
        </w:tc>
        <w:tc>
          <w:tcPr>
            <w:tcW w:w="1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251,845</w:t>
            </w:r>
          </w:p>
        </w:tc>
        <w:tc>
          <w:tcPr>
            <w:tcW w:w="280" w:type="dxa"/>
            <w:vAlign w:val="bottom"/>
            <w:vMerge w:val="continue"/>
            <w:shd w:val="clear" w:color="auto" w:fill="CCEEFF"/>
          </w:tcPr>
          <w:p>
            <w:pPr>
              <w:spacing w:after="0"/>
              <w:rPr>
                <w:sz w:val="17"/>
                <w:szCs w:val="17"/>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100%</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$52,378</w:t>
            </w:r>
          </w:p>
        </w:tc>
        <w:tc>
          <w:tcPr>
            <w:tcW w:w="180" w:type="dxa"/>
            <w:vAlign w:val="bottom"/>
            <w:vMerge w:val="continue"/>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58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w w:val="99"/>
              </w:rPr>
              <w:t>21%</w:t>
            </w:r>
          </w:p>
        </w:tc>
        <w:tc>
          <w:tcPr>
            <w:tcW w:w="0" w:type="dxa"/>
            <w:vAlign w:val="bottom"/>
          </w:tcPr>
          <w:p>
            <w:pPr>
              <w:spacing w:after="0"/>
              <w:rPr>
                <w:sz w:val="1"/>
                <w:szCs w:val="1"/>
                <w:color w:val="auto"/>
              </w:rPr>
            </w:pPr>
          </w:p>
        </w:tc>
      </w:tr>
      <w:tr>
        <w:trPr>
          <w:trHeight w:val="211"/>
        </w:trPr>
        <w:tc>
          <w:tcPr>
            <w:tcW w:w="5340" w:type="dxa"/>
            <w:vAlign w:val="bottom"/>
          </w:tcPr>
          <w:p>
            <w:pPr>
              <w:spacing w:after="0"/>
              <w:rPr>
                <w:sz w:val="20"/>
                <w:szCs w:val="20"/>
                <w:color w:val="auto"/>
              </w:rPr>
            </w:pPr>
            <w:r>
              <w:rPr>
                <w:rFonts w:ascii="Arial" w:cs="Arial" w:eastAsia="Arial" w:hAnsi="Arial"/>
                <w:sz w:val="17"/>
                <w:szCs w:val="17"/>
                <w:color w:val="auto"/>
              </w:rPr>
              <w:t>Technical and operating (excluding depreciation and amortization)</w:t>
            </w:r>
          </w:p>
        </w:tc>
        <w:tc>
          <w:tcPr>
            <w:tcW w:w="1440" w:type="dxa"/>
            <w:vAlign w:val="bottom"/>
            <w:gridSpan w:val="2"/>
          </w:tcPr>
          <w:p>
            <w:pPr>
              <w:jc w:val="right"/>
              <w:spacing w:after="0"/>
              <w:rPr>
                <w:sz w:val="20"/>
                <w:szCs w:val="20"/>
                <w:color w:val="auto"/>
              </w:rPr>
            </w:pPr>
            <w:r>
              <w:rPr>
                <w:rFonts w:ascii="Arial" w:cs="Arial" w:eastAsia="Arial" w:hAnsi="Arial"/>
                <w:sz w:val="17"/>
                <w:szCs w:val="17"/>
                <w:color w:val="auto"/>
              </w:rPr>
              <w:t>90,084</w:t>
            </w: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30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7"/>
                <w:szCs w:val="17"/>
                <w:color w:val="auto"/>
              </w:rPr>
              <w:t>75,894</w:t>
            </w:r>
          </w:p>
        </w:tc>
        <w:tc>
          <w:tcPr>
            <w:tcW w:w="580" w:type="dxa"/>
            <w:vAlign w:val="bottom"/>
          </w:tcPr>
          <w:p>
            <w:pPr>
              <w:jc w:val="right"/>
              <w:spacing w:after="0"/>
              <w:rPr>
                <w:sz w:val="20"/>
                <w:szCs w:val="20"/>
                <w:color w:val="auto"/>
              </w:rPr>
            </w:pPr>
            <w:r>
              <w:rPr>
                <w:rFonts w:ascii="Arial" w:cs="Arial" w:eastAsia="Arial" w:hAnsi="Arial"/>
                <w:sz w:val="17"/>
                <w:szCs w:val="17"/>
                <w:color w:val="auto"/>
              </w:rPr>
              <w:t>30</w:t>
            </w:r>
          </w:p>
        </w:tc>
        <w:tc>
          <w:tcPr>
            <w:tcW w:w="4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7"/>
                <w:szCs w:val="17"/>
                <w:color w:val="auto"/>
              </w:rPr>
              <w:t>14,190</w:t>
            </w:r>
          </w:p>
        </w:tc>
        <w:tc>
          <w:tcPr>
            <w:tcW w:w="720" w:type="dxa"/>
            <w:vAlign w:val="bottom"/>
            <w:gridSpan w:val="3"/>
          </w:tcPr>
          <w:p>
            <w:pPr>
              <w:ind w:left="360"/>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211"/>
        </w:trPr>
        <w:tc>
          <w:tcPr>
            <w:tcW w:w="5340" w:type="dxa"/>
            <w:vAlign w:val="bottom"/>
            <w:shd w:val="clear" w:color="auto" w:fill="CCEEFF"/>
          </w:tcPr>
          <w:p>
            <w:pPr>
              <w:spacing w:after="0"/>
              <w:rPr>
                <w:sz w:val="20"/>
                <w:szCs w:val="20"/>
                <w:color w:val="auto"/>
              </w:rPr>
            </w:pPr>
            <w:r>
              <w:rPr>
                <w:rFonts w:ascii="Arial" w:cs="Arial" w:eastAsia="Arial" w:hAnsi="Arial"/>
                <w:sz w:val="17"/>
                <w:szCs w:val="17"/>
                <w:color w:val="auto"/>
              </w:rPr>
              <w:t>Selling, general and administrative</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83,616</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72,745</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4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10,871</w:t>
            </w:r>
          </w:p>
        </w:tc>
        <w:tc>
          <w:tcPr>
            <w:tcW w:w="720" w:type="dxa"/>
            <w:vAlign w:val="bottom"/>
            <w:gridSpan w:val="3"/>
            <w:shd w:val="clear" w:color="auto" w:fill="CCEEFF"/>
          </w:tcPr>
          <w:p>
            <w:pPr>
              <w:ind w:left="360"/>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11"/>
        </w:trPr>
        <w:tc>
          <w:tcPr>
            <w:tcW w:w="5340" w:type="dxa"/>
            <w:vAlign w:val="bottom"/>
          </w:tcPr>
          <w:p>
            <w:pPr>
              <w:spacing w:after="0"/>
              <w:rPr>
                <w:sz w:val="20"/>
                <w:szCs w:val="20"/>
                <w:color w:val="auto"/>
              </w:rPr>
            </w:pPr>
            <w:r>
              <w:rPr>
                <w:rFonts w:ascii="Arial" w:cs="Arial" w:eastAsia="Arial" w:hAnsi="Arial"/>
                <w:sz w:val="17"/>
                <w:szCs w:val="17"/>
                <w:color w:val="auto"/>
              </w:rPr>
              <w:t>Depreciation and amortization</w:t>
            </w:r>
          </w:p>
        </w:tc>
        <w:tc>
          <w:tcPr>
            <w:tcW w:w="7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21,305</w:t>
            </w: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7</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21,311</w:t>
            </w: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8</w:t>
            </w:r>
          </w:p>
        </w:tc>
        <w:tc>
          <w:tcPr>
            <w:tcW w:w="4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7"/>
                <w:szCs w:val="17"/>
                <w:color w:val="auto"/>
              </w:rPr>
              <w:t>(6)</w:t>
            </w:r>
          </w:p>
        </w:tc>
        <w:tc>
          <w:tcPr>
            <w:tcW w:w="140" w:type="dxa"/>
            <w:vAlign w:val="bottom"/>
          </w:tcPr>
          <w:p>
            <w:pPr>
              <w:spacing w:after="0"/>
              <w:rPr>
                <w:sz w:val="18"/>
                <w:szCs w:val="18"/>
                <w:color w:val="auto"/>
              </w:rPr>
            </w:pPr>
          </w:p>
        </w:tc>
        <w:tc>
          <w:tcPr>
            <w:tcW w:w="58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5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5340" w:type="dxa"/>
            <w:vAlign w:val="bottom"/>
            <w:shd w:val="clear" w:color="auto" w:fill="CCEEFF"/>
          </w:tcPr>
          <w:p>
            <w:pPr>
              <w:spacing w:after="0"/>
              <w:rPr>
                <w:sz w:val="20"/>
                <w:szCs w:val="20"/>
                <w:color w:val="auto"/>
              </w:rPr>
            </w:pPr>
            <w:r>
              <w:rPr>
                <w:rFonts w:ascii="Arial" w:cs="Arial" w:eastAsia="Arial" w:hAnsi="Arial"/>
                <w:sz w:val="17"/>
                <w:szCs w:val="17"/>
                <w:color w:val="auto"/>
              </w:rPr>
              <w:t>Operating income</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109,218</w:t>
            </w:r>
          </w:p>
        </w:tc>
        <w:tc>
          <w:tcPr>
            <w:tcW w:w="11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36%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81,895</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33%</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u w:val="single" w:color="auto"/>
                <w:color w:val="auto"/>
                <w:w w:val="87"/>
              </w:rPr>
              <w:t>$</w:t>
            </w:r>
            <w:r>
              <w:rPr>
                <w:rFonts w:ascii="Arial" w:cs="Arial" w:eastAsia="Arial" w:hAnsi="Arial"/>
                <w:sz w:val="17"/>
                <w:szCs w:val="17"/>
                <w:color w:val="auto"/>
                <w:w w:val="87"/>
              </w:rPr>
              <w:t>27,323</w:t>
            </w:r>
          </w:p>
        </w:tc>
        <w:tc>
          <w:tcPr>
            <w:tcW w:w="720" w:type="dxa"/>
            <w:vAlign w:val="bottom"/>
            <w:gridSpan w:val="3"/>
            <w:shd w:val="clear" w:color="auto" w:fill="CCEEFF"/>
          </w:tcPr>
          <w:p>
            <w:pPr>
              <w:ind w:left="360"/>
              <w:spacing w:after="0"/>
              <w:rPr>
                <w:sz w:val="20"/>
                <w:szCs w:val="20"/>
                <w:color w:val="auto"/>
              </w:rPr>
            </w:pPr>
            <w:r>
              <w:rPr>
                <w:rFonts w:ascii="Arial" w:cs="Arial" w:eastAsia="Arial" w:hAnsi="Arial"/>
                <w:sz w:val="17"/>
                <w:szCs w:val="17"/>
                <w:color w:val="auto"/>
                <w:w w:val="99"/>
              </w:rPr>
              <w:t>33%</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reconciliation of our National Networks segment operating income to AOCF:</w:t>
      </w:r>
    </w:p>
    <w:p>
      <w:pPr>
        <w:spacing w:after="0" w:line="204"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6640" w:type="dxa"/>
            <w:vAlign w:val="bottom"/>
          </w:tcPr>
          <w:p>
            <w:pPr>
              <w:spacing w:after="0"/>
              <w:rPr>
                <w:sz w:val="13"/>
                <w:szCs w:val="13"/>
                <w:color w:val="auto"/>
              </w:rPr>
            </w:pPr>
          </w:p>
        </w:tc>
        <w:tc>
          <w:tcPr>
            <w:tcW w:w="2000" w:type="dxa"/>
            <w:vAlign w:val="bottom"/>
            <w:gridSpan w:val="5"/>
          </w:tcPr>
          <w:p>
            <w:pPr>
              <w:jc w:val="right"/>
              <w:ind w:right="520"/>
              <w:spacing w:after="0"/>
              <w:rPr>
                <w:sz w:val="20"/>
                <w:szCs w:val="20"/>
                <w:color w:val="auto"/>
              </w:rPr>
            </w:pPr>
            <w:r>
              <w:rPr>
                <w:rFonts w:ascii="Arial" w:cs="Arial" w:eastAsia="Arial" w:hAnsi="Arial"/>
                <w:sz w:val="13"/>
                <w:szCs w:val="13"/>
                <w:b w:val="1"/>
                <w:bCs w:val="1"/>
                <w:color w:val="auto"/>
              </w:rPr>
              <w:t>Three Months Ended</w:t>
            </w: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640" w:type="dxa"/>
            <w:vAlign w:val="bottom"/>
          </w:tcPr>
          <w:p>
            <w:pPr>
              <w:spacing w:after="0"/>
              <w:rPr>
                <w:sz w:val="13"/>
                <w:szCs w:val="13"/>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March 31,</w:t>
            </w:r>
          </w:p>
        </w:tc>
        <w:tc>
          <w:tcPr>
            <w:tcW w:w="56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vMerge w:val="restart"/>
          </w:tcPr>
          <w:p>
            <w:pPr>
              <w:ind w:left="140"/>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66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6640" w:type="dxa"/>
            <w:vAlign w:val="bottom"/>
          </w:tcPr>
          <w:p>
            <w:pPr>
              <w:spacing w:after="0"/>
              <w:rPr>
                <w:sz w:val="13"/>
                <w:szCs w:val="13"/>
                <w:color w:val="auto"/>
              </w:rPr>
            </w:pPr>
          </w:p>
        </w:tc>
        <w:tc>
          <w:tcPr>
            <w:tcW w:w="640" w:type="dxa"/>
            <w:vAlign w:val="bottom"/>
          </w:tcPr>
          <w:p>
            <w:pPr>
              <w:jc w:val="right"/>
              <w:ind w:right="103"/>
              <w:spacing w:after="0"/>
              <w:rPr>
                <w:sz w:val="20"/>
                <w:szCs w:val="20"/>
                <w:color w:val="auto"/>
              </w:rPr>
            </w:pPr>
            <w:r>
              <w:rPr>
                <w:rFonts w:ascii="Arial" w:cs="Arial" w:eastAsia="Arial" w:hAnsi="Arial"/>
                <w:sz w:val="13"/>
                <w:szCs w:val="13"/>
                <w:b w:val="1"/>
                <w:bCs w:val="1"/>
                <w:color w:val="auto"/>
              </w:rPr>
              <w:t>2012</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118"/>
              <w:spacing w:after="0"/>
              <w:rPr>
                <w:sz w:val="20"/>
                <w:szCs w:val="20"/>
                <w:color w:val="auto"/>
              </w:rPr>
            </w:pPr>
            <w:r>
              <w:rPr>
                <w:rFonts w:ascii="Arial" w:cs="Arial" w:eastAsia="Arial" w:hAnsi="Arial"/>
                <w:sz w:val="13"/>
                <w:szCs w:val="13"/>
                <w:b w:val="1"/>
                <w:bCs w:val="1"/>
                <w:color w:val="auto"/>
              </w:rPr>
              <w:t>2011</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b w:val="1"/>
                <w:bCs w:val="1"/>
                <w:color w:val="auto"/>
                <w:w w:val="92"/>
              </w:rPr>
              <w:t>$ change</w:t>
            </w:r>
          </w:p>
        </w:tc>
        <w:tc>
          <w:tcPr>
            <w:tcW w:w="460" w:type="dxa"/>
            <w:vAlign w:val="bottom"/>
          </w:tcPr>
          <w:p>
            <w:pPr>
              <w:spacing w:after="0"/>
              <w:rPr>
                <w:sz w:val="13"/>
                <w:szCs w:val="13"/>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w w:val="83"/>
              </w:rPr>
              <w:t>change</w:t>
            </w:r>
          </w:p>
        </w:tc>
        <w:tc>
          <w:tcPr>
            <w:tcW w:w="0" w:type="dxa"/>
            <w:vAlign w:val="bottom"/>
          </w:tcPr>
          <w:p>
            <w:pPr>
              <w:spacing w:after="0"/>
              <w:rPr>
                <w:sz w:val="1"/>
                <w:szCs w:val="1"/>
                <w:color w:val="auto"/>
              </w:rPr>
            </w:pPr>
          </w:p>
        </w:tc>
      </w:tr>
      <w:tr>
        <w:trPr>
          <w:trHeight w:val="20"/>
        </w:trPr>
        <w:tc>
          <w:tcPr>
            <w:tcW w:w="6640" w:type="dxa"/>
            <w:vAlign w:val="bottom"/>
            <w:vMerge w:val="restart"/>
            <w:shd w:val="clear" w:color="auto" w:fill="CCEEFF"/>
          </w:tcPr>
          <w:p>
            <w:pPr>
              <w:spacing w:after="0"/>
              <w:rPr>
                <w:sz w:val="20"/>
                <w:szCs w:val="20"/>
                <w:color w:val="auto"/>
              </w:rPr>
            </w:pPr>
            <w:r>
              <w:rPr>
                <w:rFonts w:ascii="Arial" w:cs="Arial" w:eastAsia="Arial" w:hAnsi="Arial"/>
                <w:sz w:val="17"/>
                <w:szCs w:val="17"/>
                <w:color w:val="auto"/>
              </w:rPr>
              <w:t>Operating income</w:t>
            </w:r>
          </w:p>
        </w:tc>
        <w:tc>
          <w:tcPr>
            <w:tcW w:w="640" w:type="dxa"/>
            <w:vAlign w:val="bottom"/>
            <w:shd w:val="clear" w:color="auto" w:fill="000000"/>
          </w:tcPr>
          <w:p>
            <w:pPr>
              <w:spacing w:after="0" w:line="20" w:lineRule="exact"/>
              <w:rPr>
                <w:sz w:val="1"/>
                <w:szCs w:val="1"/>
                <w:color w:val="auto"/>
              </w:rPr>
            </w:pPr>
          </w:p>
        </w:tc>
        <w:tc>
          <w:tcPr>
            <w:tcW w:w="460" w:type="dxa"/>
            <w:vAlign w:val="bottom"/>
            <w:tcBorders>
              <w:left w:val="single" w:sz="8" w:color="CCEEFF"/>
            </w:tcBorders>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640" w:type="dxa"/>
            <w:vAlign w:val="bottom"/>
            <w:vMerge w:val="continue"/>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$109,218</w:t>
            </w:r>
          </w:p>
        </w:tc>
        <w:tc>
          <w:tcPr>
            <w:tcW w:w="460" w:type="dxa"/>
            <w:vAlign w:val="bottom"/>
            <w:tcBorders>
              <w:left w:val="single" w:sz="8" w:color="CCEEFF"/>
            </w:tcBorders>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81,895</w:t>
            </w:r>
          </w:p>
        </w:tc>
        <w:tc>
          <w:tcPr>
            <w:tcW w:w="240" w:type="dxa"/>
            <w:vAlign w:val="bottom"/>
            <w:vMerge w:val="continue"/>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$27,323</w:t>
            </w:r>
          </w:p>
        </w:tc>
        <w:tc>
          <w:tcPr>
            <w:tcW w:w="4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33%</w:t>
            </w:r>
          </w:p>
        </w:tc>
        <w:tc>
          <w:tcPr>
            <w:tcW w:w="0" w:type="dxa"/>
            <w:vAlign w:val="bottom"/>
          </w:tcPr>
          <w:p>
            <w:pPr>
              <w:spacing w:after="0"/>
              <w:rPr>
                <w:sz w:val="1"/>
                <w:szCs w:val="1"/>
                <w:color w:val="auto"/>
              </w:rPr>
            </w:pPr>
          </w:p>
        </w:tc>
      </w:tr>
      <w:tr>
        <w:trPr>
          <w:trHeight w:val="211"/>
        </w:trPr>
        <w:tc>
          <w:tcPr>
            <w:tcW w:w="6640" w:type="dxa"/>
            <w:vAlign w:val="bottom"/>
          </w:tcPr>
          <w:p>
            <w:pPr>
              <w:spacing w:after="0"/>
              <w:rPr>
                <w:sz w:val="20"/>
                <w:szCs w:val="20"/>
                <w:color w:val="auto"/>
              </w:rPr>
            </w:pPr>
            <w:r>
              <w:rPr>
                <w:rFonts w:ascii="Arial" w:cs="Arial" w:eastAsia="Arial" w:hAnsi="Arial"/>
                <w:sz w:val="17"/>
                <w:szCs w:val="17"/>
                <w:color w:val="auto"/>
              </w:rPr>
              <w:t>Share-based compensation expense</w:t>
            </w:r>
          </w:p>
        </w:tc>
        <w:tc>
          <w:tcPr>
            <w:tcW w:w="640" w:type="dxa"/>
            <w:vAlign w:val="bottom"/>
          </w:tcPr>
          <w:p>
            <w:pPr>
              <w:jc w:val="right"/>
              <w:spacing w:after="0"/>
              <w:rPr>
                <w:sz w:val="20"/>
                <w:szCs w:val="20"/>
                <w:color w:val="auto"/>
              </w:rPr>
            </w:pPr>
            <w:r>
              <w:rPr>
                <w:rFonts w:ascii="Arial" w:cs="Arial" w:eastAsia="Arial" w:hAnsi="Arial"/>
                <w:sz w:val="17"/>
                <w:szCs w:val="17"/>
                <w:color w:val="auto"/>
              </w:rPr>
              <w:t>2,849</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7"/>
                <w:szCs w:val="17"/>
                <w:color w:val="auto"/>
              </w:rPr>
              <w:t>3,150</w:t>
            </w:r>
          </w:p>
        </w:tc>
        <w:tc>
          <w:tcPr>
            <w:tcW w:w="1260" w:type="dxa"/>
            <w:vAlign w:val="bottom"/>
            <w:gridSpan w:val="3"/>
          </w:tcPr>
          <w:p>
            <w:pPr>
              <w:jc w:val="right"/>
              <w:ind w:right="400"/>
              <w:spacing w:after="0"/>
              <w:rPr>
                <w:sz w:val="20"/>
                <w:szCs w:val="20"/>
                <w:color w:val="auto"/>
              </w:rPr>
            </w:pPr>
            <w:r>
              <w:rPr>
                <w:rFonts w:ascii="Arial" w:cs="Arial" w:eastAsia="Arial" w:hAnsi="Arial"/>
                <w:sz w:val="17"/>
                <w:szCs w:val="17"/>
                <w:color w:val="auto"/>
              </w:rPr>
              <w:t>(301)</w:t>
            </w:r>
          </w:p>
        </w:tc>
        <w:tc>
          <w:tcPr>
            <w:tcW w:w="600" w:type="dxa"/>
            <w:vAlign w:val="bottom"/>
            <w:gridSpan w:val="2"/>
          </w:tcPr>
          <w:p>
            <w:pPr>
              <w:jc w:val="right"/>
              <w:ind w:right="140"/>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11"/>
        </w:trPr>
        <w:tc>
          <w:tcPr>
            <w:tcW w:w="6640" w:type="dxa"/>
            <w:vAlign w:val="bottom"/>
            <w:shd w:val="clear" w:color="auto" w:fill="CCEEFF"/>
          </w:tcPr>
          <w:p>
            <w:pPr>
              <w:spacing w:after="0"/>
              <w:rPr>
                <w:sz w:val="20"/>
                <w:szCs w:val="20"/>
                <w:color w:val="auto"/>
              </w:rPr>
            </w:pPr>
            <w:r>
              <w:rPr>
                <w:rFonts w:ascii="Arial" w:cs="Arial" w:eastAsia="Arial" w:hAnsi="Arial"/>
                <w:sz w:val="17"/>
                <w:szCs w:val="17"/>
                <w:color w:val="auto"/>
              </w:rPr>
              <w:t>Depreciation and amortization</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21,305</w:t>
            </w:r>
          </w:p>
        </w:tc>
        <w:tc>
          <w:tcPr>
            <w:tcW w:w="46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21,311</w:t>
            </w:r>
          </w:p>
        </w:tc>
        <w:tc>
          <w:tcPr>
            <w:tcW w:w="1260" w:type="dxa"/>
            <w:vAlign w:val="bottom"/>
            <w:gridSpan w:val="3"/>
            <w:shd w:val="clear" w:color="auto" w:fill="CCEEFF"/>
          </w:tcPr>
          <w:p>
            <w:pPr>
              <w:jc w:val="right"/>
              <w:ind w:right="400"/>
              <w:spacing w:after="0"/>
              <w:rPr>
                <w:sz w:val="20"/>
                <w:szCs w:val="20"/>
                <w:color w:val="auto"/>
              </w:rPr>
            </w:pPr>
            <w:r>
              <w:rPr>
                <w:rFonts w:ascii="Arial" w:cs="Arial" w:eastAsia="Arial" w:hAnsi="Arial"/>
                <w:sz w:val="17"/>
                <w:szCs w:val="17"/>
                <w:color w:val="auto"/>
              </w:rPr>
              <w:t>(6)</w:t>
            </w:r>
          </w:p>
        </w:tc>
        <w:tc>
          <w:tcPr>
            <w:tcW w:w="60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Arial" w:cs="Arial" w:eastAsia="Arial" w:hAnsi="Arial"/>
                <w:sz w:val="17"/>
                <w:szCs w:val="17"/>
                <w:color w:val="auto"/>
              </w:rPr>
              <w:t>AOCF</w:t>
            </w:r>
          </w:p>
        </w:tc>
        <w:tc>
          <w:tcPr>
            <w:tcW w:w="6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gridSpan w:val="2"/>
            <w:vMerge w:val="restart"/>
          </w:tcPr>
          <w:p>
            <w:pPr>
              <w:jc w:val="right"/>
              <w:ind w:right="60"/>
              <w:spacing w:after="0"/>
              <w:rPr>
                <w:sz w:val="20"/>
                <w:szCs w:val="20"/>
                <w:color w:val="auto"/>
              </w:rPr>
            </w:pPr>
            <w:r>
              <w:rPr>
                <w:rFonts w:ascii="Arial" w:cs="Arial" w:eastAsia="Arial" w:hAnsi="Arial"/>
                <w:sz w:val="17"/>
                <w:szCs w:val="17"/>
                <w:color w:val="auto"/>
              </w:rPr>
              <w:t>25%</w:t>
            </w:r>
          </w:p>
        </w:tc>
        <w:tc>
          <w:tcPr>
            <w:tcW w:w="0" w:type="dxa"/>
            <w:vAlign w:val="bottom"/>
          </w:tcPr>
          <w:p>
            <w:pPr>
              <w:spacing w:after="0" w:line="20" w:lineRule="exact"/>
              <w:rPr>
                <w:sz w:val="1"/>
                <w:szCs w:val="1"/>
                <w:color w:val="auto"/>
              </w:rPr>
            </w:pPr>
          </w:p>
        </w:tc>
      </w:tr>
      <w:tr>
        <w:trPr>
          <w:trHeight w:val="216"/>
        </w:trPr>
        <w:tc>
          <w:tcPr>
            <w:tcW w:w="6640" w:type="dxa"/>
            <w:vAlign w:val="bottom"/>
            <w:vMerge w:val="continue"/>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u w:val="single" w:color="auto"/>
                <w:color w:val="auto"/>
                <w:w w:val="87"/>
              </w:rPr>
              <w:t>$</w:t>
            </w:r>
            <w:r>
              <w:rPr>
                <w:rFonts w:ascii="Arial" w:cs="Arial" w:eastAsia="Arial" w:hAnsi="Arial"/>
                <w:sz w:val="17"/>
                <w:szCs w:val="17"/>
                <w:color w:val="auto"/>
                <w:w w:val="87"/>
              </w:rPr>
              <w:t>133,372</w:t>
            </w: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u w:val="single" w:color="auto"/>
                <w:color w:val="auto"/>
                <w:w w:val="84"/>
              </w:rPr>
              <w:t>$</w:t>
            </w:r>
          </w:p>
        </w:tc>
        <w:tc>
          <w:tcPr>
            <w:tcW w:w="800" w:type="dxa"/>
            <w:vAlign w:val="bottom"/>
            <w:gridSpan w:val="2"/>
          </w:tcPr>
          <w:p>
            <w:pPr>
              <w:jc w:val="right"/>
              <w:ind w:right="240"/>
              <w:spacing w:after="0"/>
              <w:rPr>
                <w:sz w:val="20"/>
                <w:szCs w:val="20"/>
                <w:color w:val="auto"/>
              </w:rPr>
            </w:pPr>
            <w:r>
              <w:rPr>
                <w:rFonts w:ascii="Arial" w:cs="Arial" w:eastAsia="Arial" w:hAnsi="Arial"/>
                <w:sz w:val="17"/>
                <w:szCs w:val="17"/>
                <w:color w:val="auto"/>
                <w:w w:val="87"/>
              </w:rPr>
              <w:t>106,356</w:t>
            </w:r>
          </w:p>
        </w:tc>
        <w:tc>
          <w:tcPr>
            <w:tcW w:w="80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27,016</w:t>
            </w:r>
          </w:p>
        </w:tc>
        <w:tc>
          <w:tcPr>
            <w:tcW w:w="460" w:type="dxa"/>
            <w:vAlign w:val="bottom"/>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International and Other Segment Results</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sets forth our International and Other segment results for the periods indicated.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300" w:type="dxa"/>
            <w:vAlign w:val="bottom"/>
            <w:tcBorders>
              <w:bottom w:val="single" w:sz="8" w:color="auto"/>
            </w:tcBorders>
            <w:gridSpan w:val="6"/>
          </w:tcPr>
          <w:p>
            <w:pPr>
              <w:jc w:val="right"/>
              <w:ind w:right="360"/>
              <w:spacing w:after="0"/>
              <w:rPr>
                <w:sz w:val="20"/>
                <w:szCs w:val="20"/>
                <w:color w:val="auto"/>
              </w:rPr>
            </w:pPr>
            <w:r>
              <w:rPr>
                <w:rFonts w:ascii="Arial" w:cs="Arial" w:eastAsia="Arial" w:hAnsi="Arial"/>
                <w:sz w:val="13"/>
                <w:szCs w:val="13"/>
                <w:b w:val="1"/>
                <w:bCs w:val="1"/>
                <w:color w:val="auto"/>
                <w:w w:val="99"/>
              </w:rPr>
              <w:t>Three Months Ended March 31,</w:t>
            </w:r>
          </w:p>
        </w:tc>
        <w:tc>
          <w:tcPr>
            <w:tcW w:w="580" w:type="dxa"/>
            <w:vAlign w:val="bottom"/>
            <w:tcBorders>
              <w:bottom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5100" w:type="dxa"/>
            <w:vAlign w:val="bottom"/>
          </w:tcPr>
          <w:p>
            <w:pPr>
              <w:spacing w:after="0"/>
              <w:rPr>
                <w:sz w:val="21"/>
                <w:szCs w:val="21"/>
                <w:color w:val="auto"/>
              </w:rPr>
            </w:pPr>
          </w:p>
        </w:tc>
        <w:tc>
          <w:tcPr>
            <w:tcW w:w="1220" w:type="dxa"/>
            <w:vAlign w:val="bottom"/>
            <w:gridSpan w:val="3"/>
          </w:tcPr>
          <w:p>
            <w:pPr>
              <w:jc w:val="right"/>
              <w:ind w:right="121"/>
              <w:spacing w:after="0"/>
              <w:rPr>
                <w:sz w:val="20"/>
                <w:szCs w:val="20"/>
                <w:color w:val="auto"/>
              </w:rPr>
            </w:pPr>
            <w:r>
              <w:rPr>
                <w:rFonts w:ascii="Arial" w:cs="Arial" w:eastAsia="Arial" w:hAnsi="Arial"/>
                <w:sz w:val="13"/>
                <w:szCs w:val="13"/>
                <w:b w:val="1"/>
                <w:bCs w:val="1"/>
                <w:color w:val="auto"/>
              </w:rPr>
              <w:t>2012</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gridSpan w:val="2"/>
          </w:tcPr>
          <w:p>
            <w:pPr>
              <w:jc w:val="right"/>
              <w:ind w:right="101"/>
              <w:spacing w:after="0"/>
              <w:rPr>
                <w:sz w:val="20"/>
                <w:szCs w:val="20"/>
                <w:color w:val="auto"/>
              </w:rPr>
            </w:pPr>
            <w:r>
              <w:rPr>
                <w:rFonts w:ascii="Arial" w:cs="Arial" w:eastAsia="Arial" w:hAnsi="Arial"/>
                <w:sz w:val="13"/>
                <w:szCs w:val="13"/>
                <w:b w:val="1"/>
                <w:bCs w:val="1"/>
                <w:color w:val="auto"/>
              </w:rPr>
              <w:t>2011</w:t>
            </w:r>
          </w:p>
        </w:tc>
        <w:tc>
          <w:tcPr>
            <w:tcW w:w="380" w:type="dxa"/>
            <w:vAlign w:val="bottom"/>
          </w:tcPr>
          <w:p>
            <w:pPr>
              <w:spacing w:after="0"/>
              <w:rPr>
                <w:sz w:val="21"/>
                <w:szCs w:val="21"/>
                <w:color w:val="auto"/>
              </w:rPr>
            </w:pPr>
          </w:p>
        </w:tc>
        <w:tc>
          <w:tcPr>
            <w:tcW w:w="940" w:type="dxa"/>
            <w:vAlign w:val="bottom"/>
            <w:gridSpan w:val="2"/>
            <w:vMerge w:val="restart"/>
          </w:tcPr>
          <w:p>
            <w:pPr>
              <w:jc w:val="center"/>
              <w:ind w:right="360"/>
              <w:spacing w:after="0"/>
              <w:rPr>
                <w:sz w:val="20"/>
                <w:szCs w:val="20"/>
                <w:color w:val="auto"/>
              </w:rPr>
            </w:pPr>
            <w:r>
              <w:rPr>
                <w:rFonts w:ascii="Arial" w:cs="Arial" w:eastAsia="Arial" w:hAnsi="Arial"/>
                <w:sz w:val="13"/>
                <w:szCs w:val="13"/>
                <w:b w:val="1"/>
                <w:bCs w:val="1"/>
                <w:color w:val="auto"/>
                <w:w w:val="94"/>
              </w:rPr>
              <w:t>% of</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5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jc w:val="center"/>
              <w:spacing w:after="0" w:line="105" w:lineRule="exact"/>
              <w:rPr>
                <w:sz w:val="20"/>
                <w:szCs w:val="20"/>
                <w:color w:val="auto"/>
              </w:rPr>
            </w:pPr>
            <w:r>
              <w:rPr>
                <w:rFonts w:ascii="Arial" w:cs="Arial" w:eastAsia="Arial" w:hAnsi="Arial"/>
                <w:sz w:val="12"/>
                <w:szCs w:val="12"/>
                <w:b w:val="1"/>
                <w:bCs w:val="1"/>
                <w:color w:val="auto"/>
              </w:rPr>
              <w:t>% of</w:t>
            </w: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5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tcPr>
          <w:p>
            <w:pPr>
              <w:jc w:val="center"/>
              <w:ind w:right="380"/>
              <w:spacing w:after="0" w:line="145" w:lineRule="exact"/>
              <w:rPr>
                <w:sz w:val="20"/>
                <w:szCs w:val="20"/>
                <w:color w:val="auto"/>
              </w:rPr>
            </w:pPr>
            <w:r>
              <w:rPr>
                <w:rFonts w:ascii="Arial" w:cs="Arial" w:eastAsia="Arial" w:hAnsi="Arial"/>
                <w:sz w:val="13"/>
                <w:szCs w:val="13"/>
                <w:b w:val="1"/>
                <w:bCs w:val="1"/>
                <w:color w:val="auto"/>
                <w:w w:val="86"/>
              </w:rPr>
              <w:t>Revenues,</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gridSpan w:val="2"/>
          </w:tcPr>
          <w:p>
            <w:pPr>
              <w:jc w:val="center"/>
              <w:ind w:right="360"/>
              <w:spacing w:after="0" w:line="145" w:lineRule="exact"/>
              <w:rPr>
                <w:sz w:val="20"/>
                <w:szCs w:val="20"/>
                <w:color w:val="auto"/>
              </w:rPr>
            </w:pPr>
            <w:r>
              <w:rPr>
                <w:rFonts w:ascii="Arial" w:cs="Arial" w:eastAsia="Arial" w:hAnsi="Arial"/>
                <w:sz w:val="13"/>
                <w:szCs w:val="13"/>
                <w:b w:val="1"/>
                <w:bCs w:val="1"/>
                <w:color w:val="auto"/>
                <w:w w:val="89"/>
              </w:rPr>
              <w:t>Revenues,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gridSpan w:val="2"/>
          </w:tcPr>
          <w:p>
            <w:pPr>
              <w:jc w:val="right"/>
              <w:ind w:right="34"/>
              <w:spacing w:after="0" w:line="145" w:lineRule="exact"/>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5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jc w:val="right"/>
              <w:ind w:right="21"/>
              <w:spacing w:after="0"/>
              <w:rPr>
                <w:sz w:val="20"/>
                <w:szCs w:val="20"/>
                <w:color w:val="auto"/>
              </w:rPr>
            </w:pPr>
            <w:r>
              <w:rPr>
                <w:rFonts w:ascii="Arial" w:cs="Arial" w:eastAsia="Arial" w:hAnsi="Arial"/>
                <w:sz w:val="13"/>
                <w:szCs w:val="13"/>
                <w:b w:val="1"/>
                <w:bCs w:val="1"/>
                <w:color w:val="auto"/>
              </w:rPr>
              <w:t>Amount</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92"/>
              </w:rPr>
              <w:t>net</w:t>
            </w: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ind w:right="1"/>
              <w:spacing w:after="0"/>
              <w:rPr>
                <w:sz w:val="20"/>
                <w:szCs w:val="20"/>
                <w:color w:val="auto"/>
              </w:rPr>
            </w:pPr>
            <w:r>
              <w:rPr>
                <w:rFonts w:ascii="Arial" w:cs="Arial" w:eastAsia="Arial" w:hAnsi="Arial"/>
                <w:sz w:val="13"/>
                <w:szCs w:val="13"/>
                <w:b w:val="1"/>
                <w:bCs w:val="1"/>
                <w:color w:val="auto"/>
              </w:rPr>
              <w:t>Amount</w:t>
            </w:r>
          </w:p>
        </w:tc>
        <w:tc>
          <w:tcPr>
            <w:tcW w:w="380" w:type="dxa"/>
            <w:vAlign w:val="bottom"/>
          </w:tcPr>
          <w:p>
            <w:pPr>
              <w:spacing w:after="0"/>
              <w:rPr>
                <w:sz w:val="13"/>
                <w:szCs w:val="13"/>
                <w:color w:val="auto"/>
              </w:rPr>
            </w:pP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92"/>
              </w:rPr>
              <w:t>net</w:t>
            </w: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440" w:type="dxa"/>
            <w:vAlign w:val="bottom"/>
          </w:tcPr>
          <w:p>
            <w:pPr>
              <w:jc w:val="right"/>
              <w:spacing w:after="0"/>
              <w:rPr>
                <w:sz w:val="20"/>
                <w:szCs w:val="20"/>
                <w:color w:val="auto"/>
              </w:rPr>
            </w:pPr>
            <w:r>
              <w:rPr>
                <w:rFonts w:ascii="Arial" w:cs="Arial" w:eastAsia="Arial" w:hAnsi="Arial"/>
                <w:sz w:val="13"/>
                <w:szCs w:val="13"/>
                <w:b w:val="1"/>
                <w:bCs w:val="1"/>
                <w:color w:val="auto"/>
                <w:w w:val="87"/>
              </w:rPr>
              <w:t>change</w:t>
            </w:r>
          </w:p>
        </w:tc>
        <w:tc>
          <w:tcPr>
            <w:tcW w:w="220" w:type="dxa"/>
            <w:vAlign w:val="bottom"/>
          </w:tcPr>
          <w:p>
            <w:pPr>
              <w:spacing w:after="0"/>
              <w:rPr>
                <w:sz w:val="13"/>
                <w:szCs w:val="13"/>
                <w:color w:val="auto"/>
              </w:rPr>
            </w:pPr>
          </w:p>
        </w:tc>
        <w:tc>
          <w:tcPr>
            <w:tcW w:w="760" w:type="dxa"/>
            <w:vAlign w:val="bottom"/>
            <w:gridSpan w:val="3"/>
          </w:tcPr>
          <w:p>
            <w:pPr>
              <w:jc w:val="center"/>
              <w:ind w:right="20"/>
              <w:spacing w:after="0"/>
              <w:rPr>
                <w:sz w:val="20"/>
                <w:szCs w:val="20"/>
                <w:color w:val="auto"/>
              </w:rPr>
            </w:pPr>
            <w:r>
              <w:rPr>
                <w:rFonts w:ascii="Arial" w:cs="Arial" w:eastAsia="Arial" w:hAnsi="Arial"/>
                <w:sz w:val="13"/>
                <w:szCs w:val="13"/>
                <w:b w:val="1"/>
                <w:bCs w:val="1"/>
                <w:color w:val="auto"/>
                <w:w w:val="83"/>
              </w:rPr>
              <w:t>change</w:t>
            </w:r>
          </w:p>
        </w:tc>
        <w:tc>
          <w:tcPr>
            <w:tcW w:w="0" w:type="dxa"/>
            <w:vAlign w:val="bottom"/>
          </w:tcPr>
          <w:p>
            <w:pPr>
              <w:spacing w:after="0"/>
              <w:rPr>
                <w:sz w:val="1"/>
                <w:szCs w:val="1"/>
                <w:color w:val="auto"/>
              </w:rPr>
            </w:pPr>
          </w:p>
        </w:tc>
      </w:tr>
      <w:tr>
        <w:trPr>
          <w:trHeight w:val="20"/>
        </w:trPr>
        <w:tc>
          <w:tcPr>
            <w:tcW w:w="5100" w:type="dxa"/>
            <w:vAlign w:val="bottom"/>
            <w:vMerge w:val="restart"/>
            <w:shd w:val="clear" w:color="auto" w:fill="CCEEFF"/>
          </w:tcPr>
          <w:p>
            <w:pPr>
              <w:spacing w:after="0"/>
              <w:rPr>
                <w:sz w:val="20"/>
                <w:szCs w:val="20"/>
                <w:color w:val="auto"/>
              </w:rPr>
            </w:pPr>
            <w:r>
              <w:rPr>
                <w:rFonts w:ascii="Arial" w:cs="Arial" w:eastAsia="Arial" w:hAnsi="Arial"/>
                <w:sz w:val="17"/>
                <w:szCs w:val="17"/>
                <w:color w:val="auto"/>
              </w:rPr>
              <w:t>Revenues, net</w:t>
            </w:r>
          </w:p>
        </w:tc>
        <w:tc>
          <w:tcPr>
            <w:tcW w:w="600" w:type="dxa"/>
            <w:vAlign w:val="bottom"/>
            <w:gridSpan w:val="2"/>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100" w:type="dxa"/>
            <w:vAlign w:val="bottom"/>
            <w:vMerge w:val="continue"/>
            <w:shd w:val="clear" w:color="auto" w:fill="CCEEFF"/>
          </w:tcPr>
          <w:p>
            <w:pPr>
              <w:spacing w:after="0"/>
              <w:rPr>
                <w:sz w:val="17"/>
                <w:szCs w:val="17"/>
                <w:color w:val="auto"/>
              </w:rPr>
            </w:pPr>
          </w:p>
        </w:tc>
        <w:tc>
          <w:tcPr>
            <w:tcW w:w="600" w:type="dxa"/>
            <w:vAlign w:val="bottom"/>
            <w:gridSpan w:val="2"/>
            <w:vMerge w:val="continue"/>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0"/>
              </w:rPr>
              <w:t>$ 26,346</w:t>
            </w:r>
          </w:p>
        </w:tc>
        <w:tc>
          <w:tcPr>
            <w:tcW w:w="180" w:type="dxa"/>
            <w:vAlign w:val="bottom"/>
            <w:vMerge w:val="continue"/>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100%</w:t>
            </w:r>
          </w:p>
        </w:tc>
        <w:tc>
          <w:tcPr>
            <w:tcW w:w="160" w:type="dxa"/>
            <w:vAlign w:val="bottom"/>
            <w:vMerge w:val="continue"/>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0"/>
              </w:rPr>
              <w:t>$ 25,381</w:t>
            </w:r>
          </w:p>
        </w:tc>
        <w:tc>
          <w:tcPr>
            <w:tcW w:w="380" w:type="dxa"/>
            <w:vAlign w:val="bottom"/>
            <w:vMerge w:val="continue"/>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100%</w:t>
            </w:r>
          </w:p>
        </w:tc>
        <w:tc>
          <w:tcPr>
            <w:tcW w:w="1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965</w:t>
            </w:r>
          </w:p>
        </w:tc>
        <w:tc>
          <w:tcPr>
            <w:tcW w:w="220" w:type="dxa"/>
            <w:vAlign w:val="bottom"/>
            <w:vMerge w:val="continue"/>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11"/>
        </w:trPr>
        <w:tc>
          <w:tcPr>
            <w:tcW w:w="5100" w:type="dxa"/>
            <w:vAlign w:val="bottom"/>
          </w:tcPr>
          <w:p>
            <w:pPr>
              <w:spacing w:after="0"/>
              <w:rPr>
                <w:sz w:val="20"/>
                <w:szCs w:val="20"/>
                <w:color w:val="auto"/>
              </w:rPr>
            </w:pPr>
            <w:r>
              <w:rPr>
                <w:rFonts w:ascii="Arial" w:cs="Arial" w:eastAsia="Arial" w:hAnsi="Arial"/>
                <w:sz w:val="17"/>
                <w:szCs w:val="17"/>
                <w:color w:val="auto"/>
              </w:rPr>
              <w:t>Technical and operating (excluding depreciation and amortization)</w:t>
            </w:r>
          </w:p>
        </w:tc>
        <w:tc>
          <w:tcPr>
            <w:tcW w:w="1400" w:type="dxa"/>
            <w:vAlign w:val="bottom"/>
            <w:gridSpan w:val="4"/>
          </w:tcPr>
          <w:p>
            <w:pPr>
              <w:jc w:val="right"/>
              <w:ind w:right="180"/>
              <w:spacing w:after="0"/>
              <w:rPr>
                <w:sz w:val="20"/>
                <w:szCs w:val="20"/>
                <w:color w:val="auto"/>
              </w:rPr>
            </w:pPr>
            <w:r>
              <w:rPr>
                <w:rFonts w:ascii="Arial" w:cs="Arial" w:eastAsia="Arial" w:hAnsi="Arial"/>
                <w:sz w:val="17"/>
                <w:szCs w:val="17"/>
                <w:color w:val="auto"/>
              </w:rPr>
              <w:t>19,595</w:t>
            </w: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74</w:t>
            </w:r>
          </w:p>
        </w:tc>
        <w:tc>
          <w:tcPr>
            <w:tcW w:w="360" w:type="dxa"/>
            <w:vAlign w:val="bottom"/>
          </w:tcPr>
          <w:p>
            <w:pPr>
              <w:spacing w:after="0"/>
              <w:rPr>
                <w:sz w:val="18"/>
                <w:szCs w:val="18"/>
                <w:color w:val="auto"/>
              </w:rPr>
            </w:pPr>
          </w:p>
        </w:tc>
        <w:tc>
          <w:tcPr>
            <w:tcW w:w="1160" w:type="dxa"/>
            <w:vAlign w:val="bottom"/>
            <w:gridSpan w:val="3"/>
          </w:tcPr>
          <w:p>
            <w:pPr>
              <w:jc w:val="right"/>
              <w:ind w:right="380"/>
              <w:spacing w:after="0"/>
              <w:rPr>
                <w:sz w:val="20"/>
                <w:szCs w:val="20"/>
                <w:color w:val="auto"/>
              </w:rPr>
            </w:pPr>
            <w:r>
              <w:rPr>
                <w:rFonts w:ascii="Arial" w:cs="Arial" w:eastAsia="Arial" w:hAnsi="Arial"/>
                <w:sz w:val="17"/>
                <w:szCs w:val="17"/>
                <w:color w:val="auto"/>
              </w:rPr>
              <w:t>18,965</w:t>
            </w:r>
          </w:p>
        </w:tc>
        <w:tc>
          <w:tcPr>
            <w:tcW w:w="580" w:type="dxa"/>
            <w:vAlign w:val="bottom"/>
          </w:tcPr>
          <w:p>
            <w:pPr>
              <w:jc w:val="right"/>
              <w:spacing w:after="0"/>
              <w:rPr>
                <w:sz w:val="20"/>
                <w:szCs w:val="20"/>
                <w:color w:val="auto"/>
              </w:rPr>
            </w:pPr>
            <w:r>
              <w:rPr>
                <w:rFonts w:ascii="Arial" w:cs="Arial" w:eastAsia="Arial" w:hAnsi="Arial"/>
                <w:sz w:val="17"/>
                <w:szCs w:val="17"/>
                <w:color w:val="auto"/>
              </w:rPr>
              <w:t>75</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7"/>
                <w:szCs w:val="17"/>
                <w:color w:val="auto"/>
              </w:rPr>
              <w:t>630</w:t>
            </w:r>
          </w:p>
        </w:tc>
        <w:tc>
          <w:tcPr>
            <w:tcW w:w="760" w:type="dxa"/>
            <w:vAlign w:val="bottom"/>
            <w:gridSpan w:val="3"/>
          </w:tcPr>
          <w:p>
            <w:pPr>
              <w:jc w:val="right"/>
              <w:ind w:right="200"/>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11"/>
        </w:trPr>
        <w:tc>
          <w:tcPr>
            <w:tcW w:w="5100" w:type="dxa"/>
            <w:vAlign w:val="bottom"/>
            <w:shd w:val="clear" w:color="auto" w:fill="CCEEFF"/>
          </w:tcPr>
          <w:p>
            <w:pPr>
              <w:spacing w:after="0"/>
              <w:rPr>
                <w:sz w:val="20"/>
                <w:szCs w:val="20"/>
                <w:color w:val="auto"/>
              </w:rPr>
            </w:pPr>
            <w:r>
              <w:rPr>
                <w:rFonts w:ascii="Arial" w:cs="Arial" w:eastAsia="Arial" w:hAnsi="Arial"/>
                <w:sz w:val="17"/>
                <w:szCs w:val="17"/>
                <w:color w:val="auto"/>
              </w:rPr>
              <w:t>Selling, general and administrative</w:t>
            </w:r>
          </w:p>
        </w:tc>
        <w:tc>
          <w:tcPr>
            <w:tcW w:w="1400" w:type="dxa"/>
            <w:vAlign w:val="bottom"/>
            <w:gridSpan w:val="4"/>
            <w:shd w:val="clear" w:color="auto" w:fill="CCEEFF"/>
          </w:tcPr>
          <w:p>
            <w:pPr>
              <w:jc w:val="right"/>
              <w:ind w:right="180"/>
              <w:spacing w:after="0"/>
              <w:rPr>
                <w:sz w:val="20"/>
                <w:szCs w:val="20"/>
                <w:color w:val="auto"/>
              </w:rPr>
            </w:pPr>
            <w:r>
              <w:rPr>
                <w:rFonts w:ascii="Arial" w:cs="Arial" w:eastAsia="Arial" w:hAnsi="Arial"/>
                <w:sz w:val="17"/>
                <w:szCs w:val="17"/>
                <w:color w:val="auto"/>
              </w:rPr>
              <w:t>15,692</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36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80"/>
              <w:spacing w:after="0"/>
              <w:rPr>
                <w:sz w:val="20"/>
                <w:szCs w:val="20"/>
                <w:color w:val="auto"/>
              </w:rPr>
            </w:pPr>
            <w:r>
              <w:rPr>
                <w:rFonts w:ascii="Arial" w:cs="Arial" w:eastAsia="Arial" w:hAnsi="Arial"/>
                <w:sz w:val="17"/>
                <w:szCs w:val="17"/>
                <w:color w:val="auto"/>
              </w:rPr>
              <w:t>14,347</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98"/>
              </w:rPr>
              <w:t>1,345</w:t>
            </w:r>
          </w:p>
        </w:tc>
        <w:tc>
          <w:tcPr>
            <w:tcW w:w="76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11"/>
        </w:trPr>
        <w:tc>
          <w:tcPr>
            <w:tcW w:w="5100" w:type="dxa"/>
            <w:vAlign w:val="bottom"/>
          </w:tcPr>
          <w:p>
            <w:pPr>
              <w:spacing w:after="0"/>
              <w:rPr>
                <w:sz w:val="20"/>
                <w:szCs w:val="20"/>
                <w:color w:val="auto"/>
              </w:rPr>
            </w:pPr>
            <w:r>
              <w:rPr>
                <w:rFonts w:ascii="Arial" w:cs="Arial" w:eastAsia="Arial" w:hAnsi="Arial"/>
                <w:sz w:val="17"/>
                <w:szCs w:val="17"/>
                <w:color w:val="auto"/>
              </w:rPr>
              <w:t>Restructuring credit</w:t>
            </w:r>
          </w:p>
        </w:tc>
        <w:tc>
          <w:tcPr>
            <w:tcW w:w="1400" w:type="dxa"/>
            <w:vAlign w:val="bottom"/>
            <w:gridSpan w:val="4"/>
          </w:tcPr>
          <w:p>
            <w:pPr>
              <w:jc w:val="right"/>
              <w:ind w:right="120"/>
              <w:spacing w:after="0"/>
              <w:rPr>
                <w:sz w:val="20"/>
                <w:szCs w:val="20"/>
                <w:color w:val="auto"/>
              </w:rPr>
            </w:pPr>
            <w:r>
              <w:rPr>
                <w:rFonts w:ascii="Arial" w:cs="Arial" w:eastAsia="Arial" w:hAnsi="Arial"/>
                <w:sz w:val="17"/>
                <w:szCs w:val="17"/>
                <w:color w:val="auto"/>
              </w:rPr>
              <w:t>(3)</w:t>
            </w:r>
          </w:p>
        </w:tc>
        <w:tc>
          <w:tcPr>
            <w:tcW w:w="20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7"/>
                <w:szCs w:val="17"/>
                <w:color w:val="auto"/>
              </w:rPr>
              <w:t>—</w:t>
            </w:r>
          </w:p>
        </w:tc>
        <w:tc>
          <w:tcPr>
            <w:tcW w:w="1160" w:type="dxa"/>
            <w:vAlign w:val="bottom"/>
            <w:gridSpan w:val="3"/>
          </w:tcPr>
          <w:p>
            <w:pPr>
              <w:jc w:val="right"/>
              <w:ind w:right="320"/>
              <w:spacing w:after="0"/>
              <w:rPr>
                <w:sz w:val="20"/>
                <w:szCs w:val="20"/>
                <w:color w:val="auto"/>
              </w:rPr>
            </w:pPr>
            <w:r>
              <w:rPr>
                <w:rFonts w:ascii="Arial" w:cs="Arial" w:eastAsia="Arial" w:hAnsi="Arial"/>
                <w:sz w:val="17"/>
                <w:szCs w:val="17"/>
                <w:color w:val="auto"/>
              </w:rPr>
              <w:t>(34)</w:t>
            </w:r>
          </w:p>
        </w:tc>
        <w:tc>
          <w:tcPr>
            <w:tcW w:w="940" w:type="dxa"/>
            <w:vAlign w:val="bottom"/>
            <w:gridSpan w:val="2"/>
          </w:tcPr>
          <w:p>
            <w:pPr>
              <w:jc w:val="right"/>
              <w:ind w:right="4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7"/>
                <w:szCs w:val="17"/>
                <w:color w:val="auto"/>
              </w:rPr>
              <w:t>31</w:t>
            </w:r>
          </w:p>
        </w:tc>
        <w:tc>
          <w:tcPr>
            <w:tcW w:w="760" w:type="dxa"/>
            <w:vAlign w:val="bottom"/>
            <w:gridSpan w:val="3"/>
          </w:tcPr>
          <w:p>
            <w:pPr>
              <w:jc w:val="right"/>
              <w:ind w:right="140"/>
              <w:spacing w:after="0"/>
              <w:rPr>
                <w:sz w:val="20"/>
                <w:szCs w:val="20"/>
                <w:color w:val="auto"/>
              </w:rPr>
            </w:pPr>
            <w:r>
              <w:rPr>
                <w:rFonts w:ascii="Arial" w:cs="Arial" w:eastAsia="Arial" w:hAnsi="Arial"/>
                <w:sz w:val="17"/>
                <w:szCs w:val="17"/>
                <w:color w:val="auto"/>
              </w:rPr>
              <w:t>(91)</w:t>
            </w:r>
          </w:p>
        </w:tc>
        <w:tc>
          <w:tcPr>
            <w:tcW w:w="0" w:type="dxa"/>
            <w:vAlign w:val="bottom"/>
          </w:tcPr>
          <w:p>
            <w:pPr>
              <w:spacing w:after="0"/>
              <w:rPr>
                <w:sz w:val="1"/>
                <w:szCs w:val="1"/>
                <w:color w:val="auto"/>
              </w:rPr>
            </w:pPr>
          </w:p>
        </w:tc>
      </w:tr>
      <w:tr>
        <w:trPr>
          <w:trHeight w:val="211"/>
        </w:trPr>
        <w:tc>
          <w:tcPr>
            <w:tcW w:w="5100" w:type="dxa"/>
            <w:vAlign w:val="bottom"/>
            <w:shd w:val="clear" w:color="auto" w:fill="CCEEFF"/>
          </w:tcPr>
          <w:p>
            <w:pPr>
              <w:spacing w:after="0"/>
              <w:rPr>
                <w:sz w:val="20"/>
                <w:szCs w:val="20"/>
                <w:color w:val="auto"/>
              </w:rPr>
            </w:pPr>
            <w:r>
              <w:rPr>
                <w:rFonts w:ascii="Arial" w:cs="Arial" w:eastAsia="Arial" w:hAnsi="Arial"/>
                <w:sz w:val="17"/>
                <w:szCs w:val="17"/>
                <w:color w:val="auto"/>
              </w:rPr>
              <w:t>Depreciation and amortization</w:t>
            </w:r>
          </w:p>
        </w:tc>
        <w:tc>
          <w:tcPr>
            <w:tcW w:w="600" w:type="dxa"/>
            <w:vAlign w:val="bottom"/>
            <w:gridSpan w:val="2"/>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3,746</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3,615</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131</w:t>
            </w:r>
          </w:p>
        </w:tc>
        <w:tc>
          <w:tcPr>
            <w:tcW w:w="76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0"/>
        </w:trPr>
        <w:tc>
          <w:tcPr>
            <w:tcW w:w="5100" w:type="dxa"/>
            <w:vAlign w:val="bottom"/>
            <w:vMerge w:val="restart"/>
          </w:tcPr>
          <w:p>
            <w:pPr>
              <w:spacing w:after="0"/>
              <w:rPr>
                <w:sz w:val="20"/>
                <w:szCs w:val="20"/>
                <w:color w:val="auto"/>
              </w:rPr>
            </w:pPr>
            <w:r>
              <w:rPr>
                <w:rFonts w:ascii="Arial" w:cs="Arial" w:eastAsia="Arial" w:hAnsi="Arial"/>
                <w:sz w:val="17"/>
                <w:szCs w:val="17"/>
                <w:color w:val="auto"/>
              </w:rPr>
              <w:t>Operating loss</w:t>
            </w: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gridSpan w:val="3"/>
            <w:vMerge w:val="restart"/>
          </w:tcPr>
          <w:p>
            <w:pPr>
              <w:jc w:val="right"/>
              <w:ind w:right="160"/>
              <w:spacing w:after="0"/>
              <w:rPr>
                <w:sz w:val="20"/>
                <w:szCs w:val="20"/>
                <w:color w:val="auto"/>
              </w:rPr>
            </w:pPr>
            <w:r>
              <w:rPr>
                <w:rFonts w:ascii="Arial" w:cs="Arial" w:eastAsia="Arial" w:hAnsi="Arial"/>
                <w:sz w:val="17"/>
                <w:szCs w:val="17"/>
                <w:color w:val="auto"/>
              </w:rPr>
              <w:t>(48)%</w:t>
            </w: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(45)%</w:t>
            </w: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gridSpan w:val="3"/>
            <w:vMerge w:val="restart"/>
          </w:tcPr>
          <w:p>
            <w:pPr>
              <w:jc w:val="right"/>
              <w:ind w:right="60"/>
              <w:spacing w:after="0"/>
              <w:rPr>
                <w:sz w:val="20"/>
                <w:szCs w:val="20"/>
                <w:color w:val="auto"/>
              </w:rPr>
            </w:pPr>
            <w:r>
              <w:rPr>
                <w:rFonts w:ascii="Arial" w:cs="Arial" w:eastAsia="Arial" w:hAnsi="Arial"/>
                <w:sz w:val="17"/>
                <w:szCs w:val="17"/>
                <w:color w:val="auto"/>
              </w:rPr>
              <w:t>10%</w:t>
            </w:r>
          </w:p>
        </w:tc>
        <w:tc>
          <w:tcPr>
            <w:tcW w:w="0" w:type="dxa"/>
            <w:vAlign w:val="bottom"/>
          </w:tcPr>
          <w:p>
            <w:pPr>
              <w:spacing w:after="0" w:line="20" w:lineRule="exact"/>
              <w:rPr>
                <w:sz w:val="1"/>
                <w:szCs w:val="1"/>
                <w:color w:val="auto"/>
              </w:rPr>
            </w:pPr>
          </w:p>
        </w:tc>
      </w:tr>
      <w:tr>
        <w:trPr>
          <w:trHeight w:val="216"/>
        </w:trPr>
        <w:tc>
          <w:tcPr>
            <w:tcW w:w="5100" w:type="dxa"/>
            <w:vAlign w:val="bottom"/>
            <w:vMerge w:val="continue"/>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gridSpan w:val="3"/>
          </w:tcPr>
          <w:p>
            <w:pPr>
              <w:jc w:val="right"/>
              <w:ind w:right="120"/>
              <w:spacing w:after="0"/>
              <w:rPr>
                <w:sz w:val="20"/>
                <w:szCs w:val="20"/>
                <w:color w:val="auto"/>
              </w:rPr>
            </w:pPr>
            <w:r>
              <w:rPr>
                <w:rFonts w:ascii="Arial" w:cs="Arial" w:eastAsia="Arial" w:hAnsi="Arial"/>
                <w:sz w:val="17"/>
                <w:szCs w:val="17"/>
                <w:u w:val="single" w:color="auto"/>
                <w:color w:val="auto"/>
                <w:w w:val="87"/>
              </w:rPr>
              <w:t>$</w:t>
            </w:r>
            <w:r>
              <w:rPr>
                <w:rFonts w:ascii="Arial" w:cs="Arial" w:eastAsia="Arial" w:hAnsi="Arial"/>
                <w:sz w:val="17"/>
                <w:szCs w:val="17"/>
                <w:color w:val="auto"/>
                <w:w w:val="87"/>
              </w:rPr>
              <w:t xml:space="preserve"> (12,684)</w:t>
            </w:r>
          </w:p>
        </w:tc>
        <w:tc>
          <w:tcPr>
            <w:tcW w:w="1140" w:type="dxa"/>
            <w:vAlign w:val="bottom"/>
            <w:gridSpan w:val="3"/>
            <w:vMerge w:val="continue"/>
          </w:tcPr>
          <w:p>
            <w:pPr>
              <w:spacing w:after="0"/>
              <w:rPr>
                <w:sz w:val="18"/>
                <w:szCs w:val="18"/>
                <w:color w:val="auto"/>
              </w:rPr>
            </w:pPr>
          </w:p>
        </w:tc>
        <w:tc>
          <w:tcPr>
            <w:tcW w:w="1160" w:type="dxa"/>
            <w:vAlign w:val="bottom"/>
            <w:gridSpan w:val="3"/>
          </w:tcPr>
          <w:p>
            <w:pPr>
              <w:jc w:val="right"/>
              <w:ind w:right="32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(11,512)</w:t>
            </w:r>
          </w:p>
        </w:tc>
        <w:tc>
          <w:tcPr>
            <w:tcW w:w="940" w:type="dxa"/>
            <w:vAlign w:val="bottom"/>
            <w:gridSpan w:val="2"/>
            <w:vMerge w:val="continue"/>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w w:val="89"/>
              </w:rPr>
              <w:t>(1,172)</w:t>
            </w:r>
          </w:p>
        </w:tc>
        <w:tc>
          <w:tcPr>
            <w:tcW w:w="76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5100" w:type="dxa"/>
            <w:vAlign w:val="bottom"/>
          </w:tcPr>
          <w:p>
            <w:pPr>
              <w:spacing w:after="0"/>
              <w:rPr>
                <w:sz w:val="24"/>
                <w:szCs w:val="24"/>
                <w:color w:val="auto"/>
              </w:rPr>
            </w:pPr>
          </w:p>
        </w:tc>
        <w:tc>
          <w:tcPr>
            <w:tcW w:w="1220" w:type="dxa"/>
            <w:vAlign w:val="bottom"/>
            <w:gridSpan w:val="3"/>
          </w:tcPr>
          <w:p>
            <w:pPr>
              <w:jc w:val="right"/>
              <w:ind w:right="441"/>
              <w:spacing w:after="0"/>
              <w:rPr>
                <w:sz w:val="20"/>
                <w:szCs w:val="20"/>
                <w:color w:val="auto"/>
              </w:rPr>
            </w:pPr>
            <w:r>
              <w:rPr>
                <w:rFonts w:ascii="Arial" w:cs="Arial" w:eastAsia="Arial" w:hAnsi="Arial"/>
                <w:sz w:val="17"/>
                <w:szCs w:val="17"/>
                <w:color w:val="auto"/>
              </w:rPr>
              <w:t>29</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1" w:right="239" w:bottom="1440" w:gutter="0" w:footer="0" w:header="0"/>
        </w:sectPr>
      </w:pPr>
    </w:p>
    <w:bookmarkStart w:id="29" w:name="page30"/>
    <w:bookmarkEnd w:id="2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is a reconciliation of our International and Other segment operating loss to AOCF deficit:</w:t>
      </w:r>
    </w:p>
    <w:p>
      <w:pPr>
        <w:spacing w:after="0" w:line="204"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60" w:type="dxa"/>
            <w:vAlign w:val="bottom"/>
            <w:gridSpan w:val="6"/>
          </w:tcPr>
          <w:p>
            <w:pPr>
              <w:jc w:val="right"/>
              <w:ind w:right="520"/>
              <w:spacing w:after="0"/>
              <w:rPr>
                <w:sz w:val="20"/>
                <w:szCs w:val="20"/>
                <w:color w:val="auto"/>
              </w:rPr>
            </w:pPr>
            <w:r>
              <w:rPr>
                <w:rFonts w:ascii="Arial" w:cs="Arial" w:eastAsia="Arial" w:hAnsi="Arial"/>
                <w:sz w:val="13"/>
                <w:szCs w:val="13"/>
                <w:b w:val="1"/>
                <w:bCs w:val="1"/>
                <w:color w:val="auto"/>
              </w:rPr>
              <w:t>Three Months Ended</w:t>
            </w: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March 31,</w:t>
            </w:r>
          </w:p>
        </w:tc>
        <w:tc>
          <w:tcPr>
            <w:tcW w:w="52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gridSpan w:val="2"/>
            <w:vMerge w:val="restart"/>
          </w:tcPr>
          <w:p>
            <w:pPr>
              <w:jc w:val="right"/>
              <w:ind w:right="54"/>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12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122"/>
              <w:spacing w:after="0"/>
              <w:rPr>
                <w:sz w:val="20"/>
                <w:szCs w:val="20"/>
                <w:color w:val="auto"/>
              </w:rPr>
            </w:pPr>
            <w:r>
              <w:rPr>
                <w:rFonts w:ascii="Arial" w:cs="Arial" w:eastAsia="Arial" w:hAnsi="Arial"/>
                <w:sz w:val="13"/>
                <w:szCs w:val="13"/>
                <w:b w:val="1"/>
                <w:bCs w:val="1"/>
                <w:color w:val="auto"/>
              </w:rPr>
              <w:t>2012</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ind w:right="98"/>
              <w:spacing w:after="0"/>
              <w:rPr>
                <w:sz w:val="20"/>
                <w:szCs w:val="20"/>
                <w:color w:val="auto"/>
              </w:rPr>
            </w:pPr>
            <w:r>
              <w:rPr>
                <w:rFonts w:ascii="Arial" w:cs="Arial" w:eastAsia="Arial" w:hAnsi="Arial"/>
                <w:sz w:val="13"/>
                <w:szCs w:val="13"/>
                <w:b w:val="1"/>
                <w:bCs w:val="1"/>
                <w:color w:val="auto"/>
              </w:rPr>
              <w:t>2011</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b w:val="1"/>
                <w:bCs w:val="1"/>
                <w:color w:val="auto"/>
                <w:w w:val="85"/>
              </w:rPr>
              <w:t>$ change</w:t>
            </w:r>
          </w:p>
        </w:tc>
        <w:tc>
          <w:tcPr>
            <w:tcW w:w="240" w:type="dxa"/>
            <w:vAlign w:val="bottom"/>
          </w:tcPr>
          <w:p>
            <w:pPr>
              <w:spacing w:after="0"/>
              <w:rPr>
                <w:sz w:val="13"/>
                <w:szCs w:val="13"/>
                <w:color w:val="auto"/>
              </w:rPr>
            </w:pPr>
          </w:p>
        </w:tc>
        <w:tc>
          <w:tcPr>
            <w:tcW w:w="800" w:type="dxa"/>
            <w:vAlign w:val="bottom"/>
            <w:gridSpan w:val="3"/>
          </w:tcPr>
          <w:p>
            <w:pPr>
              <w:jc w:val="right"/>
              <w:ind w:right="220"/>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vMerge w:val="restart"/>
            <w:shd w:val="clear" w:color="auto" w:fill="CCEEFF"/>
          </w:tcPr>
          <w:p>
            <w:pPr>
              <w:spacing w:after="0"/>
              <w:rPr>
                <w:sz w:val="20"/>
                <w:szCs w:val="20"/>
                <w:color w:val="auto"/>
              </w:rPr>
            </w:pPr>
            <w:r>
              <w:rPr>
                <w:rFonts w:ascii="Arial" w:cs="Arial" w:eastAsia="Arial" w:hAnsi="Arial"/>
                <w:sz w:val="17"/>
                <w:szCs w:val="17"/>
                <w:color w:val="auto"/>
              </w:rPr>
              <w:t>Operating loss</w:t>
            </w:r>
          </w:p>
        </w:tc>
        <w:tc>
          <w:tcPr>
            <w:tcW w:w="17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4120" w:type="dxa"/>
            <w:vAlign w:val="bottom"/>
            <w:vMerge w:val="continue"/>
            <w:shd w:val="clear" w:color="auto" w:fill="CCEEFF"/>
          </w:tcPr>
          <w:p>
            <w:pPr>
              <w:spacing w:after="0"/>
              <w:rPr>
                <w:sz w:val="17"/>
                <w:szCs w:val="17"/>
                <w:color w:val="auto"/>
              </w:rPr>
            </w:pPr>
          </w:p>
        </w:tc>
        <w:tc>
          <w:tcPr>
            <w:tcW w:w="17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2"/>
              </w:rPr>
              <w:t>(12,684)</w:t>
            </w:r>
          </w:p>
        </w:tc>
        <w:tc>
          <w:tcPr>
            <w:tcW w:w="240" w:type="dxa"/>
            <w:vAlign w:val="bottom"/>
            <w:vMerge w:val="continue"/>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78"/>
              </w:rPr>
              <w:t>(11,512)</w:t>
            </w:r>
          </w:p>
        </w:tc>
        <w:tc>
          <w:tcPr>
            <w:tcW w:w="260" w:type="dxa"/>
            <w:vAlign w:val="bottom"/>
            <w:vMerge w:val="continue"/>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2"/>
              </w:rPr>
              <w:t>$(1,172)</w:t>
            </w:r>
          </w:p>
        </w:tc>
        <w:tc>
          <w:tcPr>
            <w:tcW w:w="240" w:type="dxa"/>
            <w:vAlign w:val="bottom"/>
            <w:vMerge w:val="continue"/>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7"/>
                <w:szCs w:val="17"/>
                <w:color w:val="auto"/>
              </w:rPr>
              <w:t>Share-based compensation expense</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734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827</w:t>
            </w:r>
          </w:p>
        </w:tc>
        <w:tc>
          <w:tcPr>
            <w:tcW w:w="260" w:type="dxa"/>
            <w:vAlign w:val="bottom"/>
          </w:tcPr>
          <w:p>
            <w:pPr>
              <w:spacing w:after="0"/>
              <w:rPr>
                <w:sz w:val="18"/>
                <w:szCs w:val="18"/>
                <w:color w:val="auto"/>
              </w:rPr>
            </w:pPr>
          </w:p>
        </w:tc>
        <w:tc>
          <w:tcPr>
            <w:tcW w:w="980" w:type="dxa"/>
            <w:vAlign w:val="bottom"/>
            <w:gridSpan w:val="3"/>
          </w:tcPr>
          <w:p>
            <w:pPr>
              <w:jc w:val="right"/>
              <w:ind w:right="200"/>
              <w:spacing w:after="0"/>
              <w:rPr>
                <w:sz w:val="20"/>
                <w:szCs w:val="20"/>
                <w:color w:val="auto"/>
              </w:rPr>
            </w:pPr>
            <w:r>
              <w:rPr>
                <w:rFonts w:ascii="Arial" w:cs="Arial" w:eastAsia="Arial" w:hAnsi="Arial"/>
                <w:sz w:val="17"/>
                <w:szCs w:val="17"/>
                <w:color w:val="auto"/>
              </w:rPr>
              <w:t>(93)</w:t>
            </w:r>
          </w:p>
        </w:tc>
        <w:tc>
          <w:tcPr>
            <w:tcW w:w="800" w:type="dxa"/>
            <w:vAlign w:val="bottom"/>
            <w:gridSpan w:val="3"/>
          </w:tcPr>
          <w:p>
            <w:pPr>
              <w:jc w:val="right"/>
              <w:ind w:right="160"/>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7"/>
                <w:szCs w:val="17"/>
                <w:color w:val="auto"/>
              </w:rPr>
              <w:t>Restructuring credit</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(34)</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2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(91)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7"/>
                <w:szCs w:val="17"/>
                <w:color w:val="auto"/>
              </w:rPr>
              <w:t>Depreciation and amortization</w:t>
            </w:r>
          </w:p>
        </w:tc>
        <w:tc>
          <w:tcPr>
            <w:tcW w:w="17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3,746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3,615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131</w:t>
            </w:r>
          </w:p>
        </w:tc>
        <w:tc>
          <w:tcPr>
            <w:tcW w:w="2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7"/>
                <w:szCs w:val="17"/>
                <w:color w:val="auto"/>
              </w:rPr>
              <w:t>AOCF deficit</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(8,207)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(7,104)</w:t>
            </w: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(1,103)</w:t>
            </w: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Revenues, net</w:t>
      </w:r>
    </w:p>
    <w:p>
      <w:pPr>
        <w:spacing w:after="0" w:line="100" w:lineRule="exact"/>
        <w:rPr>
          <w:sz w:val="20"/>
          <w:szCs w:val="20"/>
          <w:color w:val="auto"/>
        </w:rPr>
      </w:pPr>
    </w:p>
    <w:p>
      <w:pPr>
        <w:ind w:right="400" w:firstLine="457"/>
        <w:spacing w:after="0" w:line="284" w:lineRule="auto"/>
        <w:rPr>
          <w:sz w:val="20"/>
          <w:szCs w:val="20"/>
          <w:color w:val="auto"/>
        </w:rPr>
      </w:pPr>
      <w:r>
        <w:rPr>
          <w:rFonts w:ascii="Arial" w:cs="Arial" w:eastAsia="Arial" w:hAnsi="Arial"/>
          <w:sz w:val="17"/>
          <w:szCs w:val="17"/>
          <w:color w:val="auto"/>
        </w:rPr>
        <w:t>Revenues, net increased $53,336 to $326,239 for the three months ended March 31, 2012 as compared to the three months ended March 31, 2011. The net increase by segment was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640" w:type="dxa"/>
            <w:vAlign w:val="bottom"/>
          </w:tcPr>
          <w:p>
            <w:pPr>
              <w:spacing w:after="0"/>
              <w:rPr>
                <w:sz w:val="13"/>
                <w:szCs w:val="13"/>
                <w:color w:val="auto"/>
              </w:rPr>
            </w:pPr>
          </w:p>
        </w:tc>
        <w:tc>
          <w:tcPr>
            <w:tcW w:w="2600" w:type="dxa"/>
            <w:vAlign w:val="bottom"/>
            <w:gridSpan w:val="7"/>
          </w:tcPr>
          <w:p>
            <w:pPr>
              <w:jc w:val="right"/>
              <w:ind w:right="560"/>
              <w:spacing w:after="0"/>
              <w:rPr>
                <w:sz w:val="20"/>
                <w:szCs w:val="20"/>
                <w:color w:val="auto"/>
              </w:rPr>
            </w:pPr>
            <w:r>
              <w:rPr>
                <w:rFonts w:ascii="Arial" w:cs="Arial" w:eastAsia="Arial" w:hAnsi="Arial"/>
                <w:sz w:val="13"/>
                <w:szCs w:val="13"/>
                <w:b w:val="1"/>
                <w:bCs w:val="1"/>
                <w:color w:val="auto"/>
              </w:rPr>
              <w:t>Three Months Ended March 31,</w:t>
            </w:r>
          </w:p>
        </w:tc>
        <w:tc>
          <w:tcPr>
            <w:tcW w:w="720" w:type="dxa"/>
            <w:vAlign w:val="bottom"/>
            <w:gridSpan w:val="2"/>
            <w:vMerge w:val="restart"/>
          </w:tcPr>
          <w:p>
            <w:pPr>
              <w:jc w:val="right"/>
              <w:ind w:right="420"/>
              <w:spacing w:after="0"/>
              <w:rPr>
                <w:sz w:val="20"/>
                <w:szCs w:val="20"/>
                <w:color w:val="auto"/>
              </w:rPr>
            </w:pPr>
            <w:r>
              <w:rPr>
                <w:rFonts w:ascii="Arial" w:cs="Arial" w:eastAsia="Arial" w:hAnsi="Arial"/>
                <w:sz w:val="13"/>
                <w:szCs w:val="13"/>
                <w:b w:val="1"/>
                <w:bCs w:val="1"/>
                <w:color w:val="auto"/>
              </w:rPr>
              <w:t>% of</w:t>
            </w: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gridSpan w:val="2"/>
            <w:vMerge w:val="restart"/>
          </w:tcPr>
          <w:p>
            <w:pPr>
              <w:ind w:left="260"/>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664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gridSpan w:val="2"/>
          </w:tcPr>
          <w:p>
            <w:pPr>
              <w:jc w:val="right"/>
              <w:ind w:right="280"/>
              <w:spacing w:after="0" w:line="126" w:lineRule="exact"/>
              <w:rPr>
                <w:sz w:val="20"/>
                <w:szCs w:val="20"/>
                <w:color w:val="auto"/>
              </w:rPr>
            </w:pPr>
            <w:r>
              <w:rPr>
                <w:rFonts w:ascii="Arial" w:cs="Arial" w:eastAsia="Arial" w:hAnsi="Arial"/>
                <w:sz w:val="13"/>
                <w:szCs w:val="13"/>
                <w:b w:val="1"/>
                <w:bCs w:val="1"/>
                <w:color w:val="auto"/>
              </w:rPr>
              <w:t>% of</w:t>
            </w: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6640" w:type="dxa"/>
            <w:vAlign w:val="bottom"/>
          </w:tcPr>
          <w:p>
            <w:pPr>
              <w:spacing w:after="0"/>
              <w:rPr>
                <w:sz w:val="13"/>
                <w:szCs w:val="13"/>
                <w:color w:val="auto"/>
              </w:rPr>
            </w:pPr>
          </w:p>
        </w:tc>
        <w:tc>
          <w:tcPr>
            <w:tcW w:w="640" w:type="dxa"/>
            <w:vAlign w:val="bottom"/>
          </w:tcPr>
          <w:p>
            <w:pPr>
              <w:jc w:val="right"/>
              <w:ind w:right="121"/>
              <w:spacing w:after="0"/>
              <w:rPr>
                <w:sz w:val="20"/>
                <w:szCs w:val="20"/>
                <w:color w:val="auto"/>
              </w:rPr>
            </w:pPr>
            <w:r>
              <w:rPr>
                <w:rFonts w:ascii="Arial" w:cs="Arial" w:eastAsia="Arial" w:hAnsi="Arial"/>
                <w:sz w:val="13"/>
                <w:szCs w:val="13"/>
                <w:b w:val="1"/>
                <w:bCs w:val="1"/>
                <w:color w:val="auto"/>
              </w:rPr>
              <w:t>2012</w:t>
            </w:r>
          </w:p>
        </w:tc>
        <w:tc>
          <w:tcPr>
            <w:tcW w:w="30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b w:val="1"/>
                <w:bCs w:val="1"/>
                <w:color w:val="auto"/>
                <w:w w:val="94"/>
              </w:rPr>
              <w:t>total</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ind w:right="124"/>
              <w:spacing w:after="0"/>
              <w:rPr>
                <w:sz w:val="20"/>
                <w:szCs w:val="20"/>
                <w:color w:val="auto"/>
              </w:rPr>
            </w:pPr>
            <w:r>
              <w:rPr>
                <w:rFonts w:ascii="Arial" w:cs="Arial" w:eastAsia="Arial" w:hAnsi="Arial"/>
                <w:sz w:val="13"/>
                <w:szCs w:val="13"/>
                <w:b w:val="1"/>
                <w:bCs w:val="1"/>
                <w:color w:val="auto"/>
              </w:rPr>
              <w:t>2011</w:t>
            </w:r>
          </w:p>
        </w:tc>
        <w:tc>
          <w:tcPr>
            <w:tcW w:w="30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b w:val="1"/>
                <w:bCs w:val="1"/>
                <w:color w:val="auto"/>
              </w:rPr>
              <w:t>total</w:t>
            </w:r>
          </w:p>
        </w:tc>
        <w:tc>
          <w:tcPr>
            <w:tcW w:w="400" w:type="dxa"/>
            <w:vAlign w:val="bottom"/>
          </w:tcPr>
          <w:p>
            <w:pPr>
              <w:spacing w:after="0"/>
              <w:rPr>
                <w:sz w:val="13"/>
                <w:szCs w:val="13"/>
                <w:color w:val="auto"/>
              </w:rPr>
            </w:pP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w w:val="88"/>
              </w:rPr>
              <w:t>$ change</w:t>
            </w:r>
          </w:p>
        </w:tc>
        <w:tc>
          <w:tcPr>
            <w:tcW w:w="180" w:type="dxa"/>
            <w:vAlign w:val="bottom"/>
          </w:tcPr>
          <w:p>
            <w:pPr>
              <w:spacing w:after="0"/>
              <w:rPr>
                <w:sz w:val="13"/>
                <w:szCs w:val="13"/>
                <w:color w:val="auto"/>
              </w:rPr>
            </w:pPr>
          </w:p>
        </w:tc>
        <w:tc>
          <w:tcPr>
            <w:tcW w:w="720" w:type="dxa"/>
            <w:vAlign w:val="bottom"/>
            <w:gridSpan w:val="3"/>
          </w:tcPr>
          <w:p>
            <w:pPr>
              <w:jc w:val="right"/>
              <w:ind w:right="200"/>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20"/>
        </w:trPr>
        <w:tc>
          <w:tcPr>
            <w:tcW w:w="6640" w:type="dxa"/>
            <w:vAlign w:val="bottom"/>
            <w:tcBorders>
              <w:right w:val="single" w:sz="8" w:color="CCEEFF"/>
            </w:tcBorders>
            <w:vMerge w:val="restart"/>
            <w:shd w:val="clear" w:color="auto" w:fill="CCEEFF"/>
          </w:tcPr>
          <w:p>
            <w:pPr>
              <w:spacing w:after="0"/>
              <w:rPr>
                <w:sz w:val="20"/>
                <w:szCs w:val="20"/>
                <w:color w:val="auto"/>
              </w:rPr>
            </w:pPr>
            <w:r>
              <w:rPr>
                <w:rFonts w:ascii="Arial" w:cs="Arial" w:eastAsia="Arial" w:hAnsi="Arial"/>
                <w:sz w:val="17"/>
                <w:szCs w:val="17"/>
                <w:color w:val="auto"/>
              </w:rPr>
              <w:t>National Networks</w:t>
            </w:r>
          </w:p>
        </w:tc>
        <w:tc>
          <w:tcPr>
            <w:tcW w:w="64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640" w:type="dxa"/>
            <w:vAlign w:val="bottom"/>
            <w:tcBorders>
              <w:right w:val="single" w:sz="8" w:color="CCEEFF"/>
            </w:tcBorders>
            <w:vMerge w:val="continue"/>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$304,223</w:t>
            </w:r>
          </w:p>
        </w:tc>
        <w:tc>
          <w:tcPr>
            <w:tcW w:w="3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93%</w:t>
            </w:r>
          </w:p>
        </w:tc>
        <w:tc>
          <w:tcPr>
            <w:tcW w:w="120" w:type="dxa"/>
            <w:vAlign w:val="bottom"/>
            <w:vMerge w:val="continue"/>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0"/>
              </w:rPr>
              <w:t>$251,845</w:t>
            </w:r>
          </w:p>
        </w:tc>
        <w:tc>
          <w:tcPr>
            <w:tcW w:w="300" w:type="dxa"/>
            <w:vAlign w:val="bottom"/>
            <w:vMerge w:val="continue"/>
            <w:shd w:val="clear" w:color="auto" w:fill="CCEEFF"/>
          </w:tcPr>
          <w:p>
            <w:pPr>
              <w:spacing w:after="0"/>
              <w:rPr>
                <w:sz w:val="17"/>
                <w:szCs w:val="17"/>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92%</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$52,378</w:t>
            </w:r>
          </w:p>
        </w:tc>
        <w:tc>
          <w:tcPr>
            <w:tcW w:w="180" w:type="dxa"/>
            <w:vAlign w:val="bottom"/>
            <w:vMerge w:val="continue"/>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21%</w:t>
            </w:r>
          </w:p>
        </w:tc>
        <w:tc>
          <w:tcPr>
            <w:tcW w:w="0" w:type="dxa"/>
            <w:vAlign w:val="bottom"/>
          </w:tcPr>
          <w:p>
            <w:pPr>
              <w:spacing w:after="0"/>
              <w:rPr>
                <w:sz w:val="1"/>
                <w:szCs w:val="1"/>
                <w:color w:val="auto"/>
              </w:rPr>
            </w:pPr>
          </w:p>
        </w:tc>
      </w:tr>
      <w:tr>
        <w:trPr>
          <w:trHeight w:val="211"/>
        </w:trPr>
        <w:tc>
          <w:tcPr>
            <w:tcW w:w="6640" w:type="dxa"/>
            <w:vAlign w:val="bottom"/>
          </w:tcPr>
          <w:p>
            <w:pPr>
              <w:spacing w:after="0"/>
              <w:rPr>
                <w:sz w:val="20"/>
                <w:szCs w:val="20"/>
                <w:color w:val="auto"/>
              </w:rPr>
            </w:pPr>
            <w:r>
              <w:rPr>
                <w:rFonts w:ascii="Arial" w:cs="Arial" w:eastAsia="Arial" w:hAnsi="Arial"/>
                <w:sz w:val="17"/>
                <w:szCs w:val="17"/>
                <w:color w:val="auto"/>
              </w:rPr>
              <w:t>International and other</w:t>
            </w:r>
          </w:p>
        </w:tc>
        <w:tc>
          <w:tcPr>
            <w:tcW w:w="640" w:type="dxa"/>
            <w:vAlign w:val="bottom"/>
          </w:tcPr>
          <w:p>
            <w:pPr>
              <w:jc w:val="right"/>
              <w:spacing w:after="0"/>
              <w:rPr>
                <w:sz w:val="20"/>
                <w:szCs w:val="20"/>
                <w:color w:val="auto"/>
              </w:rPr>
            </w:pPr>
            <w:r>
              <w:rPr>
                <w:rFonts w:ascii="Arial" w:cs="Arial" w:eastAsia="Arial" w:hAnsi="Arial"/>
                <w:sz w:val="17"/>
                <w:szCs w:val="17"/>
                <w:color w:val="auto"/>
              </w:rPr>
              <w:t>26,346</w:t>
            </w:r>
          </w:p>
        </w:tc>
        <w:tc>
          <w:tcPr>
            <w:tcW w:w="3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8</w:t>
            </w:r>
          </w:p>
        </w:tc>
        <w:tc>
          <w:tcPr>
            <w:tcW w:w="260" w:type="dxa"/>
            <w:vAlign w:val="bottom"/>
          </w:tcPr>
          <w:p>
            <w:pPr>
              <w:spacing w:after="0"/>
              <w:rPr>
                <w:sz w:val="18"/>
                <w:szCs w:val="18"/>
                <w:color w:val="auto"/>
              </w:rPr>
            </w:pPr>
          </w:p>
        </w:tc>
        <w:tc>
          <w:tcPr>
            <w:tcW w:w="1080" w:type="dxa"/>
            <w:vAlign w:val="bottom"/>
            <w:gridSpan w:val="3"/>
          </w:tcPr>
          <w:p>
            <w:pPr>
              <w:jc w:val="right"/>
              <w:ind w:right="300"/>
              <w:spacing w:after="0"/>
              <w:rPr>
                <w:sz w:val="20"/>
                <w:szCs w:val="20"/>
                <w:color w:val="auto"/>
              </w:rPr>
            </w:pPr>
            <w:r>
              <w:rPr>
                <w:rFonts w:ascii="Arial" w:cs="Arial" w:eastAsia="Arial" w:hAnsi="Arial"/>
                <w:sz w:val="17"/>
                <w:szCs w:val="17"/>
                <w:color w:val="auto"/>
              </w:rPr>
              <w:t>25,381</w:t>
            </w:r>
          </w:p>
        </w:tc>
        <w:tc>
          <w:tcPr>
            <w:tcW w:w="320" w:type="dxa"/>
            <w:vAlign w:val="bottom"/>
          </w:tcPr>
          <w:p>
            <w:pPr>
              <w:jc w:val="right"/>
              <w:spacing w:after="0"/>
              <w:rPr>
                <w:sz w:val="20"/>
                <w:szCs w:val="20"/>
                <w:color w:val="auto"/>
              </w:rPr>
            </w:pPr>
            <w:r>
              <w:rPr>
                <w:rFonts w:ascii="Arial" w:cs="Arial" w:eastAsia="Arial" w:hAnsi="Arial"/>
                <w:sz w:val="17"/>
                <w:szCs w:val="17"/>
                <w:color w:val="auto"/>
              </w:rPr>
              <w:t>9</w:t>
            </w:r>
          </w:p>
        </w:tc>
        <w:tc>
          <w:tcPr>
            <w:tcW w:w="4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7"/>
                <w:szCs w:val="17"/>
                <w:color w:val="auto"/>
              </w:rPr>
              <w:t>965</w:t>
            </w:r>
          </w:p>
        </w:tc>
        <w:tc>
          <w:tcPr>
            <w:tcW w:w="720" w:type="dxa"/>
            <w:vAlign w:val="bottom"/>
            <w:gridSpan w:val="3"/>
          </w:tcPr>
          <w:p>
            <w:pPr>
              <w:jc w:val="right"/>
              <w:ind w:right="200"/>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11"/>
        </w:trPr>
        <w:tc>
          <w:tcPr>
            <w:tcW w:w="66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Inter-segment eliminations</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(4,330)</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w:t>
            </w:r>
          </w:p>
        </w:tc>
        <w:tc>
          <w:tcPr>
            <w:tcW w:w="108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(4,323)</w:t>
            </w: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(2)</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(7)</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Arial" w:cs="Arial" w:eastAsia="Arial" w:hAnsi="Arial"/>
                <w:sz w:val="17"/>
                <w:szCs w:val="17"/>
                <w:color w:val="auto"/>
              </w:rPr>
              <w:t>Consolidated revenues, net</w:t>
            </w: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gridSpan w:val="2"/>
            <w:vMerge w:val="restart"/>
          </w:tcPr>
          <w:p>
            <w:pPr>
              <w:jc w:val="right"/>
              <w:ind w:right="120"/>
              <w:spacing w:after="0"/>
              <w:rPr>
                <w:sz w:val="20"/>
                <w:szCs w:val="20"/>
                <w:color w:val="auto"/>
              </w:rPr>
            </w:pPr>
            <w:r>
              <w:rPr>
                <w:rFonts w:ascii="Arial" w:cs="Arial" w:eastAsia="Arial" w:hAnsi="Arial"/>
                <w:sz w:val="17"/>
                <w:szCs w:val="17"/>
                <w:color w:val="auto"/>
              </w:rPr>
              <w:t>100%</w:t>
            </w: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gridSpan w:val="2"/>
            <w:vMerge w:val="restart"/>
          </w:tcPr>
          <w:p>
            <w:pPr>
              <w:jc w:val="right"/>
              <w:ind w:right="260"/>
              <w:spacing w:after="0"/>
              <w:rPr>
                <w:sz w:val="20"/>
                <w:szCs w:val="20"/>
                <w:color w:val="auto"/>
              </w:rPr>
            </w:pPr>
            <w:r>
              <w:rPr>
                <w:rFonts w:ascii="Arial" w:cs="Arial" w:eastAsia="Arial" w:hAnsi="Arial"/>
                <w:sz w:val="17"/>
                <w:szCs w:val="17"/>
                <w:color w:val="auto"/>
              </w:rPr>
              <w:t>100%</w:t>
            </w: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gridSpan w:val="3"/>
            <w:vMerge w:val="restart"/>
          </w:tcPr>
          <w:p>
            <w:pPr>
              <w:jc w:val="right"/>
              <w:ind w:right="60"/>
              <w:spacing w:after="0"/>
              <w:rPr>
                <w:sz w:val="20"/>
                <w:szCs w:val="20"/>
                <w:color w:val="auto"/>
              </w:rPr>
            </w:pPr>
            <w:r>
              <w:rPr>
                <w:rFonts w:ascii="Arial" w:cs="Arial" w:eastAsia="Arial" w:hAnsi="Arial"/>
                <w:sz w:val="17"/>
                <w:szCs w:val="17"/>
                <w:color w:val="auto"/>
              </w:rPr>
              <w:t>20%</w:t>
            </w:r>
          </w:p>
        </w:tc>
        <w:tc>
          <w:tcPr>
            <w:tcW w:w="0" w:type="dxa"/>
            <w:vAlign w:val="bottom"/>
          </w:tcPr>
          <w:p>
            <w:pPr>
              <w:spacing w:after="0" w:line="20" w:lineRule="exact"/>
              <w:rPr>
                <w:sz w:val="1"/>
                <w:szCs w:val="1"/>
                <w:color w:val="auto"/>
              </w:rPr>
            </w:pPr>
          </w:p>
        </w:tc>
      </w:tr>
      <w:tr>
        <w:trPr>
          <w:trHeight w:val="216"/>
        </w:trPr>
        <w:tc>
          <w:tcPr>
            <w:tcW w:w="6640" w:type="dxa"/>
            <w:vAlign w:val="bottom"/>
            <w:vMerge w:val="continue"/>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u w:val="single" w:color="auto"/>
                <w:color w:val="auto"/>
                <w:w w:val="87"/>
              </w:rPr>
              <w:t>$</w:t>
            </w:r>
            <w:r>
              <w:rPr>
                <w:rFonts w:ascii="Arial" w:cs="Arial" w:eastAsia="Arial" w:hAnsi="Arial"/>
                <w:sz w:val="17"/>
                <w:szCs w:val="17"/>
                <w:color w:val="auto"/>
                <w:w w:val="87"/>
              </w:rPr>
              <w:t>326,239</w:t>
            </w:r>
          </w:p>
        </w:tc>
        <w:tc>
          <w:tcPr>
            <w:tcW w:w="300" w:type="dxa"/>
            <w:vAlign w:val="bottom"/>
          </w:tcPr>
          <w:p>
            <w:pPr>
              <w:spacing w:after="0"/>
              <w:rPr>
                <w:sz w:val="18"/>
                <w:szCs w:val="18"/>
                <w:color w:val="auto"/>
              </w:rPr>
            </w:pPr>
          </w:p>
        </w:tc>
        <w:tc>
          <w:tcPr>
            <w:tcW w:w="580" w:type="dxa"/>
            <w:vAlign w:val="bottom"/>
            <w:gridSpan w:val="2"/>
            <w:vMerge w:val="continue"/>
          </w:tcPr>
          <w:p>
            <w:pPr>
              <w:spacing w:after="0"/>
              <w:rPr>
                <w:sz w:val="18"/>
                <w:szCs w:val="18"/>
                <w:color w:val="auto"/>
              </w:rPr>
            </w:pPr>
          </w:p>
        </w:tc>
        <w:tc>
          <w:tcPr>
            <w:tcW w:w="1080" w:type="dxa"/>
            <w:vAlign w:val="bottom"/>
            <w:gridSpan w:val="3"/>
          </w:tcPr>
          <w:p>
            <w:pPr>
              <w:jc w:val="right"/>
              <w:ind w:right="30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272,903</w:t>
            </w:r>
          </w:p>
        </w:tc>
        <w:tc>
          <w:tcPr>
            <w:tcW w:w="720" w:type="dxa"/>
            <w:vAlign w:val="bottom"/>
            <w:gridSpan w:val="2"/>
            <w:vMerge w:val="continue"/>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7"/>
                <w:szCs w:val="17"/>
                <w:u w:val="single" w:color="auto"/>
                <w:color w:val="auto"/>
                <w:w w:val="87"/>
              </w:rPr>
              <w:t>$</w:t>
            </w:r>
            <w:r>
              <w:rPr>
                <w:rFonts w:ascii="Arial" w:cs="Arial" w:eastAsia="Arial" w:hAnsi="Arial"/>
                <w:sz w:val="17"/>
                <w:szCs w:val="17"/>
                <w:color w:val="auto"/>
                <w:w w:val="87"/>
              </w:rPr>
              <w:t>53,336</w:t>
            </w:r>
          </w:p>
        </w:tc>
        <w:tc>
          <w:tcPr>
            <w:tcW w:w="72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National Networks</w:t>
      </w:r>
    </w:p>
    <w:p>
      <w:pPr>
        <w:spacing w:after="0" w:line="9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increase in National Networks revenues, net is attributable to the following:</w:t>
      </w:r>
    </w:p>
    <w:p>
      <w:pPr>
        <w:spacing w:after="0" w:line="94" w:lineRule="exact"/>
        <w:rPr>
          <w:sz w:val="20"/>
          <w:szCs w:val="20"/>
          <w:color w:val="auto"/>
        </w:rPr>
      </w:pPr>
    </w:p>
    <w:p>
      <w:pPr>
        <w:ind w:left="900" w:right="80" w:hanging="328"/>
        <w:spacing w:after="0" w:line="271" w:lineRule="auto"/>
        <w:tabs>
          <w:tab w:leader="none" w:pos="9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 xml:space="preserve">Advertising revenues increased $29,614 primarily at AMC resulting from higher ratings, higher pricing per unit sold due to an increased demand for our programming by advertisers and an increased number of original programming series, led by </w:t>
      </w:r>
      <w:r>
        <w:rPr>
          <w:rFonts w:ascii="Arial" w:cs="Arial" w:eastAsia="Arial" w:hAnsi="Arial"/>
          <w:sz w:val="17"/>
          <w:szCs w:val="17"/>
          <w:i w:val="1"/>
          <w:iCs w:val="1"/>
          <w:color w:val="auto"/>
        </w:rPr>
        <w:t>The Walking Dead</w:t>
      </w:r>
      <w:r>
        <w:rPr>
          <w:rFonts w:ascii="Arial" w:cs="Arial" w:eastAsia="Arial" w:hAnsi="Arial"/>
          <w:sz w:val="17"/>
          <w:szCs w:val="17"/>
          <w:color w:val="auto"/>
        </w:rPr>
        <w:t>, as compared to no original programming series on AMC during the three months ended March 31, 2011; and</w:t>
      </w:r>
    </w:p>
    <w:p>
      <w:pPr>
        <w:spacing w:after="0" w:line="48" w:lineRule="exact"/>
        <w:rPr>
          <w:rFonts w:ascii="Arial" w:cs="Arial" w:eastAsia="Arial" w:hAnsi="Arial"/>
          <w:sz w:val="17"/>
          <w:szCs w:val="17"/>
          <w:color w:val="auto"/>
        </w:rPr>
      </w:pPr>
    </w:p>
    <w:p>
      <w:pPr>
        <w:ind w:left="900" w:right="380" w:hanging="328"/>
        <w:spacing w:after="0" w:line="296"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Affiliation fee and other revenues increased $22,764 due to an increase in affiliation fee revenues of $11,366, primarily attributable to an increase in rates, including the impact of lower amortization of deferred carriage fees and an increase in other revenues of $11,398 due primarily to increased international, digital distribution and home video revenues derived from licensing our National Networks programming.</w:t>
      </w:r>
    </w:p>
    <w:p>
      <w:pPr>
        <w:spacing w:after="0" w:line="109" w:lineRule="exact"/>
        <w:rPr>
          <w:sz w:val="20"/>
          <w:szCs w:val="20"/>
          <w:color w:val="auto"/>
        </w:rPr>
      </w:pPr>
    </w:p>
    <w:p>
      <w:pPr>
        <w:ind w:firstLine="457"/>
        <w:spacing w:after="0" w:line="280" w:lineRule="auto"/>
        <w:rPr>
          <w:sz w:val="20"/>
          <w:szCs w:val="20"/>
          <w:color w:val="auto"/>
        </w:rPr>
      </w:pPr>
      <w:r>
        <w:rPr>
          <w:rFonts w:ascii="Arial" w:cs="Arial" w:eastAsia="Arial" w:hAnsi="Arial"/>
          <w:sz w:val="16"/>
          <w:szCs w:val="16"/>
          <w:color w:val="auto"/>
        </w:rPr>
        <w:t>Changes in revenue discussed above are primarily derived from changes in the prices and unit sales of advertising on our networks, changes in contractual affiliation rates charged for our services and changes in the number of subscribers. Our advertising revenues are more variable than affiliation fee revenues because virtually all of our advertising is sold on a short-term basis. Our arrangements with advertisers provide for a set number of advertising units to air over a specific period of time at a negotiated price per unit and in certain advertising arrangements, we guarantee specified viewer ratings. If these guaranteed viewer ratings are not met, we are generally required to provide additional advertising units to the advertiser, resulting in revenue being deferred until such time as the guarantee has been met. Most of our advertising revenues vary based on the timing of our original programming series premieres and the popularity of our programming as measured by Nielsen. Due to this variability, the increase in advertising revenues at AMC for the three months ended March 31, 2012 as compared to the same period in 2011 is not necessarily indicative of what we expect for the remainder of 2012.</w:t>
      </w:r>
    </w:p>
    <w:p>
      <w:pPr>
        <w:spacing w:after="0" w:line="126" w:lineRule="exact"/>
        <w:rPr>
          <w:sz w:val="20"/>
          <w:szCs w:val="20"/>
          <w:color w:val="auto"/>
        </w:rPr>
      </w:pPr>
    </w:p>
    <w:p>
      <w:pPr>
        <w:ind w:firstLine="457"/>
        <w:spacing w:after="0" w:line="263" w:lineRule="auto"/>
        <w:rPr>
          <w:sz w:val="20"/>
          <w:szCs w:val="20"/>
          <w:color w:val="auto"/>
        </w:rPr>
      </w:pPr>
      <w:r>
        <w:rPr>
          <w:rFonts w:ascii="Arial" w:cs="Arial" w:eastAsia="Arial" w:hAnsi="Arial"/>
          <w:sz w:val="17"/>
          <w:szCs w:val="17"/>
          <w:color w:val="auto"/>
        </w:rPr>
        <w:t>Affiliation fee revenues are generally based on a per subscriber fee under multi-year affiliation agreements, which generally provide for annual affiliation rate increases. The specific affiliation fee revenues we earn vary from period to period, distributor to distributor and also vary among our networks, but are generally based upon the number of each distributor’s subscribers who receive our programming. The terms of certain other affiliation agreements provide that the affiliation fee revenues we earn are a fixed contractual monthly fee. Changes in our licensing and digital distribution revenues are dependent upon the amount of programming content made available for distribution by the licensee and fluctuate quarterly depending on the dates such programming is made available for distribution to the licensee.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11420"/>
          </w:cols>
          <w:pgMar w:left="240" w:top="451" w:right="239" w:bottom="1440" w:gutter="0" w:footer="0" w:header="0"/>
        </w:sectPr>
      </w:pPr>
    </w:p>
    <w:bookmarkStart w:id="30" w:name="page31"/>
    <w:bookmarkEnd w:id="3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presents certain subscriber information at March 31, 2012, December 31, 2011 and March 31, 2011:</w:t>
      </w:r>
    </w:p>
    <w:p>
      <w:pPr>
        <w:spacing w:after="0" w:line="208" w:lineRule="exact"/>
        <w:rPr>
          <w:sz w:val="20"/>
          <w:szCs w:val="20"/>
          <w:color w:val="auto"/>
        </w:rPr>
      </w:pPr>
    </w:p>
    <w:tbl>
      <w:tblPr>
        <w:tblLayout w:type="fixed"/>
        <w:tblInd w:w="1380" w:type="dxa"/>
        <w:tblCellMar>
          <w:top w:w="0" w:type="dxa"/>
          <w:left w:w="0" w:type="dxa"/>
          <w:bottom w:w="0" w:type="dxa"/>
          <w:right w:w="0" w:type="dxa"/>
        </w:tblCellMar>
      </w:tblPr>
      <w:tr>
        <w:trPr>
          <w:trHeight w:val="158"/>
        </w:trPr>
        <w:tc>
          <w:tcPr>
            <w:tcW w:w="1900" w:type="dxa"/>
            <w:vAlign w:val="bottom"/>
            <w:vMerge w:val="restart"/>
          </w:tcPr>
          <w:p>
            <w:pPr>
              <w:spacing w:after="0"/>
              <w:rPr>
                <w:sz w:val="20"/>
                <w:szCs w:val="20"/>
                <w:color w:val="auto"/>
              </w:rPr>
            </w:pPr>
            <w:r>
              <w:rPr>
                <w:rFonts w:ascii="Arial" w:cs="Arial" w:eastAsia="Arial" w:hAnsi="Arial"/>
                <w:sz w:val="13"/>
                <w:szCs w:val="13"/>
                <w:color w:val="auto"/>
                <w:w w:val="98"/>
              </w:rPr>
              <w:t>National Programming Networks:</w:t>
            </w:r>
          </w:p>
        </w:tc>
        <w:tc>
          <w:tcPr>
            <w:tcW w:w="2440" w:type="dxa"/>
            <w:vAlign w:val="bottom"/>
          </w:tcPr>
          <w:p>
            <w:pPr>
              <w:spacing w:after="0"/>
              <w:rPr>
                <w:sz w:val="13"/>
                <w:szCs w:val="13"/>
                <w:color w:val="auto"/>
              </w:rPr>
            </w:pPr>
          </w:p>
        </w:tc>
        <w:tc>
          <w:tcPr>
            <w:tcW w:w="4340" w:type="dxa"/>
            <w:vAlign w:val="bottom"/>
            <w:gridSpan w:val="6"/>
          </w:tcPr>
          <w:p>
            <w:pPr>
              <w:ind w:left="780"/>
              <w:spacing w:after="0"/>
              <w:rPr>
                <w:sz w:val="20"/>
                <w:szCs w:val="20"/>
                <w:color w:val="auto"/>
              </w:rPr>
            </w:pPr>
            <w:r>
              <w:rPr>
                <w:rFonts w:ascii="Arial" w:cs="Arial" w:eastAsia="Arial" w:hAnsi="Arial"/>
                <w:sz w:val="13"/>
                <w:szCs w:val="13"/>
                <w:b w:val="1"/>
                <w:bCs w:val="1"/>
                <w:color w:val="auto"/>
              </w:rPr>
              <w:t>Estimated Domestic Subscribers (in thousands)</w:t>
            </w:r>
          </w:p>
        </w:tc>
        <w:tc>
          <w:tcPr>
            <w:tcW w:w="0" w:type="dxa"/>
            <w:vAlign w:val="bottom"/>
          </w:tcPr>
          <w:p>
            <w:pPr>
              <w:spacing w:after="0"/>
              <w:rPr>
                <w:sz w:val="1"/>
                <w:szCs w:val="1"/>
                <w:color w:val="auto"/>
              </w:rPr>
            </w:pPr>
          </w:p>
        </w:tc>
      </w:tr>
      <w:tr>
        <w:trPr>
          <w:trHeight w:val="145"/>
        </w:trPr>
        <w:tc>
          <w:tcPr>
            <w:tcW w:w="1900" w:type="dxa"/>
            <w:vAlign w:val="bottom"/>
            <w:tcBorders>
              <w:bottom w:val="single" w:sz="8" w:color="auto"/>
            </w:tcBorders>
            <w:vMerge w:val="continue"/>
          </w:tcPr>
          <w:p>
            <w:pPr>
              <w:spacing w:after="0"/>
              <w:rPr>
                <w:sz w:val="12"/>
                <w:szCs w:val="12"/>
                <w:color w:val="auto"/>
              </w:rPr>
            </w:pPr>
          </w:p>
        </w:tc>
        <w:tc>
          <w:tcPr>
            <w:tcW w:w="2440" w:type="dxa"/>
            <w:vAlign w:val="bottom"/>
          </w:tcPr>
          <w:p>
            <w:pPr>
              <w:spacing w:after="0"/>
              <w:rPr>
                <w:sz w:val="12"/>
                <w:szCs w:val="12"/>
                <w:color w:val="auto"/>
              </w:rPr>
            </w:pPr>
          </w:p>
        </w:tc>
        <w:tc>
          <w:tcPr>
            <w:tcW w:w="880" w:type="dxa"/>
            <w:vAlign w:val="bottom"/>
            <w:tcBorders>
              <w:top w:val="single" w:sz="8" w:color="auto"/>
            </w:tcBorders>
          </w:tcPr>
          <w:p>
            <w:pPr>
              <w:jc w:val="right"/>
              <w:spacing w:after="0" w:line="125" w:lineRule="exact"/>
              <w:rPr>
                <w:sz w:val="20"/>
                <w:szCs w:val="20"/>
                <w:color w:val="auto"/>
              </w:rPr>
            </w:pPr>
            <w:r>
              <w:rPr>
                <w:rFonts w:ascii="Arial" w:cs="Arial" w:eastAsia="Arial" w:hAnsi="Arial"/>
                <w:sz w:val="13"/>
                <w:szCs w:val="13"/>
                <w:b w:val="1"/>
                <w:bCs w:val="1"/>
                <w:color w:val="auto"/>
                <w:w w:val="92"/>
              </w:rPr>
              <w:t>March 31, 2012</w:t>
            </w:r>
          </w:p>
        </w:tc>
        <w:tc>
          <w:tcPr>
            <w:tcW w:w="1780" w:type="dxa"/>
            <w:vAlign w:val="bottom"/>
            <w:tcBorders>
              <w:top w:val="single" w:sz="8" w:color="auto"/>
            </w:tcBorders>
            <w:gridSpan w:val="2"/>
          </w:tcPr>
          <w:p>
            <w:pPr>
              <w:jc w:val="right"/>
              <w:spacing w:after="0" w:line="125" w:lineRule="exact"/>
              <w:rPr>
                <w:sz w:val="20"/>
                <w:szCs w:val="20"/>
                <w:color w:val="auto"/>
              </w:rPr>
            </w:pPr>
            <w:r>
              <w:rPr>
                <w:rFonts w:ascii="Arial" w:cs="Arial" w:eastAsia="Arial" w:hAnsi="Arial"/>
                <w:sz w:val="13"/>
                <w:szCs w:val="13"/>
                <w:b w:val="1"/>
                <w:bCs w:val="1"/>
                <w:color w:val="auto"/>
              </w:rPr>
              <w:t>December 31, 2011</w:t>
            </w:r>
          </w:p>
        </w:tc>
        <w:tc>
          <w:tcPr>
            <w:tcW w:w="1580" w:type="dxa"/>
            <w:vAlign w:val="bottom"/>
            <w:tcBorders>
              <w:top w:val="single" w:sz="8" w:color="auto"/>
            </w:tcBorders>
            <w:gridSpan w:val="2"/>
          </w:tcPr>
          <w:p>
            <w:pPr>
              <w:jc w:val="right"/>
              <w:spacing w:after="0" w:line="125" w:lineRule="exact"/>
              <w:rPr>
                <w:sz w:val="20"/>
                <w:szCs w:val="20"/>
                <w:color w:val="auto"/>
              </w:rPr>
            </w:pPr>
            <w:r>
              <w:rPr>
                <w:rFonts w:ascii="Arial" w:cs="Arial" w:eastAsia="Arial" w:hAnsi="Arial"/>
                <w:sz w:val="13"/>
                <w:szCs w:val="13"/>
                <w:b w:val="1"/>
                <w:bCs w:val="1"/>
                <w:color w:val="auto"/>
              </w:rPr>
              <w:t>March 31, 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1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 xml:space="preserve">AMC </w:t>
            </w:r>
            <w:r>
              <w:rPr>
                <w:rFonts w:ascii="Arial" w:cs="Arial" w:eastAsia="Arial" w:hAnsi="Arial"/>
                <w:sz w:val="10"/>
                <w:szCs w:val="10"/>
                <w:color w:val="auto"/>
              </w:rPr>
              <w:t>(1)</w:t>
            </w:r>
          </w:p>
        </w:tc>
        <w:tc>
          <w:tcPr>
            <w:tcW w:w="244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96,400</w:t>
            </w:r>
          </w:p>
        </w:tc>
        <w:tc>
          <w:tcPr>
            <w:tcW w:w="72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96,300</w:t>
            </w:r>
          </w:p>
        </w:tc>
        <w:tc>
          <w:tcPr>
            <w:tcW w:w="7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96,800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900" w:type="dxa"/>
            <w:vAlign w:val="bottom"/>
          </w:tcPr>
          <w:p>
            <w:pPr>
              <w:spacing w:after="0"/>
              <w:rPr>
                <w:sz w:val="20"/>
                <w:szCs w:val="20"/>
                <w:color w:val="auto"/>
              </w:rPr>
            </w:pPr>
            <w:r>
              <w:rPr>
                <w:rFonts w:ascii="Arial" w:cs="Arial" w:eastAsia="Arial" w:hAnsi="Arial"/>
                <w:sz w:val="17"/>
                <w:szCs w:val="17"/>
                <w:color w:val="auto"/>
              </w:rPr>
              <w:t xml:space="preserve">WE tv </w:t>
            </w:r>
            <w:r>
              <w:rPr>
                <w:rFonts w:ascii="Arial" w:cs="Arial" w:eastAsia="Arial" w:hAnsi="Arial"/>
                <w:sz w:val="10"/>
                <w:szCs w:val="10"/>
                <w:color w:val="auto"/>
              </w:rPr>
              <w:t>(1)</w:t>
            </w:r>
          </w:p>
        </w:tc>
        <w:tc>
          <w:tcPr>
            <w:tcW w:w="3320" w:type="dxa"/>
            <w:vAlign w:val="bottom"/>
            <w:gridSpan w:val="2"/>
          </w:tcPr>
          <w:p>
            <w:pPr>
              <w:jc w:val="right"/>
              <w:spacing w:after="0"/>
              <w:rPr>
                <w:sz w:val="20"/>
                <w:szCs w:val="20"/>
                <w:color w:val="auto"/>
              </w:rPr>
            </w:pPr>
            <w:r>
              <w:rPr>
                <w:rFonts w:ascii="Arial" w:cs="Arial" w:eastAsia="Arial" w:hAnsi="Arial"/>
                <w:sz w:val="17"/>
                <w:szCs w:val="17"/>
                <w:color w:val="auto"/>
              </w:rPr>
              <w:t>76,500</w:t>
            </w:r>
          </w:p>
        </w:tc>
        <w:tc>
          <w:tcPr>
            <w:tcW w:w="1780" w:type="dxa"/>
            <w:vAlign w:val="bottom"/>
            <w:gridSpan w:val="2"/>
          </w:tcPr>
          <w:p>
            <w:pPr>
              <w:jc w:val="right"/>
              <w:spacing w:after="0"/>
              <w:rPr>
                <w:sz w:val="20"/>
                <w:szCs w:val="20"/>
                <w:color w:val="auto"/>
              </w:rPr>
            </w:pPr>
            <w:r>
              <w:rPr>
                <w:rFonts w:ascii="Arial" w:cs="Arial" w:eastAsia="Arial" w:hAnsi="Arial"/>
                <w:sz w:val="17"/>
                <w:szCs w:val="17"/>
                <w:color w:val="auto"/>
              </w:rPr>
              <w:t>76,100</w:t>
            </w:r>
          </w:p>
        </w:tc>
        <w:tc>
          <w:tcPr>
            <w:tcW w:w="1580" w:type="dxa"/>
            <w:vAlign w:val="bottom"/>
            <w:gridSpan w:val="2"/>
          </w:tcPr>
          <w:p>
            <w:pPr>
              <w:jc w:val="right"/>
              <w:spacing w:after="0"/>
              <w:rPr>
                <w:sz w:val="20"/>
                <w:szCs w:val="20"/>
                <w:color w:val="auto"/>
              </w:rPr>
            </w:pPr>
            <w:r>
              <w:rPr>
                <w:rFonts w:ascii="Arial" w:cs="Arial" w:eastAsia="Arial" w:hAnsi="Arial"/>
                <w:sz w:val="17"/>
                <w:szCs w:val="17"/>
                <w:color w:val="auto"/>
              </w:rPr>
              <w:t>77,000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900" w:type="dxa"/>
            <w:vAlign w:val="bottom"/>
            <w:shd w:val="clear" w:color="auto" w:fill="CCEEFF"/>
          </w:tcPr>
          <w:p>
            <w:pPr>
              <w:spacing w:after="0"/>
              <w:rPr>
                <w:sz w:val="20"/>
                <w:szCs w:val="20"/>
                <w:color w:val="auto"/>
              </w:rPr>
            </w:pPr>
            <w:r>
              <w:rPr>
                <w:rFonts w:ascii="Arial" w:cs="Arial" w:eastAsia="Arial" w:hAnsi="Arial"/>
                <w:sz w:val="17"/>
                <w:szCs w:val="17"/>
                <w:color w:val="auto"/>
              </w:rPr>
              <w:t xml:space="preserve">IFC </w:t>
            </w:r>
            <w:r>
              <w:rPr>
                <w:rFonts w:ascii="Arial" w:cs="Arial" w:eastAsia="Arial" w:hAnsi="Arial"/>
                <w:sz w:val="10"/>
                <w:szCs w:val="10"/>
                <w:color w:val="auto"/>
              </w:rPr>
              <w:t>(1)</w:t>
            </w:r>
          </w:p>
        </w:tc>
        <w:tc>
          <w:tcPr>
            <w:tcW w:w="3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66,100</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65,300</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62,200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900" w:type="dxa"/>
            <w:vAlign w:val="bottom"/>
          </w:tcPr>
          <w:p>
            <w:pPr>
              <w:spacing w:after="0"/>
              <w:rPr>
                <w:sz w:val="20"/>
                <w:szCs w:val="20"/>
                <w:color w:val="auto"/>
              </w:rPr>
            </w:pPr>
            <w:r>
              <w:rPr>
                <w:rFonts w:ascii="Arial" w:cs="Arial" w:eastAsia="Arial" w:hAnsi="Arial"/>
                <w:sz w:val="17"/>
                <w:szCs w:val="17"/>
                <w:color w:val="auto"/>
              </w:rPr>
              <w:t xml:space="preserve">Sundance Channel </w:t>
            </w:r>
            <w:r>
              <w:rPr>
                <w:rFonts w:ascii="Arial" w:cs="Arial" w:eastAsia="Arial" w:hAnsi="Arial"/>
                <w:sz w:val="10"/>
                <w:szCs w:val="10"/>
                <w:color w:val="auto"/>
              </w:rPr>
              <w:t>(2)</w:t>
            </w:r>
          </w:p>
        </w:tc>
        <w:tc>
          <w:tcPr>
            <w:tcW w:w="3320" w:type="dxa"/>
            <w:vAlign w:val="bottom"/>
            <w:gridSpan w:val="2"/>
          </w:tcPr>
          <w:p>
            <w:pPr>
              <w:jc w:val="right"/>
              <w:spacing w:after="0"/>
              <w:rPr>
                <w:sz w:val="20"/>
                <w:szCs w:val="20"/>
                <w:color w:val="auto"/>
              </w:rPr>
            </w:pPr>
            <w:r>
              <w:rPr>
                <w:rFonts w:ascii="Arial" w:cs="Arial" w:eastAsia="Arial" w:hAnsi="Arial"/>
                <w:sz w:val="17"/>
                <w:szCs w:val="17"/>
                <w:color w:val="auto"/>
              </w:rPr>
              <w:t>42,400</w:t>
            </w:r>
          </w:p>
        </w:tc>
        <w:tc>
          <w:tcPr>
            <w:tcW w:w="1780" w:type="dxa"/>
            <w:vAlign w:val="bottom"/>
            <w:gridSpan w:val="2"/>
          </w:tcPr>
          <w:p>
            <w:pPr>
              <w:jc w:val="right"/>
              <w:spacing w:after="0"/>
              <w:rPr>
                <w:sz w:val="20"/>
                <w:szCs w:val="20"/>
                <w:color w:val="auto"/>
              </w:rPr>
            </w:pPr>
            <w:r>
              <w:rPr>
                <w:rFonts w:ascii="Arial" w:cs="Arial" w:eastAsia="Arial" w:hAnsi="Arial"/>
                <w:sz w:val="17"/>
                <w:szCs w:val="17"/>
                <w:color w:val="auto"/>
              </w:rPr>
              <w:t>42,100</w:t>
            </w:r>
          </w:p>
        </w:tc>
        <w:tc>
          <w:tcPr>
            <w:tcW w:w="1580" w:type="dxa"/>
            <w:vAlign w:val="bottom"/>
            <w:gridSpan w:val="2"/>
          </w:tcPr>
          <w:p>
            <w:pPr>
              <w:jc w:val="right"/>
              <w:spacing w:after="0"/>
              <w:rPr>
                <w:sz w:val="20"/>
                <w:szCs w:val="20"/>
                <w:color w:val="auto"/>
              </w:rPr>
            </w:pPr>
            <w:r>
              <w:rPr>
                <w:rFonts w:ascii="Arial" w:cs="Arial" w:eastAsia="Arial" w:hAnsi="Arial"/>
                <w:sz w:val="17"/>
                <w:szCs w:val="17"/>
                <w:color w:val="auto"/>
              </w:rPr>
              <w:t>40,100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63500</wp:posOffset>
            </wp:positionV>
            <wp:extent cx="72771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710" cy="8255"/>
                    </a:xfrm>
                    <a:prstGeom prst="rect">
                      <a:avLst/>
                    </a:prstGeom>
                    <a:noFill/>
                  </pic:spPr>
                </pic:pic>
              </a:graphicData>
            </a:graphic>
          </wp:anchor>
        </w:drawing>
      </w:r>
    </w:p>
    <w:p>
      <w:pPr>
        <w:spacing w:after="0" w:line="111" w:lineRule="exact"/>
        <w:rPr>
          <w:sz w:val="20"/>
          <w:szCs w:val="20"/>
          <w:color w:val="auto"/>
        </w:rPr>
      </w:pPr>
    </w:p>
    <w:p>
      <w:pPr>
        <w:ind w:left="460" w:hanging="455"/>
        <w:spacing w:after="0"/>
        <w:tabs>
          <w:tab w:leader="none" w:pos="4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Estimated U.S. subscribers as measured by Nielsen.</w:t>
      </w:r>
    </w:p>
    <w:p>
      <w:pPr>
        <w:spacing w:after="0" w:line="21" w:lineRule="exact"/>
        <w:rPr>
          <w:rFonts w:ascii="Arial" w:cs="Arial" w:eastAsia="Arial" w:hAnsi="Arial"/>
          <w:sz w:val="17"/>
          <w:szCs w:val="17"/>
          <w:color w:val="auto"/>
        </w:rPr>
      </w:pPr>
    </w:p>
    <w:p>
      <w:pPr>
        <w:ind w:left="460" w:hanging="455"/>
        <w:spacing w:after="0"/>
        <w:tabs>
          <w:tab w:leader="none" w:pos="4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Subscriber counts are based on internal management reports and represent viewing subscribers.</w:t>
      </w:r>
    </w:p>
    <w:p>
      <w:pPr>
        <w:spacing w:after="0" w:line="167" w:lineRule="exact"/>
        <w:rPr>
          <w:sz w:val="20"/>
          <w:szCs w:val="20"/>
          <w:color w:val="auto"/>
        </w:rPr>
      </w:pPr>
    </w:p>
    <w:p>
      <w:pPr>
        <w:ind w:firstLine="457"/>
        <w:spacing w:after="0" w:line="280" w:lineRule="auto"/>
        <w:rPr>
          <w:sz w:val="20"/>
          <w:szCs w:val="20"/>
          <w:color w:val="auto"/>
        </w:rPr>
      </w:pPr>
      <w:r>
        <w:rPr>
          <w:rFonts w:ascii="Arial" w:cs="Arial" w:eastAsia="Arial" w:hAnsi="Arial"/>
          <w:sz w:val="16"/>
          <w:szCs w:val="16"/>
          <w:color w:val="auto"/>
        </w:rPr>
        <w:t>The Company believes the WE tv, IFC and Sundance Channel programming services would benefit from increased distribution, especially on the digital tiers of cable television distributors as digital penetration increases, and increased advertising/sponsorship revenues as cable networks, including advertiser-supported niche programming networks (such as WE tv and IFC), attract a greater advertising market share. These increases could potentially be offset by lower net effective rates per viewing subscriber for our programming services due to the consolidation of distributors. Opportunities are more limited for increases in distribution in the U.S. for our substantially fully penetrated AMC programming service. Changes in the viewership ratings of our AMC, WE tv and IFC programming services may also significantly affect future advertising revenues. Since AMC and WE tv did not have any significant negative tiering changes or lose any significant affiliate relationships during the relevant periods, we believe that the decline in AMC and WE tv subscribers shown as of March 31, 2012 as compared to March 31, 2011 may reflect the impact of changes in the Nielsen sample and the decline in the Nielsen total universe estimate.</w:t>
      </w:r>
    </w:p>
    <w:p>
      <w:pPr>
        <w:spacing w:after="0" w:line="126" w:lineRule="exact"/>
        <w:rPr>
          <w:sz w:val="20"/>
          <w:szCs w:val="20"/>
          <w:color w:val="auto"/>
        </w:rPr>
      </w:pPr>
    </w:p>
    <w:p>
      <w:pPr>
        <w:ind w:right="80" w:firstLine="457"/>
        <w:spacing w:after="0" w:line="262" w:lineRule="auto"/>
        <w:rPr>
          <w:sz w:val="20"/>
          <w:szCs w:val="20"/>
          <w:color w:val="auto"/>
        </w:rPr>
      </w:pPr>
      <w:r>
        <w:rPr>
          <w:rFonts w:ascii="Arial" w:cs="Arial" w:eastAsia="Arial" w:hAnsi="Arial"/>
          <w:sz w:val="17"/>
          <w:szCs w:val="17"/>
          <w:color w:val="auto"/>
        </w:rPr>
        <w:t>In April 2012, DISH Network, LLC (“DISH Network”) notified us of its intention to terminate carriage of Sundance Channel effective May 20, 2012 and, in May 2012, DISH Network further notified us of its intention to terminate carriage of our other national networks, AMC, WE tv and IFC, effective July 1, 2012. We believe that Dish Network’s notification of termination of carriage of our national networks is directly related to the ongoing litigation between DISH Network and VOOM HD (see Note 7, Commitments and Contingencies in the unaudited consolidated financial statements included elsewhere herein). We expect that any resolution of DISH Networks’ carriage of any or all of our national networks will be significantly impacted by what occurs in connection with the litigation with DISH Network and therefore it is unclear whether or when we and DISH Network will reach an agreement on new affiliation agreements. The financial impact on us will depend on several factors, including the length of time our networks are not carried on DISH Network’s platform, and may be material to our revenues, net, operating income and AOCF.</w:t>
      </w:r>
    </w:p>
    <w:p>
      <w:pPr>
        <w:spacing w:after="0" w:line="136"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International and Other</w:t>
      </w:r>
    </w:p>
    <w:p>
      <w:pPr>
        <w:spacing w:after="0" w:line="9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increase in International and Other revenues, net is attributable to the following:</w:t>
      </w:r>
    </w:p>
    <w:p>
      <w:pPr>
        <w:spacing w:after="0" w:line="94" w:lineRule="exact"/>
        <w:rPr>
          <w:sz w:val="20"/>
          <w:szCs w:val="20"/>
          <w:color w:val="auto"/>
        </w:rPr>
      </w:pPr>
    </w:p>
    <w:p>
      <w:pPr>
        <w:jc w:val="both"/>
        <w:ind w:left="900" w:right="540" w:hanging="328"/>
        <w:spacing w:after="0" w:line="296"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Increase of $1,702 primarily related to increased theatrical and home video distribution revenue at IFC Films and increased foreign affiliation fee revenues from our international distribution of Sundance and WE tv channels due to expanded distribution in Asia and Europe, partially offset by decreased transmission revenue at AMC Networks Broadcasting &amp; Technology due to the expiration of certain agreements; and</w:t>
      </w:r>
    </w:p>
    <w:p>
      <w:pPr>
        <w:spacing w:after="0" w:line="30" w:lineRule="exact"/>
        <w:rPr>
          <w:rFonts w:ascii="Arial" w:cs="Arial" w:eastAsia="Arial" w:hAnsi="Arial"/>
          <w:sz w:val="16"/>
          <w:szCs w:val="16"/>
          <w:color w:val="auto"/>
        </w:rPr>
      </w:pPr>
    </w:p>
    <w:p>
      <w:pPr>
        <w:ind w:left="900" w:right="60" w:hanging="328"/>
        <w:spacing w:after="0" w:line="284" w:lineRule="auto"/>
        <w:tabs>
          <w:tab w:leader="none" w:pos="9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Decrease of $737 primarily related to lower foreign affiliation fee revenues at VOOM HD due to ceasing distribution of the Rush HD channel in Europe in April 2011.</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Technical and operating expense (excluding depreciation and amortization)</w:t>
      </w:r>
    </w:p>
    <w:p>
      <w:pPr>
        <w:spacing w:after="0" w:line="100" w:lineRule="exact"/>
        <w:rPr>
          <w:sz w:val="20"/>
          <w:szCs w:val="20"/>
          <w:color w:val="auto"/>
        </w:rPr>
      </w:pPr>
    </w:p>
    <w:p>
      <w:pPr>
        <w:ind w:right="60" w:firstLine="457"/>
        <w:spacing w:after="0" w:line="271" w:lineRule="auto"/>
        <w:rPr>
          <w:sz w:val="20"/>
          <w:szCs w:val="20"/>
          <w:color w:val="auto"/>
        </w:rPr>
      </w:pPr>
      <w:r>
        <w:rPr>
          <w:rFonts w:ascii="Arial" w:cs="Arial" w:eastAsia="Arial" w:hAnsi="Arial"/>
          <w:sz w:val="17"/>
          <w:szCs w:val="17"/>
          <w:color w:val="auto"/>
        </w:rPr>
        <w:t>The components of technical and operating expense primarily include the amortization of program rights, such as those for feature films and non-film programming, participation and residual costs, distribution and production related costs and program operating costs, such as origination, transmission, uplinking and encryption.</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ectPr>
          <w:pgSz w:w="11900" w:h="16838" w:orient="portrait"/>
          <w:cols w:equalWidth="0" w:num="1">
            <w:col w:w="11400"/>
          </w:cols>
          <w:pgMar w:left="240" w:top="451" w:right="259" w:bottom="1440" w:gutter="0" w:footer="0" w:header="0"/>
        </w:sectPr>
      </w:pPr>
    </w:p>
    <w:bookmarkStart w:id="31" w:name="page32"/>
    <w:bookmarkEnd w:id="3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ind w:right="340" w:firstLine="457"/>
        <w:spacing w:after="0" w:line="284" w:lineRule="auto"/>
        <w:rPr>
          <w:sz w:val="20"/>
          <w:szCs w:val="20"/>
          <w:color w:val="auto"/>
        </w:rPr>
      </w:pPr>
      <w:r>
        <w:rPr>
          <w:rFonts w:ascii="Arial" w:cs="Arial" w:eastAsia="Arial" w:hAnsi="Arial"/>
          <w:sz w:val="17"/>
          <w:szCs w:val="17"/>
          <w:color w:val="auto"/>
        </w:rPr>
        <w:t>Technical and operating expenses (excluding depreciation and amortization) increased $14,519 to $104,930 for the three months ended March 31, 2012 as compared to the three months ended March 31, 2011. The net increase by segment was as follows:</w:t>
      </w:r>
    </w:p>
    <w:p>
      <w:pPr>
        <w:spacing w:after="0" w:line="147"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6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60" w:type="dxa"/>
            <w:vAlign w:val="bottom"/>
            <w:gridSpan w:val="4"/>
          </w:tcPr>
          <w:p>
            <w:pPr>
              <w:jc w:val="right"/>
              <w:ind w:right="940"/>
              <w:spacing w:after="0"/>
              <w:rPr>
                <w:sz w:val="20"/>
                <w:szCs w:val="20"/>
                <w:color w:val="auto"/>
              </w:rPr>
            </w:pPr>
            <w:r>
              <w:rPr>
                <w:rFonts w:ascii="Arial" w:cs="Arial" w:eastAsia="Arial" w:hAnsi="Arial"/>
                <w:sz w:val="13"/>
                <w:szCs w:val="13"/>
                <w:b w:val="1"/>
                <w:bCs w:val="1"/>
                <w:color w:val="auto"/>
              </w:rPr>
              <w:t>Three Months Ended</w:t>
            </w:r>
          </w:p>
        </w:tc>
        <w:tc>
          <w:tcPr>
            <w:tcW w:w="5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1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3"/>
                <w:szCs w:val="13"/>
                <w:b w:val="1"/>
                <w:bCs w:val="1"/>
                <w:color w:val="auto"/>
              </w:rPr>
              <w:t>March 31,</w:t>
            </w:r>
          </w:p>
        </w:tc>
        <w:tc>
          <w:tcPr>
            <w:tcW w:w="560" w:type="dxa"/>
            <w:vAlign w:val="bottom"/>
            <w:tcBorders>
              <w:bottom w:val="single" w:sz="8" w:color="auto"/>
            </w:tcBorders>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92"/>
              </w:rPr>
              <w:t>$ change</w:t>
            </w:r>
          </w:p>
        </w:tc>
        <w:tc>
          <w:tcPr>
            <w:tcW w:w="520" w:type="dxa"/>
            <w:vAlign w:val="bottom"/>
            <w:vMerge w:val="restart"/>
          </w:tcPr>
          <w:p>
            <w:pPr>
              <w:spacing w:after="0"/>
              <w:rPr>
                <w:sz w:val="13"/>
                <w:szCs w:val="13"/>
                <w:color w:val="auto"/>
              </w:rPr>
            </w:pPr>
          </w:p>
        </w:tc>
        <w:tc>
          <w:tcPr>
            <w:tcW w:w="760" w:type="dxa"/>
            <w:vAlign w:val="bottom"/>
            <w:gridSpan w:val="2"/>
            <w:vMerge w:val="restart"/>
          </w:tcPr>
          <w:p>
            <w:pPr>
              <w:jc w:val="right"/>
              <w:ind w:right="200"/>
              <w:spacing w:after="0"/>
              <w:rPr>
                <w:sz w:val="20"/>
                <w:szCs w:val="20"/>
                <w:color w:val="auto"/>
              </w:rPr>
            </w:pPr>
            <w:r>
              <w:rPr>
                <w:rFonts w:ascii="Arial" w:cs="Arial" w:eastAsia="Arial" w:hAnsi="Arial"/>
                <w:sz w:val="13"/>
                <w:szCs w:val="13"/>
                <w:b w:val="1"/>
                <w:bCs w:val="1"/>
                <w:color w:val="auto"/>
                <w:w w:val="88"/>
              </w:rPr>
              <w:t>% change</w:t>
            </w:r>
          </w:p>
        </w:tc>
        <w:tc>
          <w:tcPr>
            <w:tcW w:w="0" w:type="dxa"/>
            <w:vAlign w:val="bottom"/>
          </w:tcPr>
          <w:p>
            <w:pPr>
              <w:spacing w:after="0"/>
              <w:rPr>
                <w:sz w:val="1"/>
                <w:szCs w:val="1"/>
                <w:color w:val="auto"/>
              </w:rPr>
            </w:pPr>
          </w:p>
        </w:tc>
      </w:tr>
      <w:tr>
        <w:trPr>
          <w:trHeight w:val="138"/>
        </w:trPr>
        <w:tc>
          <w:tcPr>
            <w:tcW w:w="6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122"/>
              <w:spacing w:after="0" w:line="138" w:lineRule="exact"/>
              <w:rPr>
                <w:sz w:val="20"/>
                <w:szCs w:val="20"/>
                <w:color w:val="auto"/>
              </w:rPr>
            </w:pPr>
            <w:r>
              <w:rPr>
                <w:rFonts w:ascii="Arial" w:cs="Arial" w:eastAsia="Arial" w:hAnsi="Arial"/>
                <w:sz w:val="13"/>
                <w:szCs w:val="13"/>
                <w:b w:val="1"/>
                <w:bCs w:val="1"/>
                <w:color w:val="auto"/>
              </w:rPr>
              <w:t>2012</w:t>
            </w:r>
          </w:p>
        </w:tc>
        <w:tc>
          <w:tcPr>
            <w:tcW w:w="620" w:type="dxa"/>
            <w:vAlign w:val="bottom"/>
          </w:tcPr>
          <w:p>
            <w:pPr>
              <w:spacing w:after="0"/>
              <w:rPr>
                <w:sz w:val="12"/>
                <w:szCs w:val="12"/>
                <w:color w:val="auto"/>
              </w:rPr>
            </w:pPr>
          </w:p>
        </w:tc>
        <w:tc>
          <w:tcPr>
            <w:tcW w:w="560" w:type="dxa"/>
            <w:vAlign w:val="bottom"/>
          </w:tcPr>
          <w:p>
            <w:pPr>
              <w:jc w:val="right"/>
              <w:ind w:right="58"/>
              <w:spacing w:after="0" w:line="138" w:lineRule="exact"/>
              <w:rPr>
                <w:sz w:val="20"/>
                <w:szCs w:val="20"/>
                <w:color w:val="auto"/>
              </w:rPr>
            </w:pPr>
            <w:r>
              <w:rPr>
                <w:rFonts w:ascii="Arial" w:cs="Arial" w:eastAsia="Arial" w:hAnsi="Arial"/>
                <w:sz w:val="13"/>
                <w:szCs w:val="13"/>
                <w:b w:val="1"/>
                <w:bCs w:val="1"/>
                <w:color w:val="auto"/>
              </w:rPr>
              <w:t>2011</w:t>
            </w:r>
          </w:p>
        </w:tc>
        <w:tc>
          <w:tcPr>
            <w:tcW w:w="6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shd w:val="clear" w:color="auto" w:fill="CCEEFF"/>
          </w:tcPr>
          <w:p>
            <w:pPr>
              <w:spacing w:after="0"/>
              <w:rPr>
                <w:sz w:val="20"/>
                <w:szCs w:val="20"/>
                <w:color w:val="auto"/>
              </w:rPr>
            </w:pPr>
            <w:r>
              <w:rPr>
                <w:rFonts w:ascii="Arial" w:cs="Arial" w:eastAsia="Arial" w:hAnsi="Arial"/>
                <w:sz w:val="17"/>
                <w:szCs w:val="17"/>
                <w:color w:val="auto"/>
              </w:rPr>
              <w:t>National Networks</w:t>
            </w: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1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90,084</w:t>
            </w:r>
          </w:p>
        </w:tc>
        <w:tc>
          <w:tcPr>
            <w:tcW w:w="6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$75,894</w:t>
            </w:r>
          </w:p>
        </w:tc>
        <w:tc>
          <w:tcPr>
            <w:tcW w:w="6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$14,190</w:t>
            </w:r>
          </w:p>
        </w:tc>
        <w:tc>
          <w:tcPr>
            <w:tcW w:w="5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211"/>
        </w:trPr>
        <w:tc>
          <w:tcPr>
            <w:tcW w:w="6180" w:type="dxa"/>
            <w:vAlign w:val="bottom"/>
          </w:tcPr>
          <w:p>
            <w:pPr>
              <w:spacing w:after="0"/>
              <w:rPr>
                <w:sz w:val="20"/>
                <w:szCs w:val="20"/>
                <w:color w:val="auto"/>
              </w:rPr>
            </w:pPr>
            <w:r>
              <w:rPr>
                <w:rFonts w:ascii="Arial" w:cs="Arial" w:eastAsia="Arial" w:hAnsi="Arial"/>
                <w:sz w:val="17"/>
                <w:szCs w:val="17"/>
                <w:color w:val="auto"/>
              </w:rPr>
              <w:t>International and Other</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19,595</w:t>
            </w:r>
          </w:p>
        </w:tc>
        <w:tc>
          <w:tcPr>
            <w:tcW w:w="6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18,965</w:t>
            </w:r>
          </w:p>
        </w:tc>
        <w:tc>
          <w:tcPr>
            <w:tcW w:w="6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630</w:t>
            </w:r>
          </w:p>
        </w:tc>
        <w:tc>
          <w:tcPr>
            <w:tcW w:w="5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180" w:type="dxa"/>
            <w:vAlign w:val="bottom"/>
            <w:shd w:val="clear" w:color="auto" w:fill="CCEEFF"/>
          </w:tcPr>
          <w:p>
            <w:pPr>
              <w:spacing w:after="0"/>
              <w:rPr>
                <w:sz w:val="20"/>
                <w:szCs w:val="20"/>
                <w:color w:val="auto"/>
              </w:rPr>
            </w:pPr>
            <w:r>
              <w:rPr>
                <w:rFonts w:ascii="Arial" w:cs="Arial" w:eastAsia="Arial" w:hAnsi="Arial"/>
                <w:sz w:val="17"/>
                <w:szCs w:val="17"/>
                <w:color w:val="auto"/>
              </w:rPr>
              <w:t>Inter-segment eliminations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(4,749)</w:t>
            </w: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(4,448)</w:t>
            </w: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(301)</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ind w:left="420"/>
              <w:spacing w:after="0"/>
              <w:rPr>
                <w:sz w:val="20"/>
                <w:szCs w:val="20"/>
                <w:color w:val="auto"/>
              </w:rPr>
            </w:pPr>
            <w:r>
              <w:rPr>
                <w:rFonts w:ascii="Arial" w:cs="Arial" w:eastAsia="Arial" w:hAnsi="Arial"/>
                <w:sz w:val="17"/>
                <w:szCs w:val="17"/>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7"/>
              </w:rPr>
              <w:t>104,930</w:t>
            </w:r>
          </w:p>
        </w:tc>
        <w:tc>
          <w:tcPr>
            <w:tcW w:w="620" w:type="dxa"/>
            <w:vAlign w:val="bottom"/>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u w:val="single" w:color="auto"/>
                <w:color w:val="auto"/>
                <w:w w:val="87"/>
              </w:rPr>
              <w:t>$</w:t>
            </w:r>
            <w:r>
              <w:rPr>
                <w:rFonts w:ascii="Arial" w:cs="Arial" w:eastAsia="Arial" w:hAnsi="Arial"/>
                <w:sz w:val="17"/>
                <w:szCs w:val="17"/>
                <w:color w:val="auto"/>
                <w:w w:val="87"/>
              </w:rPr>
              <w:t>90,411</w:t>
            </w:r>
          </w:p>
        </w:tc>
        <w:tc>
          <w:tcPr>
            <w:tcW w:w="620" w:type="dxa"/>
            <w:vAlign w:val="bottom"/>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u w:val="single" w:color="auto"/>
                <w:color w:val="auto"/>
                <w:w w:val="91"/>
              </w:rPr>
              <w:t>$</w:t>
            </w:r>
            <w:r>
              <w:rPr>
                <w:rFonts w:ascii="Arial" w:cs="Arial" w:eastAsia="Arial" w:hAnsi="Arial"/>
                <w:sz w:val="17"/>
                <w:szCs w:val="17"/>
                <w:color w:val="auto"/>
                <w:w w:val="91"/>
              </w:rPr>
              <w:t>14,519</w:t>
            </w:r>
          </w:p>
        </w:tc>
        <w:tc>
          <w:tcPr>
            <w:tcW w:w="5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1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Percentage of revenues, net</w:t>
            </w: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32%</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33%</w:t>
            </w:r>
          </w:p>
        </w:tc>
        <w:tc>
          <w:tcPr>
            <w:tcW w:w="5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National Networks</w:t>
      </w:r>
    </w:p>
    <w:p>
      <w:pPr>
        <w:spacing w:after="0" w:line="94" w:lineRule="exact"/>
        <w:rPr>
          <w:sz w:val="20"/>
          <w:szCs w:val="20"/>
          <w:color w:val="auto"/>
        </w:rPr>
      </w:pPr>
    </w:p>
    <w:p>
      <w:pPr>
        <w:ind w:right="240" w:firstLine="457"/>
        <w:spacing w:after="0" w:line="263" w:lineRule="auto"/>
        <w:rPr>
          <w:sz w:val="20"/>
          <w:szCs w:val="20"/>
          <w:color w:val="auto"/>
        </w:rPr>
      </w:pPr>
      <w:r>
        <w:rPr>
          <w:rFonts w:ascii="Arial" w:cs="Arial" w:eastAsia="Arial" w:hAnsi="Arial"/>
          <w:sz w:val="17"/>
          <w:szCs w:val="17"/>
          <w:color w:val="auto"/>
        </w:rPr>
        <w:t>The increase in the National Networks segment consists of $15,286 for the increased amortization of program rights primarily at AMC and WE tv, partially offset by a decrease of $1,096 for programming related costs. There may be significant changes in the level of our technical and operating expenses due to content acquisition and/or original programming costs and/or the impact of management’s periodic assessment of programming usefulness. As additional competition for programming increases from programming services and alternate distribution technologies continue to develop in the industry, costs for content acquisition and original programming may increase. As we continue to increase our investment in original programming, we expect the amortization of programming rights to increase for the remainder of 2012.</w:t>
      </w:r>
    </w:p>
    <w:p>
      <w:pPr>
        <w:spacing w:after="0" w:line="216"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International and Other</w:t>
      </w:r>
    </w:p>
    <w:p>
      <w:pPr>
        <w:spacing w:after="0" w:line="94" w:lineRule="exact"/>
        <w:rPr>
          <w:sz w:val="20"/>
          <w:szCs w:val="20"/>
          <w:color w:val="auto"/>
        </w:rPr>
      </w:pPr>
    </w:p>
    <w:p>
      <w:pPr>
        <w:ind w:right="60" w:firstLine="457"/>
        <w:spacing w:after="0" w:line="288" w:lineRule="auto"/>
        <w:rPr>
          <w:sz w:val="20"/>
          <w:szCs w:val="20"/>
          <w:color w:val="auto"/>
        </w:rPr>
      </w:pPr>
      <w:r>
        <w:rPr>
          <w:rFonts w:ascii="Arial" w:cs="Arial" w:eastAsia="Arial" w:hAnsi="Arial"/>
          <w:sz w:val="16"/>
          <w:szCs w:val="16"/>
          <w:color w:val="auto"/>
        </w:rPr>
        <w:t>The increase in the International and Other segment (excluding VOOM HD) consists of $1,580 related to programming costs of AMC/Sundance Channel Global services. In addition, transmission and programming related expenses increased $1,068 primarily at AMC/Sundance Channel Global due to increased distribution in Asia and Europe, partially offset by a decrease in transmission expenses at AMC Networks Broadcasting &amp; Technology due to a reduction in revenue. Programming costs at VOOM HD decreased $2,018 resulting primarily from ceasing distribution of the Rush HD channel in Europe in April 2011.</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Selling, general and administrative expense</w:t>
      </w:r>
    </w:p>
    <w:p>
      <w:pPr>
        <w:spacing w:after="0" w:line="100" w:lineRule="exact"/>
        <w:rPr>
          <w:sz w:val="20"/>
          <w:szCs w:val="20"/>
          <w:color w:val="auto"/>
        </w:rPr>
      </w:pPr>
    </w:p>
    <w:p>
      <w:pPr>
        <w:ind w:right="140" w:firstLine="457"/>
        <w:spacing w:after="0" w:line="284" w:lineRule="auto"/>
        <w:rPr>
          <w:sz w:val="20"/>
          <w:szCs w:val="20"/>
          <w:color w:val="auto"/>
        </w:rPr>
      </w:pPr>
      <w:r>
        <w:rPr>
          <w:rFonts w:ascii="Arial" w:cs="Arial" w:eastAsia="Arial" w:hAnsi="Arial"/>
          <w:sz w:val="17"/>
          <w:szCs w:val="17"/>
          <w:color w:val="auto"/>
        </w:rPr>
        <w:t>The components of selling, general and administrative expense primarily include sales, marketing and advertising expenses, administrative costs and costs of facilities.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Selling, general and administrative expenses increased $12,301 to $99,222 for the three months ended March 31, 2012 as compared to the three months ended</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March 31, 2011. The net increase by segment was as follows:</w:t>
      </w:r>
    </w:p>
    <w:p>
      <w:pPr>
        <w:spacing w:after="0" w:line="198"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448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240" w:type="dxa"/>
            <w:vAlign w:val="bottom"/>
            <w:gridSpan w:val="5"/>
          </w:tcPr>
          <w:p>
            <w:pPr>
              <w:jc w:val="right"/>
              <w:ind w:right="800"/>
              <w:spacing w:after="0"/>
              <w:rPr>
                <w:sz w:val="20"/>
                <w:szCs w:val="20"/>
                <w:color w:val="auto"/>
              </w:rPr>
            </w:pPr>
            <w:r>
              <w:rPr>
                <w:rFonts w:ascii="Arial" w:cs="Arial" w:eastAsia="Arial" w:hAnsi="Arial"/>
                <w:sz w:val="13"/>
                <w:szCs w:val="13"/>
                <w:b w:val="1"/>
                <w:bCs w:val="1"/>
                <w:color w:val="auto"/>
              </w:rPr>
              <w:t>Three Months Ended</w:t>
            </w: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48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2240" w:type="dxa"/>
            <w:vAlign w:val="bottom"/>
            <w:gridSpan w:val="5"/>
          </w:tcPr>
          <w:p>
            <w:pPr>
              <w:jc w:val="right"/>
              <w:ind w:right="1120"/>
              <w:spacing w:after="0"/>
              <w:rPr>
                <w:sz w:val="20"/>
                <w:szCs w:val="20"/>
                <w:color w:val="auto"/>
              </w:rPr>
            </w:pPr>
            <w:r>
              <w:rPr>
                <w:rFonts w:ascii="Arial" w:cs="Arial" w:eastAsia="Arial" w:hAnsi="Arial"/>
                <w:sz w:val="13"/>
                <w:szCs w:val="13"/>
                <w:b w:val="1"/>
                <w:bCs w:val="1"/>
                <w:color w:val="auto"/>
              </w:rPr>
              <w:t>March 31,</w:t>
            </w:r>
          </w:p>
        </w:tc>
        <w:tc>
          <w:tcPr>
            <w:tcW w:w="560" w:type="dxa"/>
            <w:vAlign w:val="bottom"/>
          </w:tcPr>
          <w:p>
            <w:pPr>
              <w:spacing w:after="0"/>
              <w:rPr>
                <w:sz w:val="13"/>
                <w:szCs w:val="13"/>
                <w:color w:val="auto"/>
              </w:rPr>
            </w:pPr>
          </w:p>
        </w:tc>
        <w:tc>
          <w:tcPr>
            <w:tcW w:w="840" w:type="dxa"/>
            <w:vAlign w:val="bottom"/>
            <w:gridSpan w:val="2"/>
            <w:vMerge w:val="restart"/>
          </w:tcPr>
          <w:p>
            <w:pPr>
              <w:jc w:val="right"/>
              <w:ind w:right="44"/>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4480" w:type="dxa"/>
            <w:vAlign w:val="bottom"/>
          </w:tcPr>
          <w:p>
            <w:pPr>
              <w:spacing w:after="0"/>
              <w:rPr>
                <w:sz w:val="9"/>
                <w:szCs w:val="9"/>
                <w:color w:val="auto"/>
              </w:rPr>
            </w:pPr>
          </w:p>
        </w:tc>
        <w:tc>
          <w:tcPr>
            <w:tcW w:w="2180" w:type="dxa"/>
            <w:vAlign w:val="bottom"/>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48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560" w:type="dxa"/>
            <w:vAlign w:val="bottom"/>
          </w:tcPr>
          <w:p>
            <w:pPr>
              <w:jc w:val="right"/>
              <w:ind w:right="66"/>
              <w:spacing w:after="0"/>
              <w:rPr>
                <w:sz w:val="20"/>
                <w:szCs w:val="20"/>
                <w:color w:val="auto"/>
              </w:rPr>
            </w:pPr>
            <w:r>
              <w:rPr>
                <w:rFonts w:ascii="Arial" w:cs="Arial" w:eastAsia="Arial" w:hAnsi="Arial"/>
                <w:sz w:val="13"/>
                <w:szCs w:val="13"/>
                <w:b w:val="1"/>
                <w:bCs w:val="1"/>
                <w:color w:val="auto"/>
              </w:rPr>
              <w:t>2012</w:t>
            </w: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jc w:val="right"/>
              <w:ind w:right="84"/>
              <w:spacing w:after="0"/>
              <w:rPr>
                <w:sz w:val="20"/>
                <w:szCs w:val="20"/>
                <w:color w:val="auto"/>
              </w:rPr>
            </w:pPr>
            <w:r>
              <w:rPr>
                <w:rFonts w:ascii="Arial" w:cs="Arial" w:eastAsia="Arial" w:hAnsi="Arial"/>
                <w:sz w:val="13"/>
                <w:szCs w:val="13"/>
                <w:b w:val="1"/>
                <w:bCs w:val="1"/>
                <w:color w:val="auto"/>
              </w:rPr>
              <w:t>2011</w:t>
            </w:r>
          </w:p>
        </w:tc>
        <w:tc>
          <w:tcPr>
            <w:tcW w:w="5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b w:val="1"/>
                <w:bCs w:val="1"/>
                <w:color w:val="auto"/>
                <w:w w:val="88"/>
              </w:rPr>
              <w:t>$ change</w:t>
            </w:r>
          </w:p>
        </w:tc>
        <w:tc>
          <w:tcPr>
            <w:tcW w:w="440" w:type="dxa"/>
            <w:vAlign w:val="bottom"/>
          </w:tcPr>
          <w:p>
            <w:pPr>
              <w:spacing w:after="0"/>
              <w:rPr>
                <w:sz w:val="13"/>
                <w:szCs w:val="13"/>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w w:val="83"/>
              </w:rPr>
              <w:t>change</w:t>
            </w:r>
          </w:p>
        </w:tc>
        <w:tc>
          <w:tcPr>
            <w:tcW w:w="0" w:type="dxa"/>
            <w:vAlign w:val="bottom"/>
          </w:tcPr>
          <w:p>
            <w:pPr>
              <w:spacing w:after="0"/>
              <w:rPr>
                <w:sz w:val="1"/>
                <w:szCs w:val="1"/>
                <w:color w:val="auto"/>
              </w:rPr>
            </w:pPr>
          </w:p>
        </w:tc>
      </w:tr>
      <w:tr>
        <w:trPr>
          <w:trHeight w:val="20"/>
        </w:trPr>
        <w:tc>
          <w:tcPr>
            <w:tcW w:w="4480" w:type="dxa"/>
            <w:vAlign w:val="bottom"/>
            <w:vMerge w:val="restart"/>
            <w:shd w:val="clear" w:color="auto" w:fill="CCEEFF"/>
          </w:tcPr>
          <w:p>
            <w:pPr>
              <w:spacing w:after="0"/>
              <w:rPr>
                <w:sz w:val="20"/>
                <w:szCs w:val="20"/>
                <w:color w:val="auto"/>
              </w:rPr>
            </w:pPr>
            <w:r>
              <w:rPr>
                <w:rFonts w:ascii="Arial" w:cs="Arial" w:eastAsia="Arial" w:hAnsi="Arial"/>
                <w:sz w:val="17"/>
                <w:szCs w:val="17"/>
                <w:color w:val="auto"/>
              </w:rPr>
              <w:t>National Networks</w:t>
            </w:r>
          </w:p>
        </w:tc>
        <w:tc>
          <w:tcPr>
            <w:tcW w:w="2180" w:type="dxa"/>
            <w:vAlign w:val="bottom"/>
            <w:vMerge w:val="restart"/>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480" w:type="dxa"/>
            <w:vAlign w:val="bottom"/>
            <w:vMerge w:val="continue"/>
            <w:shd w:val="clear" w:color="auto" w:fill="CCEEFF"/>
          </w:tcPr>
          <w:p>
            <w:pPr>
              <w:spacing w:after="0"/>
              <w:rPr>
                <w:sz w:val="17"/>
                <w:szCs w:val="17"/>
                <w:color w:val="auto"/>
              </w:rPr>
            </w:pPr>
          </w:p>
        </w:tc>
        <w:tc>
          <w:tcPr>
            <w:tcW w:w="2180" w:type="dxa"/>
            <w:vAlign w:val="bottom"/>
            <w:vMerge w:val="continue"/>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$83,616</w:t>
            </w:r>
          </w:p>
        </w:tc>
        <w:tc>
          <w:tcPr>
            <w:tcW w:w="360" w:type="dxa"/>
            <w:vAlign w:val="bottom"/>
            <w:vMerge w:val="continue"/>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$72,745</w:t>
            </w:r>
          </w:p>
        </w:tc>
        <w:tc>
          <w:tcPr>
            <w:tcW w:w="5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$10,871</w:t>
            </w:r>
          </w:p>
        </w:tc>
        <w:tc>
          <w:tcPr>
            <w:tcW w:w="440" w:type="dxa"/>
            <w:vAlign w:val="bottom"/>
            <w:vMerge w:val="continue"/>
            <w:shd w:val="clear" w:color="auto" w:fill="CCEEFF"/>
          </w:tcPr>
          <w:p>
            <w:pPr>
              <w:spacing w:after="0"/>
              <w:rPr>
                <w:sz w:val="17"/>
                <w:szCs w:val="17"/>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11"/>
        </w:trPr>
        <w:tc>
          <w:tcPr>
            <w:tcW w:w="4480" w:type="dxa"/>
            <w:vAlign w:val="bottom"/>
          </w:tcPr>
          <w:p>
            <w:pPr>
              <w:spacing w:after="0"/>
              <w:rPr>
                <w:sz w:val="20"/>
                <w:szCs w:val="20"/>
                <w:color w:val="auto"/>
              </w:rPr>
            </w:pPr>
            <w:r>
              <w:rPr>
                <w:rFonts w:ascii="Arial" w:cs="Arial" w:eastAsia="Arial" w:hAnsi="Arial"/>
                <w:sz w:val="17"/>
                <w:szCs w:val="17"/>
                <w:color w:val="auto"/>
              </w:rPr>
              <w:t>International and Other</w:t>
            </w:r>
          </w:p>
        </w:tc>
        <w:tc>
          <w:tcPr>
            <w:tcW w:w="3100" w:type="dxa"/>
            <w:vAlign w:val="bottom"/>
            <w:gridSpan w:val="3"/>
          </w:tcPr>
          <w:p>
            <w:pPr>
              <w:jc w:val="right"/>
              <w:ind w:right="360"/>
              <w:spacing w:after="0"/>
              <w:rPr>
                <w:sz w:val="20"/>
                <w:szCs w:val="20"/>
                <w:color w:val="auto"/>
              </w:rPr>
            </w:pPr>
            <w:r>
              <w:rPr>
                <w:rFonts w:ascii="Arial" w:cs="Arial" w:eastAsia="Arial" w:hAnsi="Arial"/>
                <w:sz w:val="17"/>
                <w:szCs w:val="17"/>
                <w:color w:val="auto"/>
              </w:rPr>
              <w:t>15,692</w:t>
            </w: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14,347</w:t>
            </w:r>
          </w:p>
        </w:tc>
        <w:tc>
          <w:tcPr>
            <w:tcW w:w="5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1,345</w:t>
            </w: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480" w:type="dxa"/>
            <w:vAlign w:val="bottom"/>
            <w:shd w:val="clear" w:color="auto" w:fill="CCEEFF"/>
          </w:tcPr>
          <w:p>
            <w:pPr>
              <w:spacing w:after="0"/>
              <w:rPr>
                <w:sz w:val="20"/>
                <w:szCs w:val="20"/>
                <w:color w:val="auto"/>
              </w:rPr>
            </w:pPr>
            <w:r>
              <w:rPr>
                <w:rFonts w:ascii="Arial" w:cs="Arial" w:eastAsia="Arial" w:hAnsi="Arial"/>
                <w:sz w:val="17"/>
                <w:szCs w:val="17"/>
                <w:color w:val="auto"/>
              </w:rPr>
              <w:t>Inter-segment eliminations</w:t>
            </w:r>
          </w:p>
        </w:tc>
        <w:tc>
          <w:tcPr>
            <w:tcW w:w="2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(86)</w:t>
            </w:r>
          </w:p>
        </w:tc>
        <w:tc>
          <w:tcPr>
            <w:tcW w:w="1320" w:type="dxa"/>
            <w:vAlign w:val="bottom"/>
            <w:gridSpan w:val="3"/>
            <w:shd w:val="clear" w:color="auto" w:fill="CCEEFF"/>
          </w:tcPr>
          <w:p>
            <w:pPr>
              <w:jc w:val="right"/>
              <w:ind w:right="500"/>
              <w:spacing w:after="0"/>
              <w:rPr>
                <w:sz w:val="20"/>
                <w:szCs w:val="20"/>
                <w:color w:val="auto"/>
              </w:rPr>
            </w:pPr>
            <w:r>
              <w:rPr>
                <w:rFonts w:ascii="Arial" w:cs="Arial" w:eastAsia="Arial" w:hAnsi="Arial"/>
                <w:sz w:val="17"/>
                <w:szCs w:val="17"/>
                <w:color w:val="auto"/>
              </w:rPr>
              <w:t>(171)</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w:t>
            </w: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(50)</w:t>
            </w:r>
          </w:p>
        </w:tc>
        <w:tc>
          <w:tcPr>
            <w:tcW w:w="0" w:type="dxa"/>
            <w:vAlign w:val="bottom"/>
          </w:tcPr>
          <w:p>
            <w:pPr>
              <w:spacing w:after="0"/>
              <w:rPr>
                <w:sz w:val="1"/>
                <w:szCs w:val="1"/>
                <w:color w:val="auto"/>
              </w:rPr>
            </w:pPr>
          </w:p>
        </w:tc>
      </w:tr>
      <w:tr>
        <w:trPr>
          <w:trHeight w:val="20"/>
        </w:trPr>
        <w:tc>
          <w:tcPr>
            <w:tcW w:w="4480" w:type="dxa"/>
            <w:vAlign w:val="bottom"/>
            <w:vMerge w:val="restart"/>
          </w:tcPr>
          <w:p>
            <w:pPr>
              <w:ind w:left="420"/>
              <w:spacing w:after="0"/>
              <w:rPr>
                <w:sz w:val="20"/>
                <w:szCs w:val="20"/>
                <w:color w:val="auto"/>
              </w:rPr>
            </w:pPr>
            <w:r>
              <w:rPr>
                <w:rFonts w:ascii="Arial" w:cs="Arial" w:eastAsia="Arial" w:hAnsi="Arial"/>
                <w:sz w:val="17"/>
                <w:szCs w:val="17"/>
                <w:color w:val="auto"/>
              </w:rPr>
              <w:t>Total</w:t>
            </w:r>
          </w:p>
        </w:tc>
        <w:tc>
          <w:tcPr>
            <w:tcW w:w="21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40" w:type="dxa"/>
            <w:vAlign w:val="bottom"/>
            <w:gridSpan w:val="3"/>
            <w:vMerge w:val="restart"/>
          </w:tcPr>
          <w:p>
            <w:pPr>
              <w:jc w:val="right"/>
              <w:ind w:right="60"/>
              <w:spacing w:after="0"/>
              <w:rPr>
                <w:sz w:val="20"/>
                <w:szCs w:val="20"/>
                <w:color w:val="auto"/>
              </w:rPr>
            </w:pPr>
            <w:r>
              <w:rPr>
                <w:rFonts w:ascii="Arial" w:cs="Arial" w:eastAsia="Arial" w:hAnsi="Arial"/>
                <w:sz w:val="17"/>
                <w:szCs w:val="17"/>
                <w:color w:val="auto"/>
              </w:rPr>
              <w:t>14%</w:t>
            </w:r>
          </w:p>
        </w:tc>
        <w:tc>
          <w:tcPr>
            <w:tcW w:w="0" w:type="dxa"/>
            <w:vAlign w:val="bottom"/>
          </w:tcPr>
          <w:p>
            <w:pPr>
              <w:spacing w:after="0" w:line="20" w:lineRule="exact"/>
              <w:rPr>
                <w:sz w:val="1"/>
                <w:szCs w:val="1"/>
                <w:color w:val="auto"/>
              </w:rPr>
            </w:pPr>
          </w:p>
        </w:tc>
      </w:tr>
      <w:tr>
        <w:trPr>
          <w:trHeight w:val="216"/>
        </w:trPr>
        <w:tc>
          <w:tcPr>
            <w:tcW w:w="4480" w:type="dxa"/>
            <w:vAlign w:val="bottom"/>
            <w:vMerge w:val="continue"/>
          </w:tcPr>
          <w:p>
            <w:pPr>
              <w:spacing w:after="0"/>
              <w:rPr>
                <w:sz w:val="18"/>
                <w:szCs w:val="18"/>
                <w:color w:val="auto"/>
              </w:rPr>
            </w:pPr>
          </w:p>
        </w:tc>
        <w:tc>
          <w:tcPr>
            <w:tcW w:w="3100" w:type="dxa"/>
            <w:vAlign w:val="bottom"/>
            <w:gridSpan w:val="3"/>
          </w:tcPr>
          <w:p>
            <w:pPr>
              <w:jc w:val="right"/>
              <w:ind w:right="36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99,222</w:t>
            </w:r>
          </w:p>
        </w:tc>
        <w:tc>
          <w:tcPr>
            <w:tcW w:w="76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86,921</w:t>
            </w:r>
          </w:p>
        </w:tc>
        <w:tc>
          <w:tcPr>
            <w:tcW w:w="5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u w:val="single" w:color="auto"/>
                <w:color w:val="auto"/>
                <w:w w:val="87"/>
              </w:rPr>
              <w:t>$</w:t>
            </w:r>
            <w:r>
              <w:rPr>
                <w:rFonts w:ascii="Arial" w:cs="Arial" w:eastAsia="Arial" w:hAnsi="Arial"/>
                <w:sz w:val="17"/>
                <w:szCs w:val="17"/>
                <w:color w:val="auto"/>
                <w:w w:val="87"/>
              </w:rPr>
              <w:t>12,301</w:t>
            </w:r>
          </w:p>
        </w:tc>
        <w:tc>
          <w:tcPr>
            <w:tcW w:w="104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44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Percentage of revenues, net</w:t>
            </w:r>
          </w:p>
        </w:tc>
        <w:tc>
          <w:tcPr>
            <w:tcW w:w="310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30%</w:t>
            </w:r>
          </w:p>
        </w:tc>
        <w:tc>
          <w:tcPr>
            <w:tcW w:w="1320" w:type="dxa"/>
            <w:vAlign w:val="bottom"/>
            <w:gridSpan w:val="3"/>
            <w:shd w:val="clear" w:color="auto" w:fill="CCEEFF"/>
          </w:tcPr>
          <w:p>
            <w:pPr>
              <w:jc w:val="right"/>
              <w:ind w:right="420"/>
              <w:spacing w:after="0"/>
              <w:rPr>
                <w:sz w:val="20"/>
                <w:szCs w:val="20"/>
                <w:color w:val="auto"/>
              </w:rPr>
            </w:pPr>
            <w:r>
              <w:rPr>
                <w:rFonts w:ascii="Arial" w:cs="Arial" w:eastAsia="Arial" w:hAnsi="Arial"/>
                <w:sz w:val="17"/>
                <w:szCs w:val="17"/>
                <w:color w:val="auto"/>
              </w:rPr>
              <w:t>32%</w:t>
            </w:r>
          </w:p>
        </w:tc>
        <w:tc>
          <w:tcPr>
            <w:tcW w:w="5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National Networks</w:t>
      </w:r>
    </w:p>
    <w:p>
      <w:pPr>
        <w:spacing w:after="0" w:line="94" w:lineRule="exact"/>
        <w:rPr>
          <w:sz w:val="20"/>
          <w:szCs w:val="20"/>
          <w:color w:val="auto"/>
        </w:rPr>
      </w:pPr>
    </w:p>
    <w:p>
      <w:pPr>
        <w:ind w:firstLine="457"/>
        <w:spacing w:after="0" w:line="265" w:lineRule="auto"/>
        <w:rPr>
          <w:sz w:val="20"/>
          <w:szCs w:val="20"/>
          <w:color w:val="auto"/>
        </w:rPr>
      </w:pPr>
      <w:r>
        <w:rPr>
          <w:rFonts w:ascii="Arial" w:cs="Arial" w:eastAsia="Arial" w:hAnsi="Arial"/>
          <w:sz w:val="17"/>
          <w:szCs w:val="17"/>
          <w:color w:val="auto"/>
        </w:rPr>
        <w:t>The increase in the National Networks segment consists of an increase of $16,678 for sales and marketing expenses principally due to a higher number of original programming series during the three months ended March 31, 2012 as well as a net increase in other general and administrative costs of $1,531 primarily due to higher employee related expenses and costs incurred in connection with becoming a stand-alone public company net of a reduction of corporate allocations from Cablevision following the Distribution. These increases were partially offset by a reduction of $6,740 in management fees as well as a decrease of $598 in share-based compensation expense and expenses relating to long-term incentive plans.</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32</w:t>
      </w:r>
    </w:p>
    <w:p>
      <w:pPr>
        <w:sectPr>
          <w:pgSz w:w="11900" w:h="16838" w:orient="portrait"/>
          <w:cols w:equalWidth="0" w:num="1">
            <w:col w:w="11360"/>
          </w:cols>
          <w:pgMar w:left="240" w:top="451" w:right="299" w:bottom="1440" w:gutter="0" w:footer="0" w:header="0"/>
        </w:sectPr>
      </w:pPr>
    </w:p>
    <w:bookmarkStart w:id="32" w:name="page33"/>
    <w:bookmarkEnd w:id="3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ind w:right="240" w:firstLine="457"/>
        <w:spacing w:after="0" w:line="271" w:lineRule="auto"/>
        <w:rPr>
          <w:sz w:val="20"/>
          <w:szCs w:val="20"/>
          <w:color w:val="auto"/>
        </w:rPr>
      </w:pPr>
      <w:r>
        <w:rPr>
          <w:rFonts w:ascii="Arial" w:cs="Arial" w:eastAsia="Arial" w:hAnsi="Arial"/>
          <w:sz w:val="17"/>
          <w:szCs w:val="17"/>
          <w:color w:val="auto"/>
        </w:rPr>
        <w:t>Prior to the Distribution, pursuant to a consulting agreement with Cablevision, we paid a management fee calculated based on certain subsidiaries’ gross revenues (as defined under the terms of the consulting agreement) on a monthly basis. We terminated the consulting agreement on the Distribution date and did not replace it.</w:t>
      </w:r>
    </w:p>
    <w:p>
      <w:pPr>
        <w:spacing w:after="0" w:line="128" w:lineRule="exact"/>
        <w:rPr>
          <w:sz w:val="20"/>
          <w:szCs w:val="20"/>
          <w:color w:val="auto"/>
        </w:rPr>
      </w:pPr>
    </w:p>
    <w:p>
      <w:pPr>
        <w:ind w:right="200" w:firstLine="457"/>
        <w:spacing w:after="0" w:line="284" w:lineRule="auto"/>
        <w:rPr>
          <w:sz w:val="20"/>
          <w:szCs w:val="20"/>
          <w:color w:val="auto"/>
        </w:rPr>
      </w:pPr>
      <w:r>
        <w:rPr>
          <w:rFonts w:ascii="Arial" w:cs="Arial" w:eastAsia="Arial" w:hAnsi="Arial"/>
          <w:sz w:val="17"/>
          <w:szCs w:val="17"/>
          <w:color w:val="auto"/>
        </w:rPr>
        <w:t>There may be significant changes in the level of our selling, general and administrative expenses from quarter to quarter and year to year due to the timing of promotion and marketing of original programming.</w:t>
      </w:r>
    </w:p>
    <w:p>
      <w:pPr>
        <w:spacing w:after="0" w:line="196"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International and Other</w:t>
      </w:r>
    </w:p>
    <w:p>
      <w:pPr>
        <w:spacing w:after="0" w:line="94" w:lineRule="exact"/>
        <w:rPr>
          <w:sz w:val="20"/>
          <w:szCs w:val="20"/>
          <w:color w:val="auto"/>
        </w:rPr>
      </w:pPr>
    </w:p>
    <w:p>
      <w:pPr>
        <w:ind w:right="80" w:firstLine="457"/>
        <w:spacing w:after="0" w:line="285" w:lineRule="auto"/>
        <w:rPr>
          <w:sz w:val="20"/>
          <w:szCs w:val="20"/>
          <w:color w:val="auto"/>
        </w:rPr>
      </w:pPr>
      <w:r>
        <w:rPr>
          <w:rFonts w:ascii="Arial" w:cs="Arial" w:eastAsia="Arial" w:hAnsi="Arial"/>
          <w:sz w:val="16"/>
          <w:szCs w:val="16"/>
          <w:color w:val="auto"/>
        </w:rPr>
        <w:t>The increase in the International and Other segment consists of an increase of $2,791 for selling, marketing and advertising costs primarily at IFC Films due to increased spending on titles being distributed and a net increase of $646 for general and administrative costs incurred in connection with becoming a stand-alone public company, net of a reduction of corporate allocations from Cablevision following the Distribution. Such increases are partially offset by a decrease of $2,003 related to VOOM HD due primarily to lower legal fees and other related costs and expenses in connection with the DISH Network contract dispute and a decrease in share-based compensation expense and expenses relating to long-term incentive plans of $89.</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Depreciation and amortization</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Depreciation and amortization increased $125 to $25,051 for the three months ended March 31, 2012 as compared to the three months ended March 31, 2011.</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The change by segment was as follows:</w:t>
      </w:r>
    </w:p>
    <w:p>
      <w:pPr>
        <w:spacing w:after="0" w:line="198"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422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1600" w:type="dxa"/>
            <w:vAlign w:val="bottom"/>
            <w:gridSpan w:val="3"/>
          </w:tcPr>
          <w:p>
            <w:pPr>
              <w:jc w:val="right"/>
              <w:ind w:right="121"/>
              <w:spacing w:after="0"/>
              <w:rPr>
                <w:sz w:val="20"/>
                <w:szCs w:val="20"/>
                <w:color w:val="auto"/>
              </w:rPr>
            </w:pPr>
            <w:r>
              <w:rPr>
                <w:rFonts w:ascii="Arial" w:cs="Arial" w:eastAsia="Arial" w:hAnsi="Arial"/>
                <w:sz w:val="13"/>
                <w:szCs w:val="13"/>
                <w:b w:val="1"/>
                <w:bCs w:val="1"/>
                <w:color w:val="auto"/>
              </w:rPr>
              <w:t>Three Months Ended</w:t>
            </w: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22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1600" w:type="dxa"/>
            <w:vAlign w:val="bottom"/>
            <w:tcBorders>
              <w:bottom w:val="single" w:sz="8" w:color="auto"/>
            </w:tcBorders>
            <w:gridSpan w:val="3"/>
          </w:tcPr>
          <w:p>
            <w:pPr>
              <w:jc w:val="right"/>
              <w:ind w:right="441"/>
              <w:spacing w:after="0"/>
              <w:rPr>
                <w:sz w:val="20"/>
                <w:szCs w:val="20"/>
                <w:color w:val="auto"/>
              </w:rPr>
            </w:pPr>
            <w:r>
              <w:rPr>
                <w:rFonts w:ascii="Arial" w:cs="Arial" w:eastAsia="Arial" w:hAnsi="Arial"/>
                <w:sz w:val="13"/>
                <w:szCs w:val="13"/>
                <w:b w:val="1"/>
                <w:bCs w:val="1"/>
                <w:color w:val="auto"/>
              </w:rPr>
              <w:t>March 31,</w:t>
            </w: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gridSpan w:val="2"/>
            <w:vMerge w:val="restart"/>
          </w:tcPr>
          <w:p>
            <w:pPr>
              <w:jc w:val="right"/>
              <w:ind w:right="54"/>
              <w:spacing w:after="0"/>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4220" w:type="dxa"/>
            <w:vAlign w:val="bottom"/>
          </w:tcPr>
          <w:p>
            <w:pPr>
              <w:spacing w:after="0"/>
              <w:rPr>
                <w:sz w:val="9"/>
                <w:szCs w:val="9"/>
                <w:color w:val="auto"/>
              </w:rPr>
            </w:pPr>
          </w:p>
        </w:tc>
        <w:tc>
          <w:tcPr>
            <w:tcW w:w="2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22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560" w:type="dxa"/>
            <w:vAlign w:val="bottom"/>
          </w:tcPr>
          <w:p>
            <w:pPr>
              <w:jc w:val="right"/>
              <w:ind w:right="66"/>
              <w:spacing w:after="0"/>
              <w:rPr>
                <w:sz w:val="20"/>
                <w:szCs w:val="20"/>
                <w:color w:val="auto"/>
              </w:rPr>
            </w:pPr>
            <w:r>
              <w:rPr>
                <w:rFonts w:ascii="Arial" w:cs="Arial" w:eastAsia="Arial" w:hAnsi="Arial"/>
                <w:sz w:val="13"/>
                <w:szCs w:val="13"/>
                <w:b w:val="1"/>
                <w:bCs w:val="1"/>
                <w:color w:val="auto"/>
              </w:rPr>
              <w:t>2012</w:t>
            </w:r>
          </w:p>
        </w:tc>
        <w:tc>
          <w:tcPr>
            <w:tcW w:w="460" w:type="dxa"/>
            <w:vAlign w:val="bottom"/>
          </w:tcPr>
          <w:p>
            <w:pPr>
              <w:spacing w:after="0"/>
              <w:rPr>
                <w:sz w:val="13"/>
                <w:szCs w:val="13"/>
                <w:color w:val="auto"/>
              </w:rPr>
            </w:pPr>
          </w:p>
        </w:tc>
        <w:tc>
          <w:tcPr>
            <w:tcW w:w="580" w:type="dxa"/>
            <w:vAlign w:val="bottom"/>
          </w:tcPr>
          <w:p>
            <w:pPr>
              <w:jc w:val="right"/>
              <w:ind w:right="81"/>
              <w:spacing w:after="0"/>
              <w:rPr>
                <w:sz w:val="20"/>
                <w:szCs w:val="20"/>
                <w:color w:val="auto"/>
              </w:rPr>
            </w:pPr>
            <w:r>
              <w:rPr>
                <w:rFonts w:ascii="Arial" w:cs="Arial" w:eastAsia="Arial" w:hAnsi="Arial"/>
                <w:sz w:val="13"/>
                <w:szCs w:val="13"/>
                <w:b w:val="1"/>
                <w:bCs w:val="1"/>
                <w:color w:val="auto"/>
              </w:rPr>
              <w:t>2011</w:t>
            </w:r>
          </w:p>
        </w:tc>
        <w:tc>
          <w:tcPr>
            <w:tcW w:w="540" w:type="dxa"/>
            <w:vAlign w:val="bottom"/>
            <w:gridSpan w:val="2"/>
          </w:tcPr>
          <w:p>
            <w:pPr>
              <w:ind w:left="460"/>
              <w:spacing w:after="0"/>
              <w:rPr>
                <w:sz w:val="20"/>
                <w:szCs w:val="20"/>
                <w:color w:val="auto"/>
              </w:rPr>
            </w:pPr>
            <w:r>
              <w:rPr>
                <w:rFonts w:ascii="Arial" w:cs="Arial" w:eastAsia="Arial" w:hAnsi="Arial"/>
                <w:sz w:val="13"/>
                <w:szCs w:val="13"/>
                <w:b w:val="1"/>
                <w:bCs w:val="1"/>
                <w:color w:val="auto"/>
                <w:w w:val="82"/>
              </w:rPr>
              <w:t>$</w:t>
            </w:r>
          </w:p>
        </w:tc>
        <w:tc>
          <w:tcPr>
            <w:tcW w:w="68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w w:val="87"/>
              </w:rPr>
              <w:t>change</w:t>
            </w:r>
          </w:p>
        </w:tc>
        <w:tc>
          <w:tcPr>
            <w:tcW w:w="840" w:type="dxa"/>
            <w:vAlign w:val="bottom"/>
            <w:gridSpan w:val="3"/>
          </w:tcPr>
          <w:p>
            <w:pPr>
              <w:jc w:val="right"/>
              <w:ind w:right="240"/>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20"/>
        </w:trPr>
        <w:tc>
          <w:tcPr>
            <w:tcW w:w="4220" w:type="dxa"/>
            <w:vAlign w:val="bottom"/>
            <w:vMerge w:val="restart"/>
            <w:shd w:val="clear" w:color="auto" w:fill="CCEEFF"/>
          </w:tcPr>
          <w:p>
            <w:pPr>
              <w:spacing w:after="0"/>
              <w:rPr>
                <w:sz w:val="20"/>
                <w:szCs w:val="20"/>
                <w:color w:val="auto"/>
              </w:rPr>
            </w:pPr>
            <w:r>
              <w:rPr>
                <w:rFonts w:ascii="Arial" w:cs="Arial" w:eastAsia="Arial" w:hAnsi="Arial"/>
                <w:sz w:val="17"/>
                <w:szCs w:val="17"/>
                <w:color w:val="auto"/>
              </w:rPr>
              <w:t>National Networks</w:t>
            </w:r>
          </w:p>
        </w:tc>
        <w:tc>
          <w:tcPr>
            <w:tcW w:w="2620" w:type="dxa"/>
            <w:vAlign w:val="bottom"/>
            <w:vMerge w:val="restart"/>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220" w:type="dxa"/>
            <w:vAlign w:val="bottom"/>
            <w:vMerge w:val="continue"/>
            <w:shd w:val="clear" w:color="auto" w:fill="CCEEFF"/>
          </w:tcPr>
          <w:p>
            <w:pPr>
              <w:spacing w:after="0"/>
              <w:rPr>
                <w:sz w:val="17"/>
                <w:szCs w:val="17"/>
                <w:color w:val="auto"/>
              </w:rPr>
            </w:pPr>
          </w:p>
        </w:tc>
        <w:tc>
          <w:tcPr>
            <w:tcW w:w="2620" w:type="dxa"/>
            <w:vAlign w:val="bottom"/>
            <w:vMerge w:val="continue"/>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$21,305</w:t>
            </w:r>
          </w:p>
        </w:tc>
        <w:tc>
          <w:tcPr>
            <w:tcW w:w="460" w:type="dxa"/>
            <w:vAlign w:val="bottom"/>
            <w:vMerge w:val="continue"/>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$21,311</w:t>
            </w:r>
          </w:p>
        </w:tc>
        <w:tc>
          <w:tcPr>
            <w:tcW w:w="4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(6)</w:t>
            </w:r>
          </w:p>
        </w:tc>
        <w:tc>
          <w:tcPr>
            <w:tcW w:w="200" w:type="dxa"/>
            <w:vAlign w:val="bottom"/>
            <w:vMerge w:val="continue"/>
            <w:shd w:val="clear" w:color="auto" w:fill="CCEEFF"/>
          </w:tcPr>
          <w:p>
            <w:pPr>
              <w:spacing w:after="0"/>
              <w:rPr>
                <w:sz w:val="17"/>
                <w:szCs w:val="17"/>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17"/>
        </w:trPr>
        <w:tc>
          <w:tcPr>
            <w:tcW w:w="4220" w:type="dxa"/>
            <w:vAlign w:val="bottom"/>
          </w:tcPr>
          <w:p>
            <w:pPr>
              <w:spacing w:after="0"/>
              <w:rPr>
                <w:sz w:val="20"/>
                <w:szCs w:val="20"/>
                <w:color w:val="auto"/>
              </w:rPr>
            </w:pPr>
            <w:r>
              <w:rPr>
                <w:rFonts w:ascii="Arial" w:cs="Arial" w:eastAsia="Arial" w:hAnsi="Arial"/>
                <w:sz w:val="17"/>
                <w:szCs w:val="17"/>
                <w:color w:val="auto"/>
              </w:rPr>
              <w:t>International and Other</w:t>
            </w:r>
          </w:p>
        </w:tc>
        <w:tc>
          <w:tcPr>
            <w:tcW w:w="2620" w:type="dxa"/>
            <w:vAlign w:val="bottom"/>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3,746</w:t>
            </w:r>
          </w:p>
        </w:tc>
        <w:tc>
          <w:tcPr>
            <w:tcW w:w="460" w:type="dxa"/>
            <w:vAlign w:val="bottom"/>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3,615</w:t>
            </w:r>
          </w:p>
        </w:tc>
        <w:tc>
          <w:tcPr>
            <w:tcW w:w="4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131</w:t>
            </w:r>
          </w:p>
        </w:tc>
        <w:tc>
          <w:tcPr>
            <w:tcW w:w="260" w:type="dxa"/>
            <w:vAlign w:val="bottom"/>
          </w:tcPr>
          <w:p>
            <w:pPr>
              <w:spacing w:after="0"/>
              <w:rPr>
                <w:sz w:val="18"/>
                <w:szCs w:val="18"/>
                <w:color w:val="auto"/>
              </w:rPr>
            </w:pPr>
          </w:p>
        </w:tc>
        <w:tc>
          <w:tcPr>
            <w:tcW w:w="840" w:type="dxa"/>
            <w:vAlign w:val="bottom"/>
            <w:gridSpan w:val="3"/>
          </w:tcPr>
          <w:p>
            <w:pPr>
              <w:jc w:val="right"/>
              <w:ind w:right="240"/>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11"/>
        </w:trPr>
        <w:tc>
          <w:tcPr>
            <w:tcW w:w="4220" w:type="dxa"/>
            <w:vAlign w:val="bottom"/>
            <w:shd w:val="clear" w:color="auto" w:fill="CCEEFF"/>
          </w:tcPr>
          <w:p>
            <w:pPr>
              <w:spacing w:after="0"/>
              <w:rPr>
                <w:sz w:val="18"/>
                <w:szCs w:val="18"/>
                <w:color w:val="auto"/>
              </w:rPr>
            </w:pPr>
          </w:p>
        </w:tc>
        <w:tc>
          <w:tcPr>
            <w:tcW w:w="318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25,051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24,926</w:t>
            </w:r>
          </w:p>
        </w:tc>
        <w:tc>
          <w:tcPr>
            <w:tcW w:w="540" w:type="dxa"/>
            <w:vAlign w:val="bottom"/>
            <w:gridSpan w:val="2"/>
            <w:shd w:val="clear" w:color="auto" w:fill="CCEEFF"/>
          </w:tcPr>
          <w:p>
            <w:pPr>
              <w:ind w:left="460"/>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125</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AOCF</w:t>
      </w:r>
    </w:p>
    <w:p>
      <w:pPr>
        <w:spacing w:after="0" w:line="100" w:lineRule="exact"/>
        <w:rPr>
          <w:sz w:val="20"/>
          <w:szCs w:val="20"/>
          <w:color w:val="auto"/>
        </w:rPr>
      </w:pPr>
    </w:p>
    <w:p>
      <w:pPr>
        <w:ind w:right="20" w:firstLine="457"/>
        <w:spacing w:after="0" w:line="284" w:lineRule="auto"/>
        <w:rPr>
          <w:sz w:val="20"/>
          <w:szCs w:val="20"/>
          <w:color w:val="auto"/>
        </w:rPr>
      </w:pPr>
      <w:r>
        <w:rPr>
          <w:rFonts w:ascii="Arial" w:cs="Arial" w:eastAsia="Arial" w:hAnsi="Arial"/>
          <w:sz w:val="17"/>
          <w:szCs w:val="17"/>
          <w:color w:val="auto"/>
        </w:rPr>
        <w:t>AOCF increased $26,122 for the three months ended March 31, 2012 as compared to the three months ended March 31, 2011. The net increase by segment was as follows:</w:t>
      </w:r>
    </w:p>
    <w:p>
      <w:pPr>
        <w:spacing w:after="0" w:line="147"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6600" w:type="dxa"/>
            <w:vAlign w:val="bottom"/>
          </w:tcPr>
          <w:p>
            <w:pPr>
              <w:spacing w:after="0"/>
              <w:rPr>
                <w:sz w:val="12"/>
                <w:szCs w:val="12"/>
                <w:color w:val="auto"/>
              </w:rPr>
            </w:pPr>
          </w:p>
        </w:tc>
        <w:tc>
          <w:tcPr>
            <w:tcW w:w="2060" w:type="dxa"/>
            <w:vAlign w:val="bottom"/>
            <w:gridSpan w:val="5"/>
          </w:tcPr>
          <w:p>
            <w:pPr>
              <w:jc w:val="right"/>
              <w:ind w:right="560"/>
              <w:spacing w:after="0"/>
              <w:rPr>
                <w:sz w:val="20"/>
                <w:szCs w:val="20"/>
                <w:color w:val="auto"/>
              </w:rPr>
            </w:pPr>
            <w:r>
              <w:rPr>
                <w:rFonts w:ascii="Arial" w:cs="Arial" w:eastAsia="Arial" w:hAnsi="Arial"/>
                <w:sz w:val="13"/>
                <w:szCs w:val="13"/>
                <w:b w:val="1"/>
                <w:bCs w:val="1"/>
                <w:color w:val="auto"/>
              </w:rPr>
              <w:t>Three Months Ended</w:t>
            </w: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6600" w:type="dxa"/>
            <w:vAlign w:val="bottom"/>
          </w:tcPr>
          <w:p>
            <w:pPr>
              <w:spacing w:after="0"/>
              <w:rPr>
                <w:sz w:val="13"/>
                <w:szCs w:val="13"/>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March 31,</w:t>
            </w:r>
          </w:p>
        </w:tc>
        <w:tc>
          <w:tcPr>
            <w:tcW w:w="56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vMerge w:val="restart"/>
          </w:tcPr>
          <w:p>
            <w:pPr>
              <w:ind w:left="140"/>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6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6600" w:type="dxa"/>
            <w:vAlign w:val="bottom"/>
          </w:tcPr>
          <w:p>
            <w:pPr>
              <w:spacing w:after="0"/>
              <w:rPr>
                <w:sz w:val="13"/>
                <w:szCs w:val="13"/>
                <w:color w:val="auto"/>
              </w:rPr>
            </w:pPr>
          </w:p>
        </w:tc>
        <w:tc>
          <w:tcPr>
            <w:tcW w:w="660" w:type="dxa"/>
            <w:vAlign w:val="bottom"/>
          </w:tcPr>
          <w:p>
            <w:pPr>
              <w:jc w:val="right"/>
              <w:ind w:right="123"/>
              <w:spacing w:after="0"/>
              <w:rPr>
                <w:sz w:val="20"/>
                <w:szCs w:val="20"/>
                <w:color w:val="auto"/>
              </w:rPr>
            </w:pPr>
            <w:r>
              <w:rPr>
                <w:rFonts w:ascii="Arial" w:cs="Arial" w:eastAsia="Arial" w:hAnsi="Arial"/>
                <w:sz w:val="13"/>
                <w:szCs w:val="13"/>
                <w:b w:val="1"/>
                <w:bCs w:val="1"/>
                <w:color w:val="auto"/>
              </w:rPr>
              <w:t>2012</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118"/>
              <w:spacing w:after="0"/>
              <w:rPr>
                <w:sz w:val="20"/>
                <w:szCs w:val="20"/>
                <w:color w:val="auto"/>
              </w:rPr>
            </w:pPr>
            <w:r>
              <w:rPr>
                <w:rFonts w:ascii="Arial" w:cs="Arial" w:eastAsia="Arial" w:hAnsi="Arial"/>
                <w:sz w:val="13"/>
                <w:szCs w:val="13"/>
                <w:b w:val="1"/>
                <w:bCs w:val="1"/>
                <w:color w:val="auto"/>
              </w:rPr>
              <w:t>2011</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b w:val="1"/>
                <w:bCs w:val="1"/>
                <w:color w:val="auto"/>
                <w:w w:val="92"/>
              </w:rPr>
              <w:t>$ change</w:t>
            </w:r>
          </w:p>
        </w:tc>
        <w:tc>
          <w:tcPr>
            <w:tcW w:w="460" w:type="dxa"/>
            <w:vAlign w:val="bottom"/>
          </w:tcPr>
          <w:p>
            <w:pPr>
              <w:spacing w:after="0"/>
              <w:rPr>
                <w:sz w:val="13"/>
                <w:szCs w:val="13"/>
                <w:color w:val="auto"/>
              </w:rPr>
            </w:pPr>
          </w:p>
        </w:tc>
        <w:tc>
          <w:tcPr>
            <w:tcW w:w="600" w:type="dxa"/>
            <w:vAlign w:val="bottom"/>
            <w:gridSpan w:val="2"/>
          </w:tcPr>
          <w:p>
            <w:pPr>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20"/>
        </w:trPr>
        <w:tc>
          <w:tcPr>
            <w:tcW w:w="6600" w:type="dxa"/>
            <w:vAlign w:val="bottom"/>
            <w:vMerge w:val="restart"/>
            <w:shd w:val="clear" w:color="auto" w:fill="CCEEFF"/>
          </w:tcPr>
          <w:p>
            <w:pPr>
              <w:spacing w:after="0"/>
              <w:rPr>
                <w:sz w:val="20"/>
                <w:szCs w:val="20"/>
                <w:color w:val="auto"/>
              </w:rPr>
            </w:pPr>
            <w:r>
              <w:rPr>
                <w:rFonts w:ascii="Arial" w:cs="Arial" w:eastAsia="Arial" w:hAnsi="Arial"/>
                <w:sz w:val="17"/>
                <w:szCs w:val="17"/>
                <w:color w:val="auto"/>
              </w:rPr>
              <w:t>National Networks</w:t>
            </w:r>
          </w:p>
        </w:tc>
        <w:tc>
          <w:tcPr>
            <w:tcW w:w="660" w:type="dxa"/>
            <w:vAlign w:val="bottom"/>
            <w:shd w:val="clear" w:color="auto" w:fill="000000"/>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600" w:type="dxa"/>
            <w:vAlign w:val="bottom"/>
            <w:vMerge w:val="continue"/>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0"/>
              </w:rPr>
              <w:t>$133,372</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106,356</w:t>
            </w:r>
          </w:p>
        </w:tc>
        <w:tc>
          <w:tcPr>
            <w:tcW w:w="260" w:type="dxa"/>
            <w:vAlign w:val="bottom"/>
            <w:vMerge w:val="continue"/>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$27,016</w:t>
            </w:r>
          </w:p>
        </w:tc>
        <w:tc>
          <w:tcPr>
            <w:tcW w:w="4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w w:val="99"/>
              </w:rPr>
              <w:t>25%</w:t>
            </w:r>
          </w:p>
        </w:tc>
        <w:tc>
          <w:tcPr>
            <w:tcW w:w="0" w:type="dxa"/>
            <w:vAlign w:val="bottom"/>
          </w:tcPr>
          <w:p>
            <w:pPr>
              <w:spacing w:after="0"/>
              <w:rPr>
                <w:sz w:val="1"/>
                <w:szCs w:val="1"/>
                <w:color w:val="auto"/>
              </w:rPr>
            </w:pPr>
          </w:p>
        </w:tc>
      </w:tr>
      <w:tr>
        <w:trPr>
          <w:trHeight w:val="211"/>
        </w:trPr>
        <w:tc>
          <w:tcPr>
            <w:tcW w:w="6600" w:type="dxa"/>
            <w:vAlign w:val="bottom"/>
          </w:tcPr>
          <w:p>
            <w:pPr>
              <w:spacing w:after="0"/>
              <w:rPr>
                <w:sz w:val="20"/>
                <w:szCs w:val="20"/>
                <w:color w:val="auto"/>
              </w:rPr>
            </w:pPr>
            <w:r>
              <w:rPr>
                <w:rFonts w:ascii="Arial" w:cs="Arial" w:eastAsia="Arial" w:hAnsi="Arial"/>
                <w:sz w:val="17"/>
                <w:szCs w:val="17"/>
                <w:color w:val="auto"/>
              </w:rPr>
              <w:t>International and Other</w:t>
            </w:r>
          </w:p>
        </w:tc>
        <w:tc>
          <w:tcPr>
            <w:tcW w:w="1140" w:type="dxa"/>
            <w:vAlign w:val="bottom"/>
            <w:gridSpan w:val="2"/>
          </w:tcPr>
          <w:p>
            <w:pPr>
              <w:jc w:val="right"/>
              <w:ind w:right="420"/>
              <w:spacing w:after="0"/>
              <w:rPr>
                <w:sz w:val="20"/>
                <w:szCs w:val="20"/>
                <w:color w:val="auto"/>
              </w:rPr>
            </w:pPr>
            <w:r>
              <w:rPr>
                <w:rFonts w:ascii="Arial" w:cs="Arial" w:eastAsia="Arial" w:hAnsi="Arial"/>
                <w:sz w:val="17"/>
                <w:szCs w:val="17"/>
                <w:color w:val="auto"/>
              </w:rPr>
              <w:t>(8,207)</w:t>
            </w: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7"/>
                <w:szCs w:val="17"/>
                <w:color w:val="auto"/>
              </w:rPr>
              <w:t>(7,104)</w:t>
            </w:r>
          </w:p>
        </w:tc>
        <w:tc>
          <w:tcPr>
            <w:tcW w:w="1240" w:type="dxa"/>
            <w:vAlign w:val="bottom"/>
            <w:gridSpan w:val="3"/>
          </w:tcPr>
          <w:p>
            <w:pPr>
              <w:jc w:val="right"/>
              <w:ind w:right="400"/>
              <w:spacing w:after="0"/>
              <w:rPr>
                <w:sz w:val="20"/>
                <w:szCs w:val="20"/>
                <w:color w:val="auto"/>
              </w:rPr>
            </w:pPr>
            <w:r>
              <w:rPr>
                <w:rFonts w:ascii="Arial" w:cs="Arial" w:eastAsia="Arial" w:hAnsi="Arial"/>
                <w:sz w:val="17"/>
                <w:szCs w:val="17"/>
                <w:color w:val="auto"/>
              </w:rPr>
              <w:t>(1,103)</w:t>
            </w:r>
          </w:p>
        </w:tc>
        <w:tc>
          <w:tcPr>
            <w:tcW w:w="400" w:type="dxa"/>
            <w:vAlign w:val="bottom"/>
          </w:tcPr>
          <w:p>
            <w:pPr>
              <w:ind w:left="240"/>
              <w:spacing w:after="0"/>
              <w:rPr>
                <w:sz w:val="20"/>
                <w:szCs w:val="20"/>
                <w:color w:val="auto"/>
              </w:rPr>
            </w:pPr>
            <w:r>
              <w:rPr>
                <w:rFonts w:ascii="Arial" w:cs="Arial" w:eastAsia="Arial" w:hAnsi="Arial"/>
                <w:sz w:val="17"/>
                <w:szCs w:val="17"/>
                <w:color w:val="auto"/>
                <w:w w:val="73"/>
              </w:rPr>
              <w:t>16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600" w:type="dxa"/>
            <w:vAlign w:val="bottom"/>
            <w:shd w:val="clear" w:color="auto" w:fill="CCEEFF"/>
          </w:tcPr>
          <w:p>
            <w:pPr>
              <w:spacing w:after="0"/>
              <w:rPr>
                <w:sz w:val="20"/>
                <w:szCs w:val="20"/>
                <w:color w:val="auto"/>
              </w:rPr>
            </w:pPr>
            <w:r>
              <w:rPr>
                <w:rFonts w:ascii="Arial" w:cs="Arial" w:eastAsia="Arial" w:hAnsi="Arial"/>
                <w:sz w:val="17"/>
                <w:szCs w:val="17"/>
                <w:color w:val="auto"/>
              </w:rPr>
              <w:t>Inter-segment eliminations</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505</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296</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209</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ind w:left="240"/>
              <w:spacing w:after="0"/>
              <w:rPr>
                <w:sz w:val="20"/>
                <w:szCs w:val="20"/>
                <w:color w:val="auto"/>
              </w:rPr>
            </w:pPr>
            <w:r>
              <w:rPr>
                <w:rFonts w:ascii="Arial" w:cs="Arial" w:eastAsia="Arial" w:hAnsi="Arial"/>
                <w:sz w:val="17"/>
                <w:szCs w:val="17"/>
                <w:color w:val="auto"/>
                <w:w w:val="73"/>
              </w:rPr>
              <w:t>71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7"/>
                <w:szCs w:val="17"/>
                <w:color w:val="auto"/>
              </w:rPr>
              <w:t>AOCF</w:t>
            </w:r>
          </w:p>
        </w:tc>
        <w:tc>
          <w:tcPr>
            <w:tcW w:w="660" w:type="dxa"/>
            <w:vAlign w:val="bottom"/>
          </w:tcPr>
          <w:p>
            <w:pPr>
              <w:jc w:val="right"/>
              <w:spacing w:after="0"/>
              <w:rPr>
                <w:sz w:val="20"/>
                <w:szCs w:val="20"/>
                <w:color w:val="auto"/>
              </w:rPr>
            </w:pPr>
            <w:r>
              <w:rPr>
                <w:rFonts w:ascii="Arial" w:cs="Arial" w:eastAsia="Arial" w:hAnsi="Arial"/>
                <w:sz w:val="17"/>
                <w:szCs w:val="17"/>
                <w:u w:val="single" w:color="auto"/>
                <w:color w:val="auto"/>
                <w:w w:val="90"/>
              </w:rPr>
              <w:t>$</w:t>
            </w:r>
            <w:r>
              <w:rPr>
                <w:rFonts w:ascii="Arial" w:cs="Arial" w:eastAsia="Arial" w:hAnsi="Arial"/>
                <w:sz w:val="17"/>
                <w:szCs w:val="17"/>
                <w:color w:val="auto"/>
                <w:w w:val="90"/>
              </w:rPr>
              <w:t>125,670</w:t>
            </w:r>
          </w:p>
        </w:tc>
        <w:tc>
          <w:tcPr>
            <w:tcW w:w="4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60"/>
              <w:spacing w:after="0"/>
              <w:rPr>
                <w:sz w:val="20"/>
                <w:szCs w:val="20"/>
                <w:color w:val="auto"/>
              </w:rPr>
            </w:pPr>
            <w:r>
              <w:rPr>
                <w:rFonts w:ascii="Arial" w:cs="Arial" w:eastAsia="Arial" w:hAnsi="Arial"/>
                <w:sz w:val="17"/>
                <w:szCs w:val="17"/>
                <w:color w:val="auto"/>
              </w:rPr>
              <w:t>99,548</w:t>
            </w:r>
          </w:p>
        </w:tc>
        <w:tc>
          <w:tcPr>
            <w:tcW w:w="78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26,122</w:t>
            </w:r>
          </w:p>
        </w:tc>
        <w:tc>
          <w:tcPr>
            <w:tcW w:w="460" w:type="dxa"/>
            <w:vAlign w:val="bottom"/>
          </w:tcPr>
          <w:p>
            <w:pPr>
              <w:spacing w:after="0"/>
              <w:rPr>
                <w:sz w:val="18"/>
                <w:szCs w:val="18"/>
                <w:color w:val="auto"/>
              </w:rPr>
            </w:pPr>
          </w:p>
        </w:tc>
        <w:tc>
          <w:tcPr>
            <w:tcW w:w="600" w:type="dxa"/>
            <w:vAlign w:val="bottom"/>
            <w:gridSpan w:val="2"/>
          </w:tcPr>
          <w:p>
            <w:pPr>
              <w:ind w:left="240"/>
              <w:spacing w:after="0"/>
              <w:rPr>
                <w:sz w:val="20"/>
                <w:szCs w:val="20"/>
                <w:color w:val="auto"/>
              </w:rPr>
            </w:pPr>
            <w:r>
              <w:rPr>
                <w:rFonts w:ascii="Arial" w:cs="Arial" w:eastAsia="Arial" w:hAnsi="Arial"/>
                <w:sz w:val="17"/>
                <w:szCs w:val="17"/>
                <w:color w:val="auto"/>
                <w:w w:val="99"/>
              </w:rPr>
              <w:t>26%</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3" w:lineRule="exact"/>
        <w:rPr>
          <w:sz w:val="20"/>
          <w:szCs w:val="20"/>
          <w:color w:val="auto"/>
        </w:rPr>
      </w:pPr>
    </w:p>
    <w:p>
      <w:pPr>
        <w:ind w:right="360" w:firstLine="457"/>
        <w:spacing w:after="0" w:line="271" w:lineRule="auto"/>
        <w:rPr>
          <w:sz w:val="20"/>
          <w:szCs w:val="20"/>
          <w:color w:val="auto"/>
        </w:rPr>
      </w:pPr>
      <w:r>
        <w:rPr>
          <w:rFonts w:ascii="Arial" w:cs="Arial" w:eastAsia="Arial" w:hAnsi="Arial"/>
          <w:sz w:val="17"/>
          <w:szCs w:val="17"/>
          <w:color w:val="auto"/>
        </w:rPr>
        <w:t>National Networks AOCF increased due to an increase in revenues, net of $52,378 and a decrease in management fees, partially offset by an increase in technical and operating expenses resulting primarily from an increase in amortization of program rights expense and marketing expense due to the increase in the number of original programming premieres.</w:t>
      </w:r>
    </w:p>
    <w:p>
      <w:pPr>
        <w:spacing w:after="0" w:line="128" w:lineRule="exact"/>
        <w:rPr>
          <w:sz w:val="20"/>
          <w:szCs w:val="20"/>
          <w:color w:val="auto"/>
        </w:rPr>
      </w:pPr>
    </w:p>
    <w:p>
      <w:pPr>
        <w:ind w:firstLine="457"/>
        <w:spacing w:after="0" w:line="354" w:lineRule="auto"/>
        <w:rPr>
          <w:sz w:val="20"/>
          <w:szCs w:val="20"/>
          <w:color w:val="auto"/>
        </w:rPr>
      </w:pPr>
      <w:r>
        <w:rPr>
          <w:rFonts w:ascii="Arial" w:cs="Arial" w:eastAsia="Arial" w:hAnsi="Arial"/>
          <w:sz w:val="15"/>
          <w:szCs w:val="15"/>
          <w:color w:val="auto"/>
        </w:rPr>
        <w:t>International and Other AOCF deficit increased due primarily to an increase in programming and transmission related costs and selling costs at AMC/Sundance Channel Global, partially offset by a decrease in legal fees and other costs in connection with the DISH Network contract dispute and an increase in revenues, net.</w:t>
      </w:r>
    </w:p>
    <w:p>
      <w:pPr>
        <w:spacing w:after="0" w:line="5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33</w:t>
      </w:r>
    </w:p>
    <w:p>
      <w:pPr>
        <w:sectPr>
          <w:pgSz w:w="11900" w:h="16838" w:orient="portrait"/>
          <w:cols w:equalWidth="0" w:num="1">
            <w:col w:w="11420"/>
          </w:cols>
          <w:pgMar w:left="240" w:top="451" w:right="239" w:bottom="1440" w:gutter="0" w:footer="0" w:header="0"/>
        </w:sectPr>
      </w:pPr>
    </w:p>
    <w:bookmarkStart w:id="33" w:name="page34"/>
    <w:bookmarkEnd w:id="3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Interest expense, net</w:t>
      </w:r>
    </w:p>
    <w:p>
      <w:pPr>
        <w:spacing w:after="0" w:line="100" w:lineRule="exact"/>
        <w:rPr>
          <w:sz w:val="20"/>
          <w:szCs w:val="20"/>
          <w:color w:val="auto"/>
        </w:rPr>
      </w:pPr>
    </w:p>
    <w:p>
      <w:pPr>
        <w:ind w:right="220" w:firstLine="457"/>
        <w:spacing w:after="0" w:line="284" w:lineRule="auto"/>
        <w:rPr>
          <w:sz w:val="20"/>
          <w:szCs w:val="20"/>
          <w:color w:val="auto"/>
        </w:rPr>
      </w:pPr>
      <w:r>
        <w:rPr>
          <w:rFonts w:ascii="Arial" w:cs="Arial" w:eastAsia="Arial" w:hAnsi="Arial"/>
          <w:sz w:val="17"/>
          <w:szCs w:val="17"/>
          <w:color w:val="auto"/>
        </w:rPr>
        <w:t>The increase in interest expense, net for the three months ended March 31, 2012 as compared to the three months ended March 31, 2011 is attributable to the following:</w:t>
      </w:r>
    </w:p>
    <w:p>
      <w:pPr>
        <w:spacing w:after="0" w:line="165" w:lineRule="exact"/>
        <w:rPr>
          <w:sz w:val="20"/>
          <w:szCs w:val="20"/>
          <w:color w:val="auto"/>
        </w:rPr>
      </w:pPr>
    </w:p>
    <w:tbl>
      <w:tblPr>
        <w:tblLayout w:type="fixed"/>
        <w:tblInd w:w="1840" w:type="dxa"/>
        <w:tblCellMar>
          <w:top w:w="0" w:type="dxa"/>
          <w:left w:w="0" w:type="dxa"/>
          <w:bottom w:w="0" w:type="dxa"/>
          <w:right w:w="0" w:type="dxa"/>
        </w:tblCellMar>
      </w:tblPr>
      <w:tr>
        <w:trPr>
          <w:trHeight w:val="211"/>
        </w:trPr>
        <w:tc>
          <w:tcPr>
            <w:tcW w:w="7020" w:type="dxa"/>
            <w:vAlign w:val="bottom"/>
            <w:shd w:val="clear" w:color="auto" w:fill="CCEEFF"/>
          </w:tcPr>
          <w:p>
            <w:pPr>
              <w:spacing w:after="0"/>
              <w:rPr>
                <w:sz w:val="20"/>
                <w:szCs w:val="20"/>
                <w:color w:val="auto"/>
              </w:rPr>
            </w:pPr>
            <w:r>
              <w:rPr>
                <w:rFonts w:ascii="Arial" w:cs="Arial" w:eastAsia="Arial" w:hAnsi="Arial"/>
                <w:sz w:val="17"/>
                <w:szCs w:val="17"/>
                <w:color w:val="auto"/>
              </w:rPr>
              <w:t>Indebtedness incurred in connection with the Distribution</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27,272</w:t>
            </w:r>
          </w:p>
        </w:tc>
        <w:tc>
          <w:tcPr>
            <w:tcW w:w="120" w:type="dxa"/>
            <w:vAlign w:val="bottom"/>
            <w:shd w:val="clear" w:color="auto" w:fill="CCEEFF"/>
          </w:tcPr>
          <w:p>
            <w:pPr>
              <w:spacing w:after="0"/>
              <w:rPr>
                <w:sz w:val="18"/>
                <w:szCs w:val="18"/>
                <w:color w:val="auto"/>
              </w:rPr>
            </w:pPr>
          </w:p>
        </w:tc>
      </w:tr>
      <w:tr>
        <w:trPr>
          <w:trHeight w:val="202"/>
        </w:trPr>
        <w:tc>
          <w:tcPr>
            <w:tcW w:w="7020" w:type="dxa"/>
            <w:vAlign w:val="bottom"/>
          </w:tcPr>
          <w:p>
            <w:pPr>
              <w:spacing w:after="0"/>
              <w:rPr>
                <w:sz w:val="20"/>
                <w:szCs w:val="20"/>
                <w:color w:val="auto"/>
              </w:rPr>
            </w:pPr>
            <w:r>
              <w:rPr>
                <w:rFonts w:ascii="Arial" w:cs="Arial" w:eastAsia="Arial" w:hAnsi="Arial"/>
                <w:sz w:val="17"/>
                <w:szCs w:val="17"/>
                <w:color w:val="auto"/>
              </w:rPr>
              <w:t>Repayment of the RNS senior notes in May 2011 and the RNS credit facility and the RNS</w:t>
            </w: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7"/>
        </w:trPr>
        <w:tc>
          <w:tcPr>
            <w:tcW w:w="7020" w:type="dxa"/>
            <w:vAlign w:val="bottom"/>
          </w:tcPr>
          <w:p>
            <w:pPr>
              <w:ind w:left="200"/>
              <w:spacing w:after="0"/>
              <w:rPr>
                <w:sz w:val="20"/>
                <w:szCs w:val="20"/>
                <w:color w:val="auto"/>
              </w:rPr>
            </w:pPr>
            <w:r>
              <w:rPr>
                <w:rFonts w:ascii="Arial" w:cs="Arial" w:eastAsia="Arial" w:hAnsi="Arial"/>
                <w:sz w:val="17"/>
                <w:szCs w:val="17"/>
                <w:color w:val="auto"/>
              </w:rPr>
              <w:t>senior subordinated notes in June 2011</w:t>
            </w:r>
          </w:p>
        </w:tc>
        <w:tc>
          <w:tcPr>
            <w:tcW w:w="8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7"/>
                <w:szCs w:val="17"/>
                <w:color w:val="auto"/>
                <w:w w:val="91"/>
              </w:rPr>
              <w:t>(17,901)</w:t>
            </w:r>
          </w:p>
        </w:tc>
      </w:tr>
      <w:tr>
        <w:trPr>
          <w:trHeight w:val="213"/>
        </w:trPr>
        <w:tc>
          <w:tcPr>
            <w:tcW w:w="7020" w:type="dxa"/>
            <w:vAlign w:val="bottom"/>
            <w:shd w:val="clear" w:color="auto" w:fill="CCEEFF"/>
          </w:tcPr>
          <w:p>
            <w:pPr>
              <w:spacing w:after="0"/>
              <w:rPr>
                <w:sz w:val="20"/>
                <w:szCs w:val="20"/>
                <w:color w:val="auto"/>
              </w:rPr>
            </w:pPr>
            <w:r>
              <w:rPr>
                <w:rFonts w:ascii="Arial" w:cs="Arial" w:eastAsia="Arial" w:hAnsi="Arial"/>
                <w:sz w:val="17"/>
                <w:szCs w:val="17"/>
                <w:color w:val="auto"/>
              </w:rPr>
              <w:t>Interest rate swap contracts</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2,114</w:t>
            </w:r>
          </w:p>
        </w:tc>
        <w:tc>
          <w:tcPr>
            <w:tcW w:w="120" w:type="dxa"/>
            <w:vAlign w:val="bottom"/>
            <w:shd w:val="clear" w:color="auto" w:fill="CCEEFF"/>
          </w:tcPr>
          <w:p>
            <w:pPr>
              <w:spacing w:after="0"/>
              <w:rPr>
                <w:sz w:val="18"/>
                <w:szCs w:val="18"/>
                <w:color w:val="auto"/>
              </w:rPr>
            </w:pPr>
          </w:p>
        </w:tc>
      </w:tr>
      <w:tr>
        <w:trPr>
          <w:trHeight w:val="211"/>
        </w:trPr>
        <w:tc>
          <w:tcPr>
            <w:tcW w:w="7020" w:type="dxa"/>
            <w:vAlign w:val="bottom"/>
          </w:tcPr>
          <w:p>
            <w:pPr>
              <w:spacing w:after="0"/>
              <w:rPr>
                <w:sz w:val="20"/>
                <w:szCs w:val="20"/>
                <w:color w:val="auto"/>
              </w:rPr>
            </w:pPr>
            <w:r>
              <w:rPr>
                <w:rFonts w:ascii="Arial" w:cs="Arial" w:eastAsia="Arial" w:hAnsi="Arial"/>
                <w:sz w:val="17"/>
                <w:szCs w:val="17"/>
                <w:color w:val="auto"/>
              </w:rPr>
              <w:t>Decrease in interest income</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352</w:t>
            </w:r>
          </w:p>
        </w:tc>
        <w:tc>
          <w:tcPr>
            <w:tcW w:w="120" w:type="dxa"/>
            <w:vAlign w:val="bottom"/>
          </w:tcPr>
          <w:p>
            <w:pPr>
              <w:spacing w:after="0"/>
              <w:rPr>
                <w:sz w:val="18"/>
                <w:szCs w:val="18"/>
                <w:color w:val="auto"/>
              </w:rPr>
            </w:pPr>
          </w:p>
        </w:tc>
      </w:tr>
      <w:tr>
        <w:trPr>
          <w:trHeight w:val="211"/>
        </w:trPr>
        <w:tc>
          <w:tcPr>
            <w:tcW w:w="7020" w:type="dxa"/>
            <w:vAlign w:val="bottom"/>
            <w:shd w:val="clear" w:color="auto" w:fill="CCEEFF"/>
          </w:tcPr>
          <w:p>
            <w:pPr>
              <w:spacing w:after="0"/>
              <w:rPr>
                <w:sz w:val="20"/>
                <w:szCs w:val="20"/>
                <w:color w:val="auto"/>
              </w:rPr>
            </w:pPr>
            <w:r>
              <w:rPr>
                <w:rFonts w:ascii="Arial" w:cs="Arial" w:eastAsia="Arial" w:hAnsi="Arial"/>
                <w:sz w:val="17"/>
                <w:szCs w:val="17"/>
                <w:color w:val="auto"/>
              </w:rPr>
              <w:t>Other</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(38)</w:t>
            </w:r>
          </w:p>
        </w:tc>
      </w:tr>
      <w:tr>
        <w:trPr>
          <w:trHeight w:val="216"/>
        </w:trPr>
        <w:tc>
          <w:tcPr>
            <w:tcW w:w="70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9"/>
              </w:rPr>
              <w:t>11,799</w:t>
            </w:r>
          </w:p>
        </w:tc>
        <w:tc>
          <w:tcPr>
            <w:tcW w:w="120" w:type="dxa"/>
            <w:vAlign w:val="bottom"/>
          </w:tcPr>
          <w:p>
            <w:pPr>
              <w:spacing w:after="0"/>
              <w:rPr>
                <w:sz w:val="18"/>
                <w:szCs w:val="18"/>
                <w:color w:val="auto"/>
              </w:rPr>
            </w:pPr>
          </w:p>
        </w:tc>
      </w:tr>
      <w:tr>
        <w:trPr>
          <w:trHeight w:val="20"/>
        </w:trPr>
        <w:tc>
          <w:tcPr>
            <w:tcW w:w="70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36"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Write-off of deferred financing costs</w:t>
      </w:r>
    </w:p>
    <w:p>
      <w:pPr>
        <w:spacing w:after="0" w:line="100" w:lineRule="exact"/>
        <w:rPr>
          <w:sz w:val="20"/>
          <w:szCs w:val="20"/>
          <w:color w:val="auto"/>
        </w:rPr>
      </w:pPr>
    </w:p>
    <w:p>
      <w:pPr>
        <w:ind w:right="120" w:firstLine="457"/>
        <w:spacing w:after="0" w:line="284" w:lineRule="auto"/>
        <w:rPr>
          <w:sz w:val="20"/>
          <w:szCs w:val="20"/>
          <w:color w:val="auto"/>
        </w:rPr>
      </w:pPr>
      <w:r>
        <w:rPr>
          <w:rFonts w:ascii="Arial" w:cs="Arial" w:eastAsia="Arial" w:hAnsi="Arial"/>
          <w:sz w:val="17"/>
          <w:szCs w:val="17"/>
          <w:color w:val="auto"/>
        </w:rPr>
        <w:t>In connection with the $50,000 voluntary prepayment of our Term A Facility (as defined below), deferred financing costs of $312 were written off in the three months ended March 31, 2012.</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Income tax expense</w:t>
      </w:r>
    </w:p>
    <w:p>
      <w:pPr>
        <w:spacing w:after="0" w:line="100" w:lineRule="exact"/>
        <w:rPr>
          <w:sz w:val="20"/>
          <w:szCs w:val="20"/>
          <w:color w:val="auto"/>
        </w:rPr>
      </w:pPr>
    </w:p>
    <w:p>
      <w:pPr>
        <w:ind w:firstLine="457"/>
        <w:spacing w:after="0" w:line="267" w:lineRule="auto"/>
        <w:rPr>
          <w:sz w:val="20"/>
          <w:szCs w:val="20"/>
          <w:color w:val="auto"/>
        </w:rPr>
      </w:pPr>
      <w:r>
        <w:rPr>
          <w:rFonts w:ascii="Arial" w:cs="Arial" w:eastAsia="Arial" w:hAnsi="Arial"/>
          <w:sz w:val="17"/>
          <w:szCs w:val="17"/>
          <w:color w:val="auto"/>
        </w:rPr>
        <w:t>For the three months ended March 31, 2012, income tax expense attributable to continuing operations was $23,970, representing an effective tax rate of 36%. The effective tax rate differs from the federal statutory rate of 35% due primarily to state income tax expense of $1,354, tax expense of $764 related to uncertain tax positions, including accrued interest, partially offset by a tax benefit of $2,015 resulting from a decrease in the valuation allowance with regard to certain local income tax credit carry forwards. We expect our effective tax rate to be approximately 39% in future quarters.</w:t>
      </w:r>
    </w:p>
    <w:p>
      <w:pPr>
        <w:spacing w:after="0" w:line="131" w:lineRule="exact"/>
        <w:rPr>
          <w:sz w:val="20"/>
          <w:szCs w:val="20"/>
          <w:color w:val="auto"/>
        </w:rPr>
      </w:pPr>
    </w:p>
    <w:p>
      <w:pPr>
        <w:ind w:right="40" w:firstLine="457"/>
        <w:spacing w:after="0" w:line="267" w:lineRule="auto"/>
        <w:rPr>
          <w:sz w:val="20"/>
          <w:szCs w:val="20"/>
          <w:color w:val="auto"/>
        </w:rPr>
      </w:pPr>
      <w:r>
        <w:rPr>
          <w:rFonts w:ascii="Arial" w:cs="Arial" w:eastAsia="Arial" w:hAnsi="Arial"/>
          <w:sz w:val="17"/>
          <w:szCs w:val="17"/>
          <w:color w:val="auto"/>
        </w:rPr>
        <w:t>For the three months ended March 31, 2011, income tax expense attributable to continuing operations was $23,136, representing an effective tax rate of 44%. The effective tax rate differs from the federal statutory rate of 35% due primarily to state income tax expense of $2,803, tax expense of $1,523 related to uncertain tax positions, including accrued interest and tax expense of $385 resulting from an increase in the valuation allowance with regard to certain local income tax credit carry forwards.</w:t>
      </w:r>
    </w:p>
    <w:p>
      <w:pPr>
        <w:spacing w:after="0" w:line="204"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Income from discontinued operations</w:t>
      </w:r>
    </w:p>
    <w:p>
      <w:pPr>
        <w:spacing w:after="0" w:line="100" w:lineRule="exact"/>
        <w:rPr>
          <w:sz w:val="20"/>
          <w:szCs w:val="20"/>
          <w:color w:val="auto"/>
        </w:rPr>
      </w:pPr>
    </w:p>
    <w:p>
      <w:pPr>
        <w:ind w:right="220" w:firstLine="457"/>
        <w:spacing w:after="0" w:line="354" w:lineRule="auto"/>
        <w:rPr>
          <w:sz w:val="20"/>
          <w:szCs w:val="20"/>
          <w:color w:val="auto"/>
        </w:rPr>
      </w:pPr>
      <w:r>
        <w:rPr>
          <w:rFonts w:ascii="Arial" w:cs="Arial" w:eastAsia="Arial" w:hAnsi="Arial"/>
          <w:sz w:val="15"/>
          <w:szCs w:val="15"/>
          <w:color w:val="auto"/>
        </w:rPr>
        <w:t>Income from discontinued operations, net of income taxes, for the three months ended March 31, 2012 and 2011 consists of receipts related to the sale of the Lifeskool and Sportskool video-on-demand services in September and October 2008, respectively, which were recorded under the installment sales method.</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100" w:lineRule="exact"/>
        <w:rPr>
          <w:sz w:val="20"/>
          <w:szCs w:val="20"/>
          <w:color w:val="auto"/>
        </w:rPr>
      </w:pPr>
    </w:p>
    <w:p>
      <w:pPr>
        <w:ind w:right="140" w:firstLine="457"/>
        <w:spacing w:after="0" w:line="317" w:lineRule="auto"/>
        <w:rPr>
          <w:sz w:val="20"/>
          <w:szCs w:val="20"/>
          <w:color w:val="auto"/>
        </w:rPr>
      </w:pPr>
      <w:r>
        <w:rPr>
          <w:rFonts w:ascii="Arial" w:cs="Arial" w:eastAsia="Arial" w:hAnsi="Arial"/>
          <w:sz w:val="16"/>
          <w:szCs w:val="16"/>
          <w:color w:val="auto"/>
        </w:rPr>
        <w:t>The operations of the businesses that are included in our consolidated financial statements collectively have historically generated positive net cash flow from operating activities. However, each of our programming businesses has substantial programming acquisition and development expenditure requirements.</w:t>
      </w:r>
    </w:p>
    <w:p>
      <w:pPr>
        <w:spacing w:after="0" w:line="93" w:lineRule="exact"/>
        <w:rPr>
          <w:sz w:val="20"/>
          <w:szCs w:val="20"/>
          <w:color w:val="auto"/>
        </w:rPr>
      </w:pPr>
    </w:p>
    <w:p>
      <w:pPr>
        <w:ind w:right="220" w:firstLine="457"/>
        <w:spacing w:after="0" w:line="289" w:lineRule="auto"/>
        <w:rPr>
          <w:sz w:val="20"/>
          <w:szCs w:val="20"/>
          <w:color w:val="auto"/>
        </w:rPr>
      </w:pPr>
      <w:r>
        <w:rPr>
          <w:rFonts w:ascii="Arial" w:cs="Arial" w:eastAsia="Arial" w:hAnsi="Arial"/>
          <w:sz w:val="16"/>
          <w:szCs w:val="16"/>
          <w:color w:val="auto"/>
        </w:rPr>
        <w:t>Sources of cash primarily include cash flow from the operations of our businesses and amounts available under our revolving credit facility. Although we currently believe that amounts available under our revolving credit facility will be available when and if needed, we can provide no assurance that access to such funds will not be impacted by adverse conditions in the financial markets. The obligations of the financial institutions under our revolving credit facility are several and not joint and, as a result, a funding default by one or more institutions does not need to be made up by the others.</w:t>
      </w:r>
    </w:p>
    <w:p>
      <w:pPr>
        <w:spacing w:after="0" w:line="115" w:lineRule="exact"/>
        <w:rPr>
          <w:sz w:val="20"/>
          <w:szCs w:val="20"/>
          <w:color w:val="auto"/>
        </w:rPr>
      </w:pPr>
    </w:p>
    <w:p>
      <w:pPr>
        <w:ind w:right="20" w:firstLine="457"/>
        <w:spacing w:after="0" w:line="283" w:lineRule="auto"/>
        <w:rPr>
          <w:sz w:val="20"/>
          <w:szCs w:val="20"/>
          <w:color w:val="auto"/>
        </w:rPr>
      </w:pPr>
      <w:r>
        <w:rPr>
          <w:rFonts w:ascii="Arial" w:cs="Arial" w:eastAsia="Arial" w:hAnsi="Arial"/>
          <w:sz w:val="16"/>
          <w:szCs w:val="16"/>
          <w:color w:val="auto"/>
        </w:rPr>
        <w:t>Our principal uses of cash include our debt service, the acquisition and development of program rights and the net funding and investment requirements of our developing services. Our businesses do not require significant capital expenditures. As a percentage of revenues, net, capital expenditures were less than 1% for the three months ended March 31, 2012 and 2011. During the three months ended March 31, 2012, we voluntarily prepaid $50,000 of the outstanding balance of the Term A Facility and also paid a quarterly installment of $1,488 under the Term B Facility (as defined below). The required term loan repayments over the next twelve months will be $5,950. We believe that a combination of cash-on-hand, cash generated from operating activities and availability under our revolving credit facility will provide sufficient liquidity to service the principal and interest payments on our</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34</w:t>
      </w:r>
    </w:p>
    <w:p>
      <w:pPr>
        <w:sectPr>
          <w:pgSz w:w="11900" w:h="16838" w:orient="portrait"/>
          <w:cols w:equalWidth="0" w:num="1">
            <w:col w:w="11420"/>
          </w:cols>
          <w:pgMar w:left="240" w:top="451" w:right="239" w:bottom="1440" w:gutter="0" w:footer="0" w:header="0"/>
        </w:sectPr>
      </w:pPr>
    </w:p>
    <w:bookmarkStart w:id="34" w:name="page35"/>
    <w:bookmarkEnd w:id="3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indebtedness, along with our other funding and investment requirements over the next twelve months and over the longer term. However, we do not expect to generate sufficient cash from operations to repay at maturity the entirety of the then outstanding balances of our debt. As a result, we will then be dependent upon our ability to access the capital and credit markets in order to repay or refinance the outstanding balances of our indebtedness. Failure to raise significant amounts of funding to repay these obligations at maturity would adversely affect our business. In such a circumstance, we would need to take other actions including selling assets, seeking strategic investments from third parties or reducing other discretionary uses of cash.</w:t>
      </w:r>
    </w:p>
    <w:p>
      <w:pPr>
        <w:spacing w:after="0" w:line="119" w:lineRule="exact"/>
        <w:rPr>
          <w:sz w:val="20"/>
          <w:szCs w:val="20"/>
          <w:color w:val="auto"/>
        </w:rPr>
      </w:pPr>
    </w:p>
    <w:p>
      <w:pPr>
        <w:jc w:val="both"/>
        <w:ind w:right="200" w:firstLine="457"/>
        <w:spacing w:after="0" w:line="323" w:lineRule="auto"/>
        <w:rPr>
          <w:sz w:val="20"/>
          <w:szCs w:val="20"/>
          <w:color w:val="auto"/>
        </w:rPr>
      </w:pPr>
      <w:r>
        <w:rPr>
          <w:rFonts w:ascii="Arial" w:cs="Arial" w:eastAsia="Arial" w:hAnsi="Arial"/>
          <w:sz w:val="15"/>
          <w:szCs w:val="15"/>
          <w:color w:val="auto"/>
        </w:rPr>
        <w:t>Our level of debt could have important consequences for our business including, but not limited to, increasing our vulnerability to general adverse economic and industry conditions, limiting the availability of our cash flow to fund future programming investments, capital expenditures, working capital, business activities and other general corporate requirements, and limiting our flexibility in planning for, or reacting to, changes in our business and the industry in which we operate.</w:t>
      </w:r>
    </w:p>
    <w:p>
      <w:pPr>
        <w:spacing w:after="0" w:line="94" w:lineRule="exact"/>
        <w:rPr>
          <w:sz w:val="20"/>
          <w:szCs w:val="20"/>
          <w:color w:val="auto"/>
        </w:rPr>
      </w:pPr>
    </w:p>
    <w:p>
      <w:pPr>
        <w:ind w:right="300" w:firstLine="457"/>
        <w:spacing w:after="0" w:line="284" w:lineRule="auto"/>
        <w:rPr>
          <w:sz w:val="20"/>
          <w:szCs w:val="20"/>
          <w:color w:val="auto"/>
        </w:rPr>
      </w:pPr>
      <w:r>
        <w:rPr>
          <w:rFonts w:ascii="Arial" w:cs="Arial" w:eastAsia="Arial" w:hAnsi="Arial"/>
          <w:sz w:val="17"/>
          <w:szCs w:val="17"/>
          <w:color w:val="auto"/>
        </w:rPr>
        <w:t>In addition, economic or market disruptions could lead to lower demand for our services, such as lower levels of advertising. These events would adversely impact our results of operations, cash flows and financial position.</w:t>
      </w:r>
    </w:p>
    <w:p>
      <w:pPr>
        <w:spacing w:after="0" w:line="117" w:lineRule="exact"/>
        <w:rPr>
          <w:sz w:val="20"/>
          <w:szCs w:val="20"/>
          <w:color w:val="auto"/>
        </w:rPr>
      </w:pPr>
    </w:p>
    <w:p>
      <w:pPr>
        <w:ind w:firstLine="457"/>
        <w:spacing w:after="0" w:line="263" w:lineRule="auto"/>
        <w:rPr>
          <w:sz w:val="20"/>
          <w:szCs w:val="20"/>
          <w:color w:val="auto"/>
        </w:rPr>
      </w:pPr>
      <w:r>
        <w:rPr>
          <w:rFonts w:ascii="Arial" w:cs="Arial" w:eastAsia="Arial" w:hAnsi="Arial"/>
          <w:sz w:val="17"/>
          <w:szCs w:val="17"/>
          <w:color w:val="auto"/>
        </w:rPr>
        <w:t>On June 30, 2011 AMC Networks, as Borrower, and substantially all of its subsidiaries, as restricted subsidiaries, entered into a credit agreement (the “Credit Facility”). The Credit Facility provides AMC Networks with senior secured credit facilities consisting of a $1,130,000 term loan A facility (the “Term A Facility”), a $595,000 term loan B facility (the “Term B Facility”) and a $500,000 revolving credit facility (the “Revolving Facility”). The Term A Facility and the Term B Facility were discounted $5,650 and $12,986, respectively, upon original issuance. The Term A Facility matures June 30, 2017, the Term B Facility matures December 31, 2018 and the Revolving Facility matures June 30, 2016. As of March 31, 2012, amounts outstanding under the Term A Facility and Term B Facility were $975,426 and $578,671, respectively.</w:t>
      </w:r>
    </w:p>
    <w:p>
      <w:pPr>
        <w:spacing w:after="0" w:line="137" w:lineRule="exact"/>
        <w:rPr>
          <w:sz w:val="20"/>
          <w:szCs w:val="20"/>
          <w:color w:val="auto"/>
        </w:rPr>
      </w:pPr>
    </w:p>
    <w:p>
      <w:pPr>
        <w:ind w:right="660" w:firstLine="457"/>
        <w:spacing w:after="0" w:line="284" w:lineRule="auto"/>
        <w:rPr>
          <w:sz w:val="20"/>
          <w:szCs w:val="20"/>
          <w:color w:val="auto"/>
        </w:rPr>
      </w:pPr>
      <w:r>
        <w:rPr>
          <w:rFonts w:ascii="Arial" w:cs="Arial" w:eastAsia="Arial" w:hAnsi="Arial"/>
          <w:sz w:val="17"/>
          <w:szCs w:val="17"/>
          <w:color w:val="auto"/>
        </w:rPr>
        <w:t>The Revolving Facility remains undrawn at March 31, 2012. Total undrawn revolver commitments are available to be drawn for our general corporate purposes.</w:t>
      </w:r>
    </w:p>
    <w:p>
      <w:pPr>
        <w:spacing w:after="0" w:line="117" w:lineRule="exact"/>
        <w:rPr>
          <w:sz w:val="20"/>
          <w:szCs w:val="20"/>
          <w:color w:val="auto"/>
        </w:rPr>
      </w:pPr>
    </w:p>
    <w:p>
      <w:pPr>
        <w:jc w:val="both"/>
        <w:ind w:right="140" w:firstLine="457"/>
        <w:spacing w:after="0" w:line="267" w:lineRule="auto"/>
        <w:rPr>
          <w:sz w:val="20"/>
          <w:szCs w:val="20"/>
          <w:color w:val="auto"/>
        </w:rPr>
      </w:pPr>
      <w:r>
        <w:rPr>
          <w:rFonts w:ascii="Arial" w:cs="Arial" w:eastAsia="Arial" w:hAnsi="Arial"/>
          <w:sz w:val="17"/>
          <w:szCs w:val="17"/>
          <w:color w:val="auto"/>
        </w:rPr>
        <w:t>The borrowings under the Term A Facility and Revolving Facility portions of the Credit Facility may be voluntarily prepaid without premiums and penalty at any time. During 2011 and the three months ended March 31, 2012, we voluntarily prepaid $100,000 and $50,000, respectively, of the outstanding balance under the Term A Facility, which was applied to the earliest required quarterly installments due. As a result, as of March 31, 2012, the next required quarterly installment will be due on June 30, 2014 in the amount of $19,500.</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AMC Networks was in compliance with all of its covenants under its Credit Facility as of March 31, 2012.</w:t>
      </w:r>
    </w:p>
    <w:p>
      <w:pPr>
        <w:spacing w:after="0" w:line="173" w:lineRule="exact"/>
        <w:rPr>
          <w:sz w:val="20"/>
          <w:szCs w:val="20"/>
          <w:color w:val="auto"/>
        </w:rPr>
      </w:pPr>
    </w:p>
    <w:p>
      <w:pPr>
        <w:ind w:right="280" w:firstLine="457"/>
        <w:spacing w:after="0" w:line="271" w:lineRule="auto"/>
        <w:rPr>
          <w:sz w:val="20"/>
          <w:szCs w:val="20"/>
          <w:color w:val="auto"/>
        </w:rPr>
      </w:pPr>
      <w:r>
        <w:rPr>
          <w:rFonts w:ascii="Arial" w:cs="Arial" w:eastAsia="Arial" w:hAnsi="Arial"/>
          <w:sz w:val="17"/>
          <w:szCs w:val="17"/>
          <w:color w:val="auto"/>
        </w:rPr>
        <w:t>We may request an increase in the Term A Facility and/or Revolving Facility by an aggregate amount not exceeding the greater of $400,000 and an amount, which after giving effect to such increase, would not cause the ratio of senior secured debt to annual operating cash flow, as defined, to exceed 4.75:1. As of March 31, 2012, the Company does not have any commitments for an incremental facility.</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Cash Flow Discussion</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following table is a summary of cash flows provided by (used in) continuing operations and discontinued operations for the three months ended March 31:</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156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2300" w:type="dxa"/>
            <w:vAlign w:val="bottom"/>
            <w:tcBorders>
              <w:bottom w:val="single" w:sz="8" w:color="CCEEFF"/>
            </w:tcBorders>
          </w:tcPr>
          <w:p>
            <w:pPr>
              <w:spacing w:after="0"/>
              <w:rPr>
                <w:sz w:val="13"/>
                <w:szCs w:val="13"/>
                <w:color w:val="auto"/>
              </w:rPr>
            </w:pPr>
          </w:p>
        </w:tc>
        <w:tc>
          <w:tcPr>
            <w:tcW w:w="27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18"/>
              <w:spacing w:after="0"/>
              <w:rPr>
                <w:sz w:val="20"/>
                <w:szCs w:val="20"/>
                <w:color w:val="auto"/>
              </w:rPr>
            </w:pPr>
            <w:r>
              <w:rPr>
                <w:rFonts w:ascii="Arial" w:cs="Arial" w:eastAsia="Arial" w:hAnsi="Arial"/>
                <w:sz w:val="13"/>
                <w:szCs w:val="13"/>
                <w:b w:val="1"/>
                <w:bCs w:val="1"/>
                <w:color w:val="auto"/>
              </w:rPr>
              <w:t>2012</w:t>
            </w:r>
          </w:p>
        </w:tc>
        <w:tc>
          <w:tcPr>
            <w:tcW w:w="300" w:type="dxa"/>
            <w:vAlign w:val="bottom"/>
            <w:tcBorders>
              <w:bottom w:val="single" w:sz="8" w:color="CCEEFF"/>
            </w:tcBorders>
          </w:tcPr>
          <w:p>
            <w:pPr>
              <w:spacing w:after="0"/>
              <w:rPr>
                <w:sz w:val="13"/>
                <w:szCs w:val="13"/>
                <w:color w:val="auto"/>
              </w:rPr>
            </w:pPr>
          </w:p>
        </w:tc>
        <w:tc>
          <w:tcPr>
            <w:tcW w:w="2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98"/>
              <w:spacing w:after="0"/>
              <w:rPr>
                <w:sz w:val="20"/>
                <w:szCs w:val="20"/>
                <w:color w:val="auto"/>
              </w:rPr>
            </w:pPr>
            <w:r>
              <w:rPr>
                <w:rFonts w:ascii="Arial" w:cs="Arial" w:eastAsia="Arial" w:hAnsi="Arial"/>
                <w:sz w:val="13"/>
                <w:szCs w:val="13"/>
                <w:b w:val="1"/>
                <w:bCs w:val="1"/>
                <w:color w:val="auto"/>
              </w:rPr>
              <w:t>2011</w:t>
            </w:r>
          </w:p>
        </w:tc>
        <w:tc>
          <w:tcPr>
            <w:tcW w:w="120" w:type="dxa"/>
            <w:vAlign w:val="bottom"/>
            <w:tcBorders>
              <w:bottom w:val="single" w:sz="8" w:color="CCEEFF"/>
            </w:tcBorders>
          </w:tcPr>
          <w:p>
            <w:pPr>
              <w:spacing w:after="0"/>
              <w:rPr>
                <w:sz w:val="13"/>
                <w:szCs w:val="13"/>
                <w:color w:val="auto"/>
              </w:rPr>
            </w:pPr>
          </w:p>
        </w:tc>
      </w:tr>
      <w:tr>
        <w:trPr>
          <w:trHeight w:val="171"/>
        </w:trPr>
        <w:tc>
          <w:tcPr>
            <w:tcW w:w="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shd w:val="clear" w:color="auto" w:fill="CCEEFF"/>
          </w:tcPr>
          <w:p>
            <w:pPr>
              <w:spacing w:after="0" w:line="151" w:lineRule="exact"/>
              <w:rPr>
                <w:sz w:val="20"/>
                <w:szCs w:val="20"/>
                <w:color w:val="auto"/>
              </w:rPr>
            </w:pPr>
            <w:r>
              <w:rPr>
                <w:rFonts w:ascii="Arial" w:cs="Arial" w:eastAsia="Arial" w:hAnsi="Arial"/>
                <w:sz w:val="17"/>
                <w:szCs w:val="17"/>
                <w:color w:val="auto"/>
                <w:w w:val="90"/>
              </w:rPr>
              <w:t>Continuing operations:</w:t>
            </w:r>
          </w:p>
        </w:tc>
        <w:tc>
          <w:tcPr>
            <w:tcW w:w="2440" w:type="dxa"/>
            <w:vAlign w:val="bottom"/>
            <w:tcBorders>
              <w:bottom w:val="single" w:sz="8" w:color="CCEEFF"/>
            </w:tcBorders>
            <w:gridSpan w:val="2"/>
            <w:shd w:val="clear" w:color="auto" w:fill="CCEEFF"/>
          </w:tcPr>
          <w:p>
            <w:pPr>
              <w:spacing w:after="0"/>
              <w:rPr>
                <w:sz w:val="14"/>
                <w:szCs w:val="14"/>
                <w:color w:val="auto"/>
              </w:rPr>
            </w:pPr>
          </w:p>
        </w:tc>
        <w:tc>
          <w:tcPr>
            <w:tcW w:w="27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000" w:type="dxa"/>
            <w:vAlign w:val="bottom"/>
            <w:gridSpan w:val="3"/>
          </w:tcPr>
          <w:p>
            <w:pPr>
              <w:spacing w:after="0"/>
              <w:rPr>
                <w:sz w:val="20"/>
                <w:szCs w:val="20"/>
                <w:color w:val="auto"/>
              </w:rPr>
            </w:pPr>
            <w:r>
              <w:rPr>
                <w:rFonts w:ascii="Arial" w:cs="Arial" w:eastAsia="Arial" w:hAnsi="Arial"/>
                <w:sz w:val="17"/>
                <w:szCs w:val="17"/>
                <w:color w:val="auto"/>
              </w:rPr>
              <w:t>Cash flow provided by operating activities</w:t>
            </w:r>
          </w:p>
        </w:tc>
        <w:tc>
          <w:tcPr>
            <w:tcW w:w="28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w w:val="96"/>
              </w:rPr>
              <w:t>76,963</w:t>
            </w:r>
          </w:p>
        </w:tc>
        <w:tc>
          <w:tcPr>
            <w:tcW w:w="30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w w:val="99"/>
              </w:rPr>
              <w:t>48,436</w:t>
            </w:r>
          </w:p>
        </w:tc>
        <w:tc>
          <w:tcPr>
            <w:tcW w:w="120" w:type="dxa"/>
            <w:vAlign w:val="bottom"/>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40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Cash flow used in investing activities</w:t>
            </w:r>
          </w:p>
        </w:tc>
        <w:tc>
          <w:tcPr>
            <w:tcW w:w="2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(2,838)</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(1,721)</w:t>
            </w:r>
          </w:p>
        </w:tc>
      </w:tr>
      <w:tr>
        <w:trPr>
          <w:trHeight w:val="211"/>
        </w:trPr>
        <w:tc>
          <w:tcPr>
            <w:tcW w:w="20" w:type="dxa"/>
            <w:vAlign w:val="bottom"/>
          </w:tcPr>
          <w:p>
            <w:pPr>
              <w:spacing w:after="0"/>
              <w:rPr>
                <w:sz w:val="18"/>
                <w:szCs w:val="18"/>
                <w:color w:val="auto"/>
              </w:rPr>
            </w:pPr>
          </w:p>
        </w:tc>
        <w:tc>
          <w:tcPr>
            <w:tcW w:w="4000" w:type="dxa"/>
            <w:vAlign w:val="bottom"/>
            <w:gridSpan w:val="3"/>
          </w:tcPr>
          <w:p>
            <w:pPr>
              <w:spacing w:after="0"/>
              <w:rPr>
                <w:sz w:val="20"/>
                <w:szCs w:val="20"/>
                <w:color w:val="auto"/>
              </w:rPr>
            </w:pPr>
            <w:r>
              <w:rPr>
                <w:rFonts w:ascii="Arial" w:cs="Arial" w:eastAsia="Arial" w:hAnsi="Arial"/>
                <w:sz w:val="17"/>
                <w:szCs w:val="17"/>
                <w:color w:val="auto"/>
              </w:rPr>
              <w:t>Cash flow used in financing activities</w:t>
            </w:r>
          </w:p>
        </w:tc>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7"/>
                <w:szCs w:val="17"/>
                <w:color w:val="auto"/>
                <w:w w:val="88"/>
              </w:rPr>
              <w:t>(65,927)</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7"/>
                <w:szCs w:val="17"/>
                <w:color w:val="auto"/>
                <w:w w:val="91"/>
              </w:rPr>
              <w:t>(42,780)</w:t>
            </w:r>
          </w:p>
        </w:tc>
      </w:tr>
      <w:tr>
        <w:trPr>
          <w:trHeight w:val="211"/>
        </w:trPr>
        <w:tc>
          <w:tcPr>
            <w:tcW w:w="20" w:type="dxa"/>
            <w:vAlign w:val="bottom"/>
          </w:tcPr>
          <w:p>
            <w:pPr>
              <w:spacing w:after="0"/>
              <w:rPr>
                <w:sz w:val="18"/>
                <w:szCs w:val="18"/>
                <w:color w:val="auto"/>
              </w:rPr>
            </w:pPr>
          </w:p>
        </w:tc>
        <w:tc>
          <w:tcPr>
            <w:tcW w:w="40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Net increase in cash from continuing operations</w:t>
            </w:r>
          </w:p>
        </w:tc>
        <w:tc>
          <w:tcPr>
            <w:tcW w:w="2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8,198</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3,935</w:t>
            </w:r>
          </w:p>
        </w:tc>
        <w:tc>
          <w:tcPr>
            <w:tcW w:w="120" w:type="dxa"/>
            <w:vAlign w:val="bottom"/>
            <w:shd w:val="clear" w:color="auto" w:fill="CCEEFF"/>
          </w:tcPr>
          <w:p>
            <w:pPr>
              <w:spacing w:after="0"/>
              <w:rPr>
                <w:sz w:val="18"/>
                <w:szCs w:val="18"/>
                <w:color w:val="auto"/>
              </w:rPr>
            </w:pPr>
          </w:p>
        </w:tc>
      </w:tr>
      <w:tr>
        <w:trPr>
          <w:trHeight w:val="277"/>
        </w:trPr>
        <w:tc>
          <w:tcPr>
            <w:tcW w:w="1720" w:type="dxa"/>
            <w:vAlign w:val="bottom"/>
            <w:tcBorders>
              <w:bottom w:val="single" w:sz="8" w:color="auto"/>
            </w:tcBorders>
            <w:gridSpan w:val="3"/>
          </w:tcPr>
          <w:p>
            <w:pPr>
              <w:spacing w:after="0"/>
              <w:rPr>
                <w:sz w:val="20"/>
                <w:szCs w:val="20"/>
                <w:color w:val="auto"/>
              </w:rPr>
            </w:pPr>
            <w:r>
              <w:rPr>
                <w:rFonts w:ascii="Arial" w:cs="Arial" w:eastAsia="Arial" w:hAnsi="Arial"/>
                <w:sz w:val="17"/>
                <w:szCs w:val="17"/>
                <w:color w:val="auto"/>
                <w:w w:val="90"/>
              </w:rPr>
              <w:t>Discontinued operations:</w:t>
            </w:r>
          </w:p>
        </w:tc>
        <w:tc>
          <w:tcPr>
            <w:tcW w:w="2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4000" w:type="dxa"/>
            <w:vAlign w:val="bottom"/>
            <w:gridSpan w:val="3"/>
            <w:shd w:val="clear" w:color="auto" w:fill="CCEEFF"/>
          </w:tcPr>
          <w:p>
            <w:pPr>
              <w:spacing w:after="0"/>
              <w:rPr>
                <w:sz w:val="20"/>
                <w:szCs w:val="20"/>
                <w:color w:val="auto"/>
              </w:rPr>
            </w:pPr>
            <w:r>
              <w:rPr>
                <w:rFonts w:ascii="Arial" w:cs="Arial" w:eastAsia="Arial" w:hAnsi="Arial"/>
                <w:sz w:val="17"/>
                <w:szCs w:val="17"/>
                <w:color w:val="auto"/>
                <w:w w:val="96"/>
              </w:rPr>
              <w:t>Net increase in cash flow from discontinued operations</w:t>
            </w:r>
          </w:p>
        </w:tc>
        <w:tc>
          <w:tcPr>
            <w:tcW w:w="28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w:t>
            </w:r>
          </w:p>
        </w:tc>
        <w:tc>
          <w:tcPr>
            <w:tcW w:w="30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178</w:t>
            </w:r>
          </w:p>
        </w:tc>
        <w:tc>
          <w:tcPr>
            <w:tcW w:w="120" w:type="dxa"/>
            <w:vAlign w:val="bottom"/>
            <w:shd w:val="clear" w:color="auto" w:fill="CCEEFF"/>
          </w:tcPr>
          <w:p>
            <w:pPr>
              <w:spacing w:after="0"/>
              <w:rPr>
                <w:sz w:val="20"/>
                <w:szCs w:val="20"/>
                <w:color w:val="auto"/>
              </w:rPr>
            </w:pPr>
          </w:p>
        </w:tc>
      </w:tr>
      <w:tr>
        <w:trPr>
          <w:trHeight w:val="353"/>
        </w:trPr>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700" w:type="dxa"/>
            <w:vAlign w:val="bottom"/>
          </w:tcPr>
          <w:p>
            <w:pPr>
              <w:jc w:val="right"/>
              <w:ind w:right="2214"/>
              <w:spacing w:after="0"/>
              <w:rPr>
                <w:sz w:val="20"/>
                <w:szCs w:val="20"/>
                <w:color w:val="auto"/>
              </w:rPr>
            </w:pPr>
            <w:r>
              <w:rPr>
                <w:rFonts w:ascii="Arial" w:cs="Arial" w:eastAsia="Arial" w:hAnsi="Arial"/>
                <w:sz w:val="17"/>
                <w:szCs w:val="17"/>
                <w:color w:val="auto"/>
              </w:rPr>
              <w:t>35</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420"/>
          </w:cols>
          <w:pgMar w:left="240" w:top="451" w:right="239" w:bottom="1440" w:gutter="0" w:footer="0" w:header="0"/>
        </w:sectPr>
      </w:pPr>
    </w:p>
    <w:bookmarkStart w:id="35" w:name="page36"/>
    <w:bookmarkEnd w:id="3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Continuing Operations</w:t>
      </w:r>
    </w:p>
    <w:p>
      <w:pPr>
        <w:spacing w:after="0" w:line="94"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Operating Activities</w:t>
      </w:r>
    </w:p>
    <w:p>
      <w:pPr>
        <w:spacing w:after="0" w:line="94" w:lineRule="exact"/>
        <w:rPr>
          <w:sz w:val="20"/>
          <w:szCs w:val="20"/>
          <w:color w:val="auto"/>
        </w:rPr>
      </w:pPr>
    </w:p>
    <w:p>
      <w:pPr>
        <w:ind w:right="40" w:firstLine="457"/>
        <w:spacing w:after="0" w:line="288" w:lineRule="auto"/>
        <w:rPr>
          <w:sz w:val="20"/>
          <w:szCs w:val="20"/>
          <w:color w:val="auto"/>
        </w:rPr>
      </w:pPr>
      <w:r>
        <w:rPr>
          <w:rFonts w:ascii="Arial" w:cs="Arial" w:eastAsia="Arial" w:hAnsi="Arial"/>
          <w:sz w:val="16"/>
          <w:szCs w:val="16"/>
          <w:color w:val="auto"/>
        </w:rPr>
        <w:t>Net cash provided by operating activities amounted to $76,963 for the three months ended March 31, 2012 as compared to $48,436 for the three months ended March 31, 2011. The March 31, 2012 cash provided by operating activities resulted from $162,753 of net income before depreciation and amortization and other non-cash items and a decrease in prepaid expenses and other assets of $29,046, partially offset by a decrease in cash from the payment of program rights obligations of $81,028, a decrease in accounts payable, accrued expenses and other liabilities of $31,065 and an increase of other net assets of $2,743.</w:t>
      </w:r>
    </w:p>
    <w:p>
      <w:pPr>
        <w:spacing w:after="0" w:line="118" w:lineRule="exact"/>
        <w:rPr>
          <w:sz w:val="20"/>
          <w:szCs w:val="20"/>
          <w:color w:val="auto"/>
        </w:rPr>
      </w:pPr>
    </w:p>
    <w:p>
      <w:pPr>
        <w:ind w:right="40" w:firstLine="457"/>
        <w:spacing w:after="0" w:line="289" w:lineRule="auto"/>
        <w:rPr>
          <w:sz w:val="20"/>
          <w:szCs w:val="20"/>
          <w:color w:val="auto"/>
        </w:rPr>
      </w:pPr>
      <w:r>
        <w:rPr>
          <w:rFonts w:ascii="Arial" w:cs="Arial" w:eastAsia="Arial" w:hAnsi="Arial"/>
          <w:sz w:val="16"/>
          <w:szCs w:val="16"/>
          <w:color w:val="auto"/>
        </w:rPr>
        <w:t>The March 31, 2011 cash provided by operating activities resulted from $139,218 of net income before depreciation and amortization and other non-cash items and an increase in cash resulting from a decrease in accounts receivable, trade of $17,856, partially offset by a decrease in cash resulting from the acquisition of and payment of obligations relating to program rights totaling $63,791, deferred carriage fee payments of $2,008, a decrease in accounts payable, accrued expenses and other liabilities of $29,334, a decrease in amounts due from/to related parties, net of $12,613 and an increase in other assets of $892.</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Investing Activities</w:t>
      </w:r>
    </w:p>
    <w:p>
      <w:pPr>
        <w:spacing w:after="0" w:line="94" w:lineRule="exact"/>
        <w:rPr>
          <w:sz w:val="20"/>
          <w:szCs w:val="20"/>
          <w:color w:val="auto"/>
        </w:rPr>
      </w:pPr>
    </w:p>
    <w:p>
      <w:pPr>
        <w:ind w:right="240" w:firstLine="457"/>
        <w:spacing w:after="0" w:line="284" w:lineRule="auto"/>
        <w:rPr>
          <w:sz w:val="20"/>
          <w:szCs w:val="20"/>
          <w:color w:val="auto"/>
        </w:rPr>
      </w:pPr>
      <w:r>
        <w:rPr>
          <w:rFonts w:ascii="Arial" w:cs="Arial" w:eastAsia="Arial" w:hAnsi="Arial"/>
          <w:sz w:val="17"/>
          <w:szCs w:val="17"/>
          <w:color w:val="auto"/>
        </w:rPr>
        <w:t>Net cash used in investing activities for the three months ended March 31, 2012 and 2011 was $2,838 and $1,721, respectively, which consisted primarily of capital expenditures of $2,838 and $1,599 for the three months ended March 31, 2012 and 2011, respectively.</w:t>
      </w:r>
    </w:p>
    <w:p>
      <w:pPr>
        <w:spacing w:after="0" w:line="196"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Financing Activities</w:t>
      </w:r>
    </w:p>
    <w:p>
      <w:pPr>
        <w:spacing w:after="0" w:line="94" w:lineRule="exact"/>
        <w:rPr>
          <w:sz w:val="20"/>
          <w:szCs w:val="20"/>
          <w:color w:val="auto"/>
        </w:rPr>
      </w:pPr>
    </w:p>
    <w:p>
      <w:pPr>
        <w:ind w:right="40" w:firstLine="457"/>
        <w:spacing w:after="0" w:line="267" w:lineRule="auto"/>
        <w:rPr>
          <w:sz w:val="20"/>
          <w:szCs w:val="20"/>
          <w:color w:val="auto"/>
        </w:rPr>
      </w:pPr>
      <w:r>
        <w:rPr>
          <w:rFonts w:ascii="Arial" w:cs="Arial" w:eastAsia="Arial" w:hAnsi="Arial"/>
          <w:sz w:val="17"/>
          <w:szCs w:val="17"/>
          <w:color w:val="auto"/>
        </w:rPr>
        <w:t>Net cash used in financing activities amounted to $65,927 for the three months ended March 31, 2012 as compared to $42,780 for the three months ended March 31, 2011. For the three months ended March 31, 2012, financing activities consisted of repayments of credit facility debt of $51,488, treasury stock acquired from the acquisition of restricted shares of $15,937, principal payments on capital leases of $290 and payments for financing costs of $40, partially offset by proceeds from stock option exercises of $1,828.</w:t>
      </w:r>
    </w:p>
    <w:p>
      <w:pPr>
        <w:spacing w:after="0" w:line="131" w:lineRule="exact"/>
        <w:rPr>
          <w:sz w:val="20"/>
          <w:szCs w:val="20"/>
          <w:color w:val="auto"/>
        </w:rPr>
      </w:pPr>
    </w:p>
    <w:p>
      <w:pPr>
        <w:ind w:right="160" w:firstLine="457"/>
        <w:spacing w:after="0" w:line="271" w:lineRule="auto"/>
        <w:rPr>
          <w:sz w:val="20"/>
          <w:szCs w:val="20"/>
          <w:color w:val="auto"/>
        </w:rPr>
      </w:pPr>
      <w:r>
        <w:rPr>
          <w:rFonts w:ascii="Arial" w:cs="Arial" w:eastAsia="Arial" w:hAnsi="Arial"/>
          <w:sz w:val="17"/>
          <w:szCs w:val="17"/>
          <w:color w:val="auto"/>
        </w:rPr>
        <w:t>Net cash used in financing activities amounted to $42,780 for the three months ended March 31, 2011. For the three months ended March 31, 2011, financing activities consisted of capital contributions from Cablevision of $20,813, repayment of the RNS credit facility debt of $62,500 and principal payments on capital leases of $1,093.</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Discontinued Operations</w:t>
      </w:r>
    </w:p>
    <w:p>
      <w:pPr>
        <w:spacing w:after="0" w:line="94" w:lineRule="exact"/>
        <w:rPr>
          <w:sz w:val="20"/>
          <w:szCs w:val="20"/>
          <w:color w:val="auto"/>
        </w:rPr>
      </w:pPr>
    </w:p>
    <w:p>
      <w:pPr>
        <w:ind w:right="20" w:firstLine="457"/>
        <w:spacing w:after="0" w:line="284" w:lineRule="auto"/>
        <w:rPr>
          <w:sz w:val="20"/>
          <w:szCs w:val="20"/>
          <w:color w:val="auto"/>
        </w:rPr>
      </w:pPr>
      <w:r>
        <w:rPr>
          <w:rFonts w:ascii="Arial" w:cs="Arial" w:eastAsia="Arial" w:hAnsi="Arial"/>
          <w:sz w:val="17"/>
          <w:szCs w:val="17"/>
          <w:color w:val="auto"/>
        </w:rPr>
        <w:t>The net effect of discontinued operations on cash and cash equivalents amounted to a cash inflow of $148 and $178 for the three months ended March 31, 2012 and 2011, respectively.</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Contractual Obligations and Off-Balance Sheet Arrangements</w:t>
      </w:r>
    </w:p>
    <w:p>
      <w:pPr>
        <w:spacing w:after="0" w:line="100" w:lineRule="exact"/>
        <w:rPr>
          <w:sz w:val="20"/>
          <w:szCs w:val="20"/>
          <w:color w:val="auto"/>
        </w:rPr>
      </w:pPr>
    </w:p>
    <w:p>
      <w:pPr>
        <w:ind w:right="160" w:firstLine="457"/>
        <w:spacing w:after="0" w:line="317" w:lineRule="auto"/>
        <w:rPr>
          <w:sz w:val="20"/>
          <w:szCs w:val="20"/>
          <w:color w:val="auto"/>
        </w:rPr>
      </w:pPr>
      <w:r>
        <w:rPr>
          <w:rFonts w:ascii="Arial" w:cs="Arial" w:eastAsia="Arial" w:hAnsi="Arial"/>
          <w:sz w:val="16"/>
          <w:szCs w:val="16"/>
          <w:color w:val="auto"/>
        </w:rPr>
        <w:t>As of March 31, 2012, our off-balance sheet arrangements not reflected on the consolidated balance sheet decreased approximately $21,800 to approximately $321,800 as compared to approximately $343,600 at December 31, 2011. The decrease relates primarily to future program rights obligations.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Registration Rights Agreement</w:t>
      </w:r>
    </w:p>
    <w:p>
      <w:pPr>
        <w:spacing w:after="0" w:line="100" w:lineRule="exact"/>
        <w:rPr>
          <w:sz w:val="20"/>
          <w:szCs w:val="20"/>
          <w:color w:val="auto"/>
        </w:rPr>
      </w:pPr>
    </w:p>
    <w:p>
      <w:pPr>
        <w:ind w:firstLine="457"/>
        <w:spacing w:after="0" w:line="303" w:lineRule="auto"/>
        <w:rPr>
          <w:sz w:val="20"/>
          <w:szCs w:val="20"/>
          <w:color w:val="auto"/>
        </w:rPr>
      </w:pPr>
      <w:r>
        <w:rPr>
          <w:rFonts w:ascii="Arial" w:cs="Arial" w:eastAsia="Arial" w:hAnsi="Arial"/>
          <w:sz w:val="15"/>
          <w:szCs w:val="15"/>
          <w:color w:val="auto"/>
        </w:rPr>
        <w:t>AMC Networks entered into a registration rights agreement, dated as of June 30, 2011, among AMC Networks, the Subsidiary Guarantors (as defined in the agreement) and the initial purchasers of the $700,000 of AMC Networks 7.75% Senior Notes due July 15, 2021 (the “Notes”), pursuant to which AMC Networks agreed to file a registration statement with the SEC with respect to an offer to exchange the Notes for registered notes which will have terms identical in all material respects to the Notes except that the registered notes will not contain terms that provide for restrictions on transfer (the “Registered Notes”), and use its commercially reasonable best efforts to cause the exchange offer registration statement to be declared effective by the SEC by July 1, 2012. On April 24, 2012, AMC Networks filed a registration statement with the SEC on Form S-4 relating to its proposed offer to exchange the Notes for Registered Notes. AMC Networks will be required to pay specified additional interest on the Notes if it fails to comply with its registration obligations under the registration rights agreement.</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w:t>
      </w:r>
    </w:p>
    <w:p>
      <w:pPr>
        <w:spacing w:after="0" w:line="100" w:lineRule="exact"/>
        <w:rPr>
          <w:sz w:val="20"/>
          <w:szCs w:val="20"/>
          <w:color w:val="auto"/>
        </w:rPr>
      </w:pPr>
    </w:p>
    <w:p>
      <w:pPr>
        <w:ind w:right="60" w:firstLine="457"/>
        <w:spacing w:after="0" w:line="271" w:lineRule="auto"/>
        <w:rPr>
          <w:sz w:val="20"/>
          <w:szCs w:val="20"/>
          <w:color w:val="auto"/>
        </w:rPr>
      </w:pPr>
      <w:r>
        <w:rPr>
          <w:rFonts w:ascii="Arial" w:cs="Arial" w:eastAsia="Arial" w:hAnsi="Arial"/>
          <w:sz w:val="17"/>
          <w:szCs w:val="17"/>
          <w:color w:val="auto"/>
        </w:rPr>
        <w:t>The following discussion has been included to provide a discussion of our annual impairment testing of goodwill and identifiable indefinite-lived intangible assets performed during the quarter ended March 31, 2012. Accordingly, we have not repeated herein a discussion of the Company’s other critical accounting policies as set forth in our 2011 Form 10-K.</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ectPr>
          <w:pgSz w:w="11900" w:h="16838" w:orient="portrait"/>
          <w:cols w:equalWidth="0" w:num="1">
            <w:col w:w="11420"/>
          </w:cols>
          <w:pgMar w:left="240" w:top="451" w:right="239" w:bottom="1440" w:gutter="0" w:footer="0" w:header="0"/>
        </w:sectPr>
      </w:pPr>
    </w:p>
    <w:bookmarkStart w:id="36" w:name="page37"/>
    <w:bookmarkEnd w:id="3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Impairment of Goodwill and Identifiable Indefinite-Lived Intangible Assets</w:t>
      </w:r>
    </w:p>
    <w:p>
      <w:pPr>
        <w:spacing w:after="0" w:line="94" w:lineRule="exact"/>
        <w:rPr>
          <w:sz w:val="20"/>
          <w:szCs w:val="20"/>
          <w:color w:val="auto"/>
        </w:rPr>
      </w:pPr>
    </w:p>
    <w:p>
      <w:pPr>
        <w:ind w:right="20" w:firstLine="457"/>
        <w:spacing w:after="0" w:line="279" w:lineRule="auto"/>
        <w:rPr>
          <w:sz w:val="20"/>
          <w:szCs w:val="20"/>
          <w:color w:val="auto"/>
        </w:rPr>
      </w:pPr>
      <w:r>
        <w:rPr>
          <w:rFonts w:ascii="Arial" w:cs="Arial" w:eastAsia="Arial" w:hAnsi="Arial"/>
          <w:sz w:val="16"/>
          <w:szCs w:val="16"/>
          <w:color w:val="auto"/>
        </w:rPr>
        <w:t>In accordance with the accounting guidance adopted on January 1, 2012, the annual goodwill impairment test allows for the option to first assess qualitative factors to determine whether it is more likely than not that the fair value of a reporting unit is less than its carrying amount. An entity may choose to perform the qualitative assessment on none, some or all of its reporting units or an entity may bypass the qualitative assessment for any reporting unit and proceed directly to step one of the quantitative impairment test. If it is determined, on the basis of qualitative factors, that the fair value of a reporting unit is, more likely than not, less than its carrying value, the quantitative impairment test is required. The quantitative impairment test is a two-step process. The first step compares the carrying amount of a reporting unit, including goodwill, with its fair value utilizing an enterprise-value based approach. If the carrying amount of a reporting unit exceeds its fair value, the second step of the goodwill impairment test is performed to measure the amount of the goodwill impairment loss, if any. The second step compares the implied fair value of the reporting unit’s goodwill with the carrying amount of that goodwill. If the carrying amount of the reporting unit’s goodwill exceeds the implied fair value of that goodwill, an impairment loss is recognized in an amount equal to that excess. The implied fair value of goodwill is determined in the same manner as the amount of goodwill that would be recognized in a business combination.</w:t>
      </w:r>
    </w:p>
    <w:p>
      <w:pPr>
        <w:spacing w:after="0" w:line="126" w:lineRule="exact"/>
        <w:rPr>
          <w:sz w:val="20"/>
          <w:szCs w:val="20"/>
          <w:color w:val="auto"/>
        </w:rPr>
      </w:pPr>
    </w:p>
    <w:p>
      <w:pPr>
        <w:ind w:right="180" w:firstLine="457"/>
        <w:spacing w:after="0" w:line="271" w:lineRule="auto"/>
        <w:rPr>
          <w:sz w:val="20"/>
          <w:szCs w:val="20"/>
          <w:color w:val="auto"/>
        </w:rPr>
      </w:pPr>
      <w:r>
        <w:rPr>
          <w:rFonts w:ascii="Arial" w:cs="Arial" w:eastAsia="Arial" w:hAnsi="Arial"/>
          <w:sz w:val="17"/>
          <w:szCs w:val="17"/>
          <w:color w:val="auto"/>
        </w:rPr>
        <w:t>For the purpose of evaluating goodwill impairment at the annual impairment test date, we have five reporting units, which recognized goodwill. These reporting units are AMC, WE tv, IFC and Sundance Channel, which are included in the National Networks reportable segment and AMC Networks Broadcasting &amp; Technology, which is included in the International and Other reportable segment.</w:t>
      </w:r>
    </w:p>
    <w:p>
      <w:pPr>
        <w:spacing w:after="0" w:line="128" w:lineRule="exact"/>
        <w:rPr>
          <w:sz w:val="20"/>
          <w:szCs w:val="20"/>
          <w:color w:val="auto"/>
        </w:rPr>
      </w:pPr>
    </w:p>
    <w:p>
      <w:pPr>
        <w:ind w:right="40" w:firstLine="457"/>
        <w:spacing w:after="0" w:line="299" w:lineRule="auto"/>
        <w:rPr>
          <w:sz w:val="20"/>
          <w:szCs w:val="20"/>
          <w:color w:val="auto"/>
        </w:rPr>
      </w:pPr>
      <w:r>
        <w:rPr>
          <w:rFonts w:ascii="Arial" w:cs="Arial" w:eastAsia="Arial" w:hAnsi="Arial"/>
          <w:sz w:val="15"/>
          <w:szCs w:val="15"/>
          <w:color w:val="auto"/>
        </w:rPr>
        <w:t>In assessing the recoverability of goodwill and other long-lived assets, we must make assumptions regarding estimated future cash flows and other factors to determine the fair value of the respective assets. These estimates and assumptions could have a significant impact on whether an impairment charge is recognized and also the magnitude of any such charge. Fair value estimates are made at a specific point in time, based on relevant information. These estimates are subjective in nature and involve uncertainties and matters of significant judgments and therefore cannot be determined with precision. Changes in assumptions could significantly affect the estimates. Estimates of fair value are primarily determined using discounted cash flows and comparable market transactions. These valuations are based on estimates and assumptions including projected future cash flows, discount rate and determination of appropriate market comparables and determination of whether a premium or discount should be applied to comparables. These valuations also include assumptions for the projected number of subscribers and the projected average rates per basic and viewing subscribers and growth in fixed price contractual arrangements used to determine affiliation fee revenue, access to program rights and the cost of such program rights, amount of programming time that is advertiser supported, number of advertising spots available and the sell through rates for those spots, average fee per advertising spot and operating margins, among other assumptions. If these estimates or material related assumptions change in the future, we may be required to record impairment charges related to our long-lived assets.</w:t>
      </w:r>
    </w:p>
    <w:p>
      <w:pPr>
        <w:spacing w:after="0" w:line="112" w:lineRule="exact"/>
        <w:rPr>
          <w:sz w:val="20"/>
          <w:szCs w:val="20"/>
          <w:color w:val="auto"/>
        </w:rPr>
      </w:pPr>
    </w:p>
    <w:p>
      <w:pPr>
        <w:ind w:right="320" w:firstLine="457"/>
        <w:spacing w:after="0" w:line="265" w:lineRule="auto"/>
        <w:rPr>
          <w:sz w:val="20"/>
          <w:szCs w:val="20"/>
          <w:color w:val="auto"/>
        </w:rPr>
      </w:pPr>
      <w:r>
        <w:rPr>
          <w:rFonts w:ascii="Arial" w:cs="Arial" w:eastAsia="Arial" w:hAnsi="Arial"/>
          <w:sz w:val="17"/>
          <w:szCs w:val="17"/>
          <w:color w:val="auto"/>
        </w:rPr>
        <w:t>The impairment test for identifiable indefinite-lived intangible assets consists of a comparison of the estimated fair value of the intangible asset with its carrying value. If the carrying value exceeds its fair value, an impairment loss is recognized in an amount equal to that excess. Significant judgments inherent in a valuation include the selection of appropriate discount and royalty rates, estimating the amount and timing of estimated future cash flows and identification of appropriate continuing growth rate assumptions. The discount rates used in the analysis are intended to reflect the risk inherent in the projected future cash flows generated by the respective intangible assets.</w:t>
      </w:r>
    </w:p>
    <w:p>
      <w:pPr>
        <w:spacing w:after="0" w:line="132" w:lineRule="exact"/>
        <w:rPr>
          <w:sz w:val="20"/>
          <w:szCs w:val="20"/>
          <w:color w:val="auto"/>
        </w:rPr>
      </w:pPr>
    </w:p>
    <w:p>
      <w:pPr>
        <w:ind w:firstLine="457"/>
        <w:spacing w:after="0" w:line="283" w:lineRule="auto"/>
        <w:rPr>
          <w:sz w:val="20"/>
          <w:szCs w:val="20"/>
          <w:color w:val="auto"/>
        </w:rPr>
      </w:pPr>
      <w:r>
        <w:rPr>
          <w:rFonts w:ascii="Arial" w:cs="Arial" w:eastAsia="Arial" w:hAnsi="Arial"/>
          <w:sz w:val="16"/>
          <w:szCs w:val="16"/>
          <w:color w:val="auto"/>
        </w:rPr>
        <w:t>Based on our annual impairment test for goodwill and identifiable indefinite-lived intangible assets during the first quarter of 2012, no impairment charge was required for any of our reporting units. We performed a qualitative assessment for our AMC, WE tv, IFC and AMC Networks Broadcasting and Technology reporting units, which included, but was not limited to, consideration of the historical significant excesses of the estimated fair value of each reporting unit over its respective carrying value (including allocated goodwill), macroeconomic conditions, industry and market considerations, cost factors and historical and projected cash flows. We performed a quantitative assessment for our Sundance Channel reporting unit. Based on the quantitative assessment, if the fair value of the Sundance Channel reporting unit decreased by 11%, the Company would be required to perform step-two of the quantitative assessment.</w:t>
      </w:r>
    </w:p>
    <w:p>
      <w:pPr>
        <w:spacing w:after="0" w:line="121" w:lineRule="exact"/>
        <w:rPr>
          <w:sz w:val="20"/>
          <w:szCs w:val="20"/>
          <w:color w:val="auto"/>
        </w:rPr>
      </w:pPr>
    </w:p>
    <w:p>
      <w:pPr>
        <w:ind w:right="280" w:firstLine="457"/>
        <w:spacing w:after="0" w:line="284" w:lineRule="auto"/>
        <w:rPr>
          <w:sz w:val="20"/>
          <w:szCs w:val="20"/>
          <w:color w:val="auto"/>
        </w:rPr>
      </w:pPr>
      <w:r>
        <w:rPr>
          <w:rFonts w:ascii="Arial" w:cs="Arial" w:eastAsia="Arial" w:hAnsi="Arial"/>
          <w:sz w:val="17"/>
          <w:szCs w:val="17"/>
          <w:color w:val="auto"/>
        </w:rPr>
        <w:t>Our indefinite-lived trademark intangible assets relate to Sundance Channel trademarks, which were valued using a relief-from-royalty method in which the expected benefits are valued by discounting estimated royalty revenue</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37</w:t>
      </w:r>
    </w:p>
    <w:p>
      <w:pPr>
        <w:sectPr>
          <w:pgSz w:w="11900" w:h="16838" w:orient="portrait"/>
          <w:cols w:equalWidth="0" w:num="1">
            <w:col w:w="11420"/>
          </w:cols>
          <w:pgMar w:left="240" w:top="451" w:right="239" w:bottom="1440" w:gutter="0" w:footer="0" w:header="0"/>
        </w:sectPr>
      </w:pPr>
    </w:p>
    <w:bookmarkStart w:id="37" w:name="page38"/>
    <w:bookmarkEnd w:id="3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over projected revenues covered by the trademarks. In order to evaluate the sensitivity of the fair value calculations for our identifiable indefinite-lived intangible assets, we applied a hypothetical 20% decrease to the estimated fair value of the identifiable indefinite-lived intangible assets. This hypothetical decrease in estimated fair value would have no impact on the impairment analysis.</w:t>
      </w:r>
    </w:p>
    <w:p>
      <w:pPr>
        <w:spacing w:after="0" w:line="240" w:lineRule="exact"/>
        <w:rPr>
          <w:sz w:val="20"/>
          <w:szCs w:val="20"/>
          <w:color w:val="auto"/>
        </w:rPr>
      </w:pPr>
    </w:p>
    <w:p>
      <w:pPr>
        <w:spacing w:after="0"/>
        <w:tabs>
          <w:tab w:leader="none" w:pos="900" w:val="left"/>
        </w:tabs>
        <w:rPr>
          <w:sz w:val="20"/>
          <w:szCs w:val="20"/>
          <w:color w:val="auto"/>
        </w:rPr>
      </w:pPr>
      <w:r>
        <w:rPr>
          <w:rFonts w:ascii="Arial" w:cs="Arial" w:eastAsia="Arial" w:hAnsi="Arial"/>
          <w:sz w:val="17"/>
          <w:szCs w:val="17"/>
          <w:b w:val="1"/>
          <w:bCs w:val="1"/>
          <w:color w:val="auto"/>
        </w:rPr>
        <w:t>Item 3.</w:t>
      </w:r>
      <w:r>
        <w:rPr>
          <w:sz w:val="20"/>
          <w:szCs w:val="20"/>
          <w:color w:val="auto"/>
        </w:rPr>
        <w:tab/>
      </w:r>
      <w:r>
        <w:rPr>
          <w:rFonts w:ascii="Arial" w:cs="Arial" w:eastAsia="Arial" w:hAnsi="Arial"/>
          <w:sz w:val="15"/>
          <w:szCs w:val="15"/>
          <w:b w:val="1"/>
          <w:bCs w:val="1"/>
          <w:color w:val="auto"/>
        </w:rPr>
        <w:t>Quantitative and Qualitative Disclosures About Market Risk.</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All dollar amounts included in the following discussion under this Item 3 are presented in thousands.</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Fair Value of Debt</w:t>
      </w:r>
    </w:p>
    <w:p>
      <w:pPr>
        <w:spacing w:after="0" w:line="100" w:lineRule="exact"/>
        <w:rPr>
          <w:sz w:val="20"/>
          <w:szCs w:val="20"/>
          <w:color w:val="auto"/>
        </w:rPr>
      </w:pPr>
    </w:p>
    <w:p>
      <w:pPr>
        <w:ind w:right="60" w:firstLine="457"/>
        <w:spacing w:after="0" w:line="267" w:lineRule="auto"/>
        <w:rPr>
          <w:sz w:val="20"/>
          <w:szCs w:val="20"/>
          <w:color w:val="auto"/>
        </w:rPr>
      </w:pPr>
      <w:r>
        <w:rPr>
          <w:rFonts w:ascii="Arial" w:cs="Arial" w:eastAsia="Arial" w:hAnsi="Arial"/>
          <w:sz w:val="17"/>
          <w:szCs w:val="17"/>
          <w:color w:val="auto"/>
        </w:rPr>
        <w:t>Based on the level of interest rates prevailing at March 31, 2012, the fair value of our fixed rate debt of $780,500 was more than its carrying value of $686,671 by $93,829. The fair value of these financial instruments is estimated based on reference to quoted market prices for these or comparable securities. A hypothetical 100 basis point decrease in interest rates prevailing at March 31, 2012 would increase the estimated fair value of our fixed rate debt by approximately $29,000 to approximately $810,000.</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Managing our Interest Rate Risk</w:t>
      </w:r>
    </w:p>
    <w:p>
      <w:pPr>
        <w:spacing w:after="0" w:line="100" w:lineRule="exact"/>
        <w:rPr>
          <w:sz w:val="20"/>
          <w:szCs w:val="20"/>
          <w:color w:val="auto"/>
        </w:rPr>
      </w:pPr>
    </w:p>
    <w:p>
      <w:pPr>
        <w:ind w:right="160" w:firstLine="457"/>
        <w:spacing w:after="0" w:line="265" w:lineRule="auto"/>
        <w:rPr>
          <w:sz w:val="20"/>
          <w:szCs w:val="20"/>
          <w:color w:val="auto"/>
        </w:rPr>
      </w:pPr>
      <w:r>
        <w:rPr>
          <w:rFonts w:ascii="Arial" w:cs="Arial" w:eastAsia="Arial" w:hAnsi="Arial"/>
          <w:sz w:val="17"/>
          <w:szCs w:val="17"/>
          <w:color w:val="auto"/>
        </w:rPr>
        <w:t>To manage interest rate risk, we enter into interest rate swap contracts from time to time to adjust the amount of total debt that is subject to variable interest rates. Such contracts effectively fix the borrowing rates on floating rate debt to limit the exposure against the risk of rising rates. We do not enter into interest rate swap contracts for speculative or trading purposes and we only enter into interest rate swap contracts with financial institutions that we believe are creditworthy counterparties. We monitor the financial institutions that are counterparties to our interest rate swap contracts and to the extent possible diversify our swap contracts among various counterparties to mitigate exposure to any single financial institution.</w:t>
      </w:r>
    </w:p>
    <w:p>
      <w:pPr>
        <w:spacing w:after="0" w:line="132" w:lineRule="exact"/>
        <w:rPr>
          <w:sz w:val="20"/>
          <w:szCs w:val="20"/>
          <w:color w:val="auto"/>
        </w:rPr>
      </w:pPr>
    </w:p>
    <w:p>
      <w:pPr>
        <w:ind w:right="40" w:firstLine="457"/>
        <w:spacing w:after="0" w:line="271" w:lineRule="auto"/>
        <w:rPr>
          <w:sz w:val="20"/>
          <w:szCs w:val="20"/>
          <w:color w:val="auto"/>
        </w:rPr>
      </w:pPr>
      <w:r>
        <w:rPr>
          <w:rFonts w:ascii="Arial" w:cs="Arial" w:eastAsia="Arial" w:hAnsi="Arial"/>
          <w:sz w:val="17"/>
          <w:szCs w:val="17"/>
          <w:color w:val="auto"/>
        </w:rPr>
        <w:t>As of March 31, 2012, we have $2,240,768 of debt outstanding (excluding capital leases), of which $1,554,097 outstanding under our Credit Facility is subject to variable interest rates. A hypothetical 100 basis point increase in interest rates prevailing at March 31, 2012 could increase our annual interest expense approximately $15,500.</w:t>
      </w:r>
    </w:p>
    <w:p>
      <w:pPr>
        <w:spacing w:after="0" w:line="128" w:lineRule="exact"/>
        <w:rPr>
          <w:sz w:val="20"/>
          <w:szCs w:val="20"/>
          <w:color w:val="auto"/>
        </w:rPr>
      </w:pPr>
    </w:p>
    <w:p>
      <w:pPr>
        <w:ind w:right="60" w:firstLine="457"/>
        <w:spacing w:after="0" w:line="283" w:lineRule="auto"/>
        <w:rPr>
          <w:sz w:val="20"/>
          <w:szCs w:val="20"/>
          <w:color w:val="auto"/>
        </w:rPr>
      </w:pPr>
      <w:r>
        <w:rPr>
          <w:rFonts w:ascii="Arial" w:cs="Arial" w:eastAsia="Arial" w:hAnsi="Arial"/>
          <w:sz w:val="16"/>
          <w:szCs w:val="16"/>
          <w:color w:val="auto"/>
        </w:rPr>
        <w:t>As of March 31, 2012, we have interest rate swap contracts outstanding with notional amounts aggregating $935,000, which includes swap contracts with notional amounts aggregating $200,000 that are effective beginning July 2012. The aggregate fair value of interest rate swap contracts at March 31, 2012 was a liability of $19,911 (included in other liabilities). Accumulated other comprehensive loss consists of $12,544 of cumulative unrealized losses, net of tax, on the floating-to-fixed interest rate swaps. As a result of these transactions, the interest rate paid on approximately 64% of the Company’s debt (excluding capital leases) as of March 31, 2012 is effectively fixed (31% being fixed rate obligations and 33% effectively fixed through utilization of these interest rate swap contracts). At March 31, 2012, the Company’s interest rate cash flow hedges were highly effective, in all material respects.</w:t>
      </w:r>
    </w:p>
    <w:p>
      <w:pPr>
        <w:spacing w:after="0" w:line="233" w:lineRule="exact"/>
        <w:rPr>
          <w:sz w:val="20"/>
          <w:szCs w:val="20"/>
          <w:color w:val="auto"/>
        </w:rPr>
      </w:pPr>
    </w:p>
    <w:p>
      <w:pPr>
        <w:spacing w:after="0"/>
        <w:tabs>
          <w:tab w:leader="none" w:pos="900" w:val="left"/>
        </w:tabs>
        <w:rPr>
          <w:sz w:val="20"/>
          <w:szCs w:val="20"/>
          <w:color w:val="auto"/>
        </w:rPr>
      </w:pPr>
      <w:r>
        <w:rPr>
          <w:rFonts w:ascii="Arial" w:cs="Arial" w:eastAsia="Arial" w:hAnsi="Arial"/>
          <w:sz w:val="17"/>
          <w:szCs w:val="17"/>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Disclosure Controls and Procedures</w:t>
      </w:r>
    </w:p>
    <w:p>
      <w:pPr>
        <w:spacing w:after="0" w:line="100" w:lineRule="exact"/>
        <w:rPr>
          <w:sz w:val="20"/>
          <w:szCs w:val="20"/>
          <w:color w:val="auto"/>
        </w:rPr>
      </w:pPr>
    </w:p>
    <w:p>
      <w:pPr>
        <w:ind w:firstLine="457"/>
        <w:spacing w:after="0" w:line="267" w:lineRule="auto"/>
        <w:rPr>
          <w:sz w:val="20"/>
          <w:szCs w:val="20"/>
          <w:color w:val="auto"/>
        </w:rPr>
      </w:pPr>
      <w:r>
        <w:rPr>
          <w:rFonts w:ascii="Arial" w:cs="Arial" w:eastAsia="Arial" w:hAnsi="Arial"/>
          <w:sz w:val="17"/>
          <w:szCs w:val="17"/>
          <w:color w:val="auto"/>
        </w:rPr>
        <w:t>An evaluation was carried out under the supervision and with the participation of the Company’s management, including our Chief Executive Officer and Chief Financial Officer, of the effectiveness of the design and operation of our disclosure controls and procedures (as defined in Rules 13a-15(e) and 15d-15(e) under the Securities Exchange Act of 1934, as amended). Based upon that evaluation as of March 31, 2012, the Company’s Chief Executive Officer and Chief Financial Officer concluded that the Company’s disclosure controls and procedures are effective.</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100" w:lineRule="exact"/>
        <w:rPr>
          <w:sz w:val="20"/>
          <w:szCs w:val="20"/>
          <w:color w:val="auto"/>
        </w:rPr>
      </w:pPr>
    </w:p>
    <w:p>
      <w:pPr>
        <w:ind w:right="180" w:firstLine="457"/>
        <w:spacing w:after="0" w:line="284" w:lineRule="auto"/>
        <w:rPr>
          <w:sz w:val="20"/>
          <w:szCs w:val="20"/>
          <w:color w:val="auto"/>
        </w:rPr>
      </w:pPr>
      <w:r>
        <w:rPr>
          <w:rFonts w:ascii="Arial" w:cs="Arial" w:eastAsia="Arial" w:hAnsi="Arial"/>
          <w:sz w:val="17"/>
          <w:szCs w:val="17"/>
          <w:color w:val="auto"/>
        </w:rPr>
        <w:t>This report does not include management’s assessment regarding changes in internal control over financial reporting due to a transition period established by rules of the SEC for newly public companies.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38</w:t>
      </w:r>
    </w:p>
    <w:p>
      <w:pPr>
        <w:sectPr>
          <w:pgSz w:w="11900" w:h="16838" w:orient="portrait"/>
          <w:cols w:equalWidth="0" w:num="1">
            <w:col w:w="11400"/>
          </w:cols>
          <w:pgMar w:left="240" w:top="451" w:right="259" w:bottom="1440" w:gutter="0" w:footer="0" w:header="0"/>
        </w:sectPr>
      </w:pPr>
    </w:p>
    <w:bookmarkStart w:id="38" w:name="page39"/>
    <w:bookmarkEnd w:id="3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2340" cy="3810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 II. OTHER INFORMATION</w:t>
      </w:r>
    </w:p>
    <w:p>
      <w:pPr>
        <w:spacing w:after="0" w:line="94" w:lineRule="exact"/>
        <w:rPr>
          <w:sz w:val="20"/>
          <w:szCs w:val="20"/>
          <w:color w:val="auto"/>
        </w:rPr>
      </w:pPr>
    </w:p>
    <w:p>
      <w:pPr>
        <w:spacing w:after="0"/>
        <w:tabs>
          <w:tab w:leader="none" w:pos="900" w:val="left"/>
        </w:tabs>
        <w:rPr>
          <w:sz w:val="20"/>
          <w:szCs w:val="20"/>
          <w:color w:val="auto"/>
        </w:rPr>
      </w:pPr>
      <w:r>
        <w:rPr>
          <w:rFonts w:ascii="Arial" w:cs="Arial" w:eastAsia="Arial" w:hAnsi="Arial"/>
          <w:sz w:val="17"/>
          <w:szCs w:val="17"/>
          <w:b w:val="1"/>
          <w:bCs w:val="1"/>
          <w:color w:val="auto"/>
        </w:rPr>
        <w:t>Item 1.</w:t>
      </w:r>
      <w:r>
        <w:rPr>
          <w:sz w:val="20"/>
          <w:szCs w:val="20"/>
          <w:color w:val="auto"/>
        </w:rPr>
        <w:tab/>
      </w:r>
      <w:r>
        <w:rPr>
          <w:rFonts w:ascii="Arial" w:cs="Arial" w:eastAsia="Arial" w:hAnsi="Arial"/>
          <w:sz w:val="14"/>
          <w:szCs w:val="14"/>
          <w:b w:val="1"/>
          <w:bCs w:val="1"/>
          <w:color w:val="auto"/>
        </w:rPr>
        <w:t>Legal Proceedings.</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See Note 7, Commitments and Contingencies, in the accompanying consolidated financial statements.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40" w:type="dxa"/>
            <w:vAlign w:val="bottom"/>
            <w:gridSpan w:val="2"/>
          </w:tcPr>
          <w:p>
            <w:pPr>
              <w:spacing w:after="0"/>
              <w:rPr>
                <w:sz w:val="20"/>
                <w:szCs w:val="20"/>
                <w:color w:val="auto"/>
              </w:rPr>
            </w:pPr>
            <w:r>
              <w:rPr>
                <w:rFonts w:ascii="Arial" w:cs="Arial" w:eastAsia="Arial" w:hAnsi="Arial"/>
                <w:sz w:val="17"/>
                <w:szCs w:val="17"/>
                <w:b w:val="1"/>
                <w:bCs w:val="1"/>
                <w:color w:val="auto"/>
              </w:rPr>
              <w:t>Item 2.</w:t>
            </w:r>
          </w:p>
        </w:tc>
        <w:tc>
          <w:tcPr>
            <w:tcW w:w="4760" w:type="dxa"/>
            <w:vAlign w:val="bottom"/>
            <w:gridSpan w:val="3"/>
          </w:tcPr>
          <w:p>
            <w:pPr>
              <w:ind w:left="80"/>
              <w:spacing w:after="0"/>
              <w:rPr>
                <w:sz w:val="20"/>
                <w:szCs w:val="20"/>
                <w:color w:val="auto"/>
              </w:rPr>
            </w:pPr>
            <w:r>
              <w:rPr>
                <w:rFonts w:ascii="Arial" w:cs="Arial" w:eastAsia="Arial" w:hAnsi="Arial"/>
                <w:sz w:val="17"/>
                <w:szCs w:val="17"/>
                <w:b w:val="1"/>
                <w:bCs w:val="1"/>
                <w:color w:val="auto"/>
                <w:w w:val="94"/>
              </w:rPr>
              <w:t>Unregistered Sales of Equity Securities and Use of Proceeds.</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2"/>
        </w:trPr>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6"/>
              </w:rPr>
              <w:t>(d)</w:t>
            </w:r>
          </w:p>
        </w:tc>
        <w:tc>
          <w:tcPr>
            <w:tcW w:w="0" w:type="dxa"/>
            <w:vAlign w:val="bottom"/>
          </w:tcPr>
          <w:p>
            <w:pPr>
              <w:spacing w:after="0"/>
              <w:rPr>
                <w:sz w:val="1"/>
                <w:szCs w:val="1"/>
                <w:color w:val="auto"/>
              </w:rPr>
            </w:pPr>
          </w:p>
        </w:tc>
      </w:tr>
      <w:tr>
        <w:trPr>
          <w:trHeight w:val="145"/>
        </w:trPr>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20" w:type="dxa"/>
            <w:vAlign w:val="bottom"/>
            <w:gridSpan w:val="2"/>
          </w:tcPr>
          <w:p>
            <w:pPr>
              <w:jc w:val="center"/>
              <w:ind w:right="840"/>
              <w:spacing w:after="0" w:line="145" w:lineRule="exact"/>
              <w:rPr>
                <w:sz w:val="20"/>
                <w:szCs w:val="20"/>
                <w:color w:val="auto"/>
              </w:rPr>
            </w:pPr>
            <w:r>
              <w:rPr>
                <w:rFonts w:ascii="Arial" w:cs="Arial" w:eastAsia="Arial" w:hAnsi="Arial"/>
                <w:sz w:val="13"/>
                <w:szCs w:val="13"/>
                <w:b w:val="1"/>
                <w:bCs w:val="1"/>
                <w:color w:val="auto"/>
                <w:w w:val="87"/>
              </w:rPr>
              <w:t>(c)</w:t>
            </w:r>
          </w:p>
        </w:tc>
        <w:tc>
          <w:tcPr>
            <w:tcW w:w="1380" w:type="dxa"/>
            <w:vAlign w:val="bottom"/>
            <w:gridSpan w:val="2"/>
          </w:tcPr>
          <w:p>
            <w:pPr>
              <w:jc w:val="center"/>
              <w:ind w:right="100"/>
              <w:spacing w:after="0" w:line="145" w:lineRule="exact"/>
              <w:rPr>
                <w:sz w:val="20"/>
                <w:szCs w:val="20"/>
                <w:color w:val="auto"/>
              </w:rPr>
            </w:pPr>
            <w:r>
              <w:rPr>
                <w:rFonts w:ascii="Arial" w:cs="Arial" w:eastAsia="Arial" w:hAnsi="Arial"/>
                <w:sz w:val="13"/>
                <w:szCs w:val="13"/>
                <w:b w:val="1"/>
                <w:bCs w:val="1"/>
                <w:color w:val="auto"/>
                <w:w w:val="95"/>
              </w:rPr>
              <w:t>Maximum Number (or</w:t>
            </w:r>
          </w:p>
        </w:tc>
        <w:tc>
          <w:tcPr>
            <w:tcW w:w="0" w:type="dxa"/>
            <w:vAlign w:val="bottom"/>
          </w:tcPr>
          <w:p>
            <w:pPr>
              <w:spacing w:after="0"/>
              <w:rPr>
                <w:sz w:val="1"/>
                <w:szCs w:val="1"/>
                <w:color w:val="auto"/>
              </w:rPr>
            </w:pPr>
          </w:p>
        </w:tc>
      </w:tr>
      <w:tr>
        <w:trPr>
          <w:trHeight w:val="145"/>
        </w:trPr>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520" w:type="dxa"/>
            <w:vAlign w:val="bottom"/>
            <w:gridSpan w:val="2"/>
          </w:tcPr>
          <w:p>
            <w:pPr>
              <w:jc w:val="center"/>
              <w:ind w:right="560"/>
              <w:spacing w:after="0" w:line="145" w:lineRule="exact"/>
              <w:rPr>
                <w:sz w:val="20"/>
                <w:szCs w:val="20"/>
                <w:color w:val="auto"/>
              </w:rPr>
            </w:pPr>
            <w:r>
              <w:rPr>
                <w:rFonts w:ascii="Arial" w:cs="Arial" w:eastAsia="Arial" w:hAnsi="Arial"/>
                <w:sz w:val="13"/>
                <w:szCs w:val="13"/>
                <w:b w:val="1"/>
                <w:bCs w:val="1"/>
                <w:color w:val="auto"/>
              </w:rPr>
              <w:t>(a)</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20" w:type="dxa"/>
            <w:vAlign w:val="bottom"/>
            <w:gridSpan w:val="2"/>
          </w:tcPr>
          <w:p>
            <w:pPr>
              <w:jc w:val="center"/>
              <w:ind w:right="840"/>
              <w:spacing w:after="0" w:line="145" w:lineRule="exact"/>
              <w:rPr>
                <w:sz w:val="20"/>
                <w:szCs w:val="20"/>
                <w:color w:val="auto"/>
              </w:rPr>
            </w:pPr>
            <w:r>
              <w:rPr>
                <w:rFonts w:ascii="Arial" w:cs="Arial" w:eastAsia="Arial" w:hAnsi="Arial"/>
                <w:sz w:val="13"/>
                <w:szCs w:val="13"/>
                <w:b w:val="1"/>
                <w:bCs w:val="1"/>
                <w:color w:val="auto"/>
                <w:w w:val="98"/>
              </w:rPr>
              <w:t>Total Number of</w:t>
            </w:r>
          </w:p>
        </w:tc>
        <w:tc>
          <w:tcPr>
            <w:tcW w:w="1380" w:type="dxa"/>
            <w:vAlign w:val="bottom"/>
            <w:gridSpan w:val="2"/>
          </w:tcPr>
          <w:p>
            <w:pPr>
              <w:jc w:val="center"/>
              <w:ind w:right="80"/>
              <w:spacing w:after="0" w:line="145" w:lineRule="exact"/>
              <w:rPr>
                <w:sz w:val="20"/>
                <w:szCs w:val="20"/>
                <w:color w:val="auto"/>
              </w:rPr>
            </w:pPr>
            <w:r>
              <w:rPr>
                <w:rFonts w:ascii="Arial" w:cs="Arial" w:eastAsia="Arial" w:hAnsi="Arial"/>
                <w:sz w:val="13"/>
                <w:szCs w:val="13"/>
                <w:b w:val="1"/>
                <w:bCs w:val="1"/>
                <w:color w:val="auto"/>
                <w:w w:val="95"/>
              </w:rPr>
              <w:t>Approximate Dollar</w:t>
            </w:r>
          </w:p>
        </w:tc>
        <w:tc>
          <w:tcPr>
            <w:tcW w:w="0" w:type="dxa"/>
            <w:vAlign w:val="bottom"/>
          </w:tcPr>
          <w:p>
            <w:pPr>
              <w:spacing w:after="0"/>
              <w:rPr>
                <w:sz w:val="1"/>
                <w:szCs w:val="1"/>
                <w:color w:val="auto"/>
              </w:rPr>
            </w:pPr>
          </w:p>
        </w:tc>
      </w:tr>
      <w:tr>
        <w:trPr>
          <w:trHeight w:val="145"/>
        </w:trPr>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520" w:type="dxa"/>
            <w:vAlign w:val="bottom"/>
            <w:gridSpan w:val="2"/>
          </w:tcPr>
          <w:p>
            <w:pPr>
              <w:jc w:val="center"/>
              <w:ind w:right="600"/>
              <w:spacing w:after="0" w:line="145" w:lineRule="exact"/>
              <w:rPr>
                <w:sz w:val="20"/>
                <w:szCs w:val="20"/>
                <w:color w:val="auto"/>
              </w:rPr>
            </w:pPr>
            <w:r>
              <w:rPr>
                <w:rFonts w:ascii="Arial" w:cs="Arial" w:eastAsia="Arial" w:hAnsi="Arial"/>
                <w:sz w:val="13"/>
                <w:szCs w:val="13"/>
                <w:b w:val="1"/>
                <w:bCs w:val="1"/>
                <w:color w:val="auto"/>
                <w:w w:val="95"/>
              </w:rPr>
              <w:t>Total Number</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tcPr>
          <w:p>
            <w:pPr>
              <w:jc w:val="center"/>
              <w:ind w:right="960"/>
              <w:spacing w:after="0" w:line="145" w:lineRule="exact"/>
              <w:rPr>
                <w:sz w:val="20"/>
                <w:szCs w:val="20"/>
                <w:color w:val="auto"/>
              </w:rPr>
            </w:pPr>
            <w:r>
              <w:rPr>
                <w:rFonts w:ascii="Arial" w:cs="Arial" w:eastAsia="Arial" w:hAnsi="Arial"/>
                <w:sz w:val="13"/>
                <w:szCs w:val="13"/>
                <w:b w:val="1"/>
                <w:bCs w:val="1"/>
                <w:color w:val="auto"/>
                <w:w w:val="96"/>
              </w:rPr>
              <w:t>(b)</w:t>
            </w:r>
          </w:p>
        </w:tc>
        <w:tc>
          <w:tcPr>
            <w:tcW w:w="2020" w:type="dxa"/>
            <w:vAlign w:val="bottom"/>
            <w:gridSpan w:val="2"/>
          </w:tcPr>
          <w:p>
            <w:pPr>
              <w:jc w:val="center"/>
              <w:ind w:right="840"/>
              <w:spacing w:after="0" w:line="145" w:lineRule="exact"/>
              <w:rPr>
                <w:sz w:val="20"/>
                <w:szCs w:val="20"/>
                <w:color w:val="auto"/>
              </w:rPr>
            </w:pPr>
            <w:r>
              <w:rPr>
                <w:rFonts w:ascii="Arial" w:cs="Arial" w:eastAsia="Arial" w:hAnsi="Arial"/>
                <w:sz w:val="13"/>
                <w:szCs w:val="13"/>
                <w:b w:val="1"/>
                <w:bCs w:val="1"/>
                <w:color w:val="auto"/>
                <w:w w:val="89"/>
              </w:rPr>
              <w:t>Shares (or Units)</w:t>
            </w:r>
          </w:p>
        </w:tc>
        <w:tc>
          <w:tcPr>
            <w:tcW w:w="1380" w:type="dxa"/>
            <w:vAlign w:val="bottom"/>
            <w:gridSpan w:val="2"/>
          </w:tcPr>
          <w:p>
            <w:pPr>
              <w:jc w:val="center"/>
              <w:ind w:right="100"/>
              <w:spacing w:after="0" w:line="145" w:lineRule="exact"/>
              <w:rPr>
                <w:sz w:val="20"/>
                <w:szCs w:val="20"/>
                <w:color w:val="auto"/>
              </w:rPr>
            </w:pPr>
            <w:r>
              <w:rPr>
                <w:rFonts w:ascii="Arial" w:cs="Arial" w:eastAsia="Arial" w:hAnsi="Arial"/>
                <w:sz w:val="13"/>
                <w:szCs w:val="13"/>
                <w:b w:val="1"/>
                <w:bCs w:val="1"/>
                <w:color w:val="auto"/>
                <w:w w:val="91"/>
              </w:rPr>
              <w:t>Value) of Shares (or</w:t>
            </w:r>
          </w:p>
        </w:tc>
        <w:tc>
          <w:tcPr>
            <w:tcW w:w="0" w:type="dxa"/>
            <w:vAlign w:val="bottom"/>
          </w:tcPr>
          <w:p>
            <w:pPr>
              <w:spacing w:after="0"/>
              <w:rPr>
                <w:sz w:val="1"/>
                <w:szCs w:val="1"/>
                <w:color w:val="auto"/>
              </w:rPr>
            </w:pPr>
          </w:p>
        </w:tc>
      </w:tr>
      <w:tr>
        <w:trPr>
          <w:trHeight w:val="145"/>
        </w:trPr>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520" w:type="dxa"/>
            <w:vAlign w:val="bottom"/>
            <w:gridSpan w:val="2"/>
          </w:tcPr>
          <w:p>
            <w:pPr>
              <w:jc w:val="center"/>
              <w:ind w:right="560"/>
              <w:spacing w:after="0" w:line="145" w:lineRule="exact"/>
              <w:rPr>
                <w:sz w:val="20"/>
                <w:szCs w:val="20"/>
                <w:color w:val="auto"/>
              </w:rPr>
            </w:pPr>
            <w:r>
              <w:rPr>
                <w:rFonts w:ascii="Arial" w:cs="Arial" w:eastAsia="Arial" w:hAnsi="Arial"/>
                <w:sz w:val="13"/>
                <w:szCs w:val="13"/>
                <w:b w:val="1"/>
                <w:bCs w:val="1"/>
                <w:color w:val="auto"/>
                <w:w w:val="97"/>
              </w:rPr>
              <w:t>of</w:t>
            </w:r>
          </w:p>
        </w:tc>
        <w:tc>
          <w:tcPr>
            <w:tcW w:w="280" w:type="dxa"/>
            <w:vAlign w:val="bottom"/>
          </w:tcPr>
          <w:p>
            <w:pPr>
              <w:spacing w:after="0"/>
              <w:rPr>
                <w:sz w:val="12"/>
                <w:szCs w:val="12"/>
                <w:color w:val="auto"/>
              </w:rPr>
            </w:pPr>
          </w:p>
        </w:tc>
        <w:tc>
          <w:tcPr>
            <w:tcW w:w="1680" w:type="dxa"/>
            <w:vAlign w:val="bottom"/>
            <w:gridSpan w:val="3"/>
          </w:tcPr>
          <w:p>
            <w:pPr>
              <w:jc w:val="center"/>
              <w:ind w:right="840"/>
              <w:spacing w:after="0" w:line="145" w:lineRule="exact"/>
              <w:rPr>
                <w:sz w:val="20"/>
                <w:szCs w:val="20"/>
                <w:color w:val="auto"/>
              </w:rPr>
            </w:pPr>
            <w:r>
              <w:rPr>
                <w:rFonts w:ascii="Arial" w:cs="Arial" w:eastAsia="Arial" w:hAnsi="Arial"/>
                <w:sz w:val="13"/>
                <w:szCs w:val="13"/>
                <w:b w:val="1"/>
                <w:bCs w:val="1"/>
                <w:color w:val="auto"/>
                <w:w w:val="92"/>
              </w:rPr>
              <w:t>Average Price</w:t>
            </w:r>
          </w:p>
        </w:tc>
        <w:tc>
          <w:tcPr>
            <w:tcW w:w="2020" w:type="dxa"/>
            <w:vAlign w:val="bottom"/>
            <w:gridSpan w:val="2"/>
          </w:tcPr>
          <w:p>
            <w:pPr>
              <w:jc w:val="center"/>
              <w:ind w:right="840"/>
              <w:spacing w:after="0" w:line="145" w:lineRule="exact"/>
              <w:rPr>
                <w:sz w:val="20"/>
                <w:szCs w:val="20"/>
                <w:color w:val="auto"/>
              </w:rPr>
            </w:pPr>
            <w:r>
              <w:rPr>
                <w:rFonts w:ascii="Arial" w:cs="Arial" w:eastAsia="Arial" w:hAnsi="Arial"/>
                <w:sz w:val="13"/>
                <w:szCs w:val="13"/>
                <w:b w:val="1"/>
                <w:bCs w:val="1"/>
                <w:color w:val="auto"/>
                <w:w w:val="91"/>
              </w:rPr>
              <w:t>Purchased as Part of</w:t>
            </w:r>
          </w:p>
        </w:tc>
        <w:tc>
          <w:tcPr>
            <w:tcW w:w="1380" w:type="dxa"/>
            <w:vAlign w:val="bottom"/>
            <w:gridSpan w:val="2"/>
          </w:tcPr>
          <w:p>
            <w:pPr>
              <w:jc w:val="center"/>
              <w:ind w:right="100"/>
              <w:spacing w:after="0" w:line="145" w:lineRule="exact"/>
              <w:rPr>
                <w:sz w:val="20"/>
                <w:szCs w:val="20"/>
                <w:color w:val="auto"/>
              </w:rPr>
            </w:pPr>
            <w:r>
              <w:rPr>
                <w:rFonts w:ascii="Arial" w:cs="Arial" w:eastAsia="Arial" w:hAnsi="Arial"/>
                <w:sz w:val="13"/>
                <w:szCs w:val="13"/>
                <w:b w:val="1"/>
                <w:bCs w:val="1"/>
                <w:color w:val="auto"/>
                <w:w w:val="93"/>
              </w:rPr>
              <w:t>Units) that May Yet Be</w:t>
            </w:r>
          </w:p>
        </w:tc>
        <w:tc>
          <w:tcPr>
            <w:tcW w:w="0" w:type="dxa"/>
            <w:vAlign w:val="bottom"/>
          </w:tcPr>
          <w:p>
            <w:pPr>
              <w:spacing w:after="0"/>
              <w:rPr>
                <w:sz w:val="1"/>
                <w:szCs w:val="1"/>
                <w:color w:val="auto"/>
              </w:rPr>
            </w:pPr>
          </w:p>
        </w:tc>
      </w:tr>
      <w:tr>
        <w:trPr>
          <w:trHeight w:val="145"/>
        </w:trPr>
        <w:tc>
          <w:tcPr>
            <w:tcW w:w="460" w:type="dxa"/>
            <w:vAlign w:val="bottom"/>
            <w:vMerge w:val="restart"/>
          </w:tcPr>
          <w:p>
            <w:pPr>
              <w:spacing w:after="0"/>
              <w:rPr>
                <w:sz w:val="12"/>
                <w:szCs w:val="12"/>
                <w:color w:val="auto"/>
              </w:rPr>
            </w:pPr>
          </w:p>
        </w:tc>
        <w:tc>
          <w:tcPr>
            <w:tcW w:w="380" w:type="dxa"/>
            <w:vAlign w:val="bottom"/>
            <w:vMerge w:val="restart"/>
          </w:tcPr>
          <w:p>
            <w:pPr>
              <w:spacing w:after="0"/>
              <w:rPr>
                <w:sz w:val="20"/>
                <w:szCs w:val="20"/>
                <w:color w:val="auto"/>
              </w:rPr>
            </w:pPr>
            <w:r>
              <w:rPr>
                <w:rFonts w:ascii="Arial" w:cs="Arial" w:eastAsia="Arial" w:hAnsi="Arial"/>
                <w:sz w:val="13"/>
                <w:szCs w:val="13"/>
                <w:b w:val="1"/>
                <w:bCs w:val="1"/>
                <w:color w:val="auto"/>
                <w:w w:val="88"/>
              </w:rPr>
              <w:t>Period</w:t>
            </w:r>
          </w:p>
        </w:tc>
        <w:tc>
          <w:tcPr>
            <w:tcW w:w="3240" w:type="dxa"/>
            <w:vAlign w:val="bottom"/>
          </w:tcPr>
          <w:p>
            <w:pPr>
              <w:spacing w:after="0"/>
              <w:rPr>
                <w:sz w:val="12"/>
                <w:szCs w:val="12"/>
                <w:color w:val="auto"/>
              </w:rPr>
            </w:pPr>
          </w:p>
        </w:tc>
        <w:tc>
          <w:tcPr>
            <w:tcW w:w="1520" w:type="dxa"/>
            <w:vAlign w:val="bottom"/>
            <w:gridSpan w:val="2"/>
          </w:tcPr>
          <w:p>
            <w:pPr>
              <w:jc w:val="center"/>
              <w:ind w:right="560"/>
              <w:spacing w:after="0" w:line="145" w:lineRule="exact"/>
              <w:rPr>
                <w:sz w:val="20"/>
                <w:szCs w:val="20"/>
                <w:color w:val="auto"/>
              </w:rPr>
            </w:pPr>
            <w:r>
              <w:rPr>
                <w:rFonts w:ascii="Arial" w:cs="Arial" w:eastAsia="Arial" w:hAnsi="Arial"/>
                <w:sz w:val="13"/>
                <w:szCs w:val="13"/>
                <w:b w:val="1"/>
                <w:bCs w:val="1"/>
                <w:color w:val="auto"/>
                <w:w w:val="91"/>
              </w:rPr>
              <w:t>Shares (or Units)</w:t>
            </w:r>
          </w:p>
        </w:tc>
        <w:tc>
          <w:tcPr>
            <w:tcW w:w="280" w:type="dxa"/>
            <w:vAlign w:val="bottom"/>
          </w:tcPr>
          <w:p>
            <w:pPr>
              <w:spacing w:after="0"/>
              <w:rPr>
                <w:sz w:val="12"/>
                <w:szCs w:val="12"/>
                <w:color w:val="auto"/>
              </w:rPr>
            </w:pPr>
          </w:p>
        </w:tc>
        <w:tc>
          <w:tcPr>
            <w:tcW w:w="1680" w:type="dxa"/>
            <w:vAlign w:val="bottom"/>
            <w:gridSpan w:val="3"/>
          </w:tcPr>
          <w:p>
            <w:pPr>
              <w:spacing w:after="0" w:line="145" w:lineRule="exact"/>
              <w:rPr>
                <w:sz w:val="20"/>
                <w:szCs w:val="20"/>
                <w:color w:val="auto"/>
              </w:rPr>
            </w:pPr>
            <w:r>
              <w:rPr>
                <w:rFonts w:ascii="Arial" w:cs="Arial" w:eastAsia="Arial" w:hAnsi="Arial"/>
                <w:sz w:val="13"/>
                <w:szCs w:val="13"/>
                <w:b w:val="1"/>
                <w:bCs w:val="1"/>
                <w:color w:val="auto"/>
              </w:rPr>
              <w:t>Paid per Share</w:t>
            </w:r>
          </w:p>
        </w:tc>
        <w:tc>
          <w:tcPr>
            <w:tcW w:w="2020" w:type="dxa"/>
            <w:vAlign w:val="bottom"/>
            <w:gridSpan w:val="2"/>
          </w:tcPr>
          <w:p>
            <w:pPr>
              <w:jc w:val="center"/>
              <w:ind w:right="840"/>
              <w:spacing w:after="0" w:line="145" w:lineRule="exact"/>
              <w:rPr>
                <w:sz w:val="20"/>
                <w:szCs w:val="20"/>
                <w:color w:val="auto"/>
              </w:rPr>
            </w:pPr>
            <w:r>
              <w:rPr>
                <w:rFonts w:ascii="Arial" w:cs="Arial" w:eastAsia="Arial" w:hAnsi="Arial"/>
                <w:sz w:val="13"/>
                <w:szCs w:val="13"/>
                <w:b w:val="1"/>
                <w:bCs w:val="1"/>
                <w:color w:val="auto"/>
                <w:w w:val="91"/>
              </w:rPr>
              <w:t>Publicly Announced</w:t>
            </w:r>
          </w:p>
        </w:tc>
        <w:tc>
          <w:tcPr>
            <w:tcW w:w="1380" w:type="dxa"/>
            <w:vAlign w:val="bottom"/>
            <w:gridSpan w:val="2"/>
          </w:tcPr>
          <w:p>
            <w:pPr>
              <w:jc w:val="center"/>
              <w:ind w:right="80"/>
              <w:spacing w:after="0" w:line="145" w:lineRule="exact"/>
              <w:rPr>
                <w:sz w:val="20"/>
                <w:szCs w:val="20"/>
                <w:color w:val="auto"/>
              </w:rPr>
            </w:pPr>
            <w:r>
              <w:rPr>
                <w:rFonts w:ascii="Arial" w:cs="Arial" w:eastAsia="Arial" w:hAnsi="Arial"/>
                <w:sz w:val="13"/>
                <w:szCs w:val="13"/>
                <w:b w:val="1"/>
                <w:bCs w:val="1"/>
                <w:color w:val="auto"/>
                <w:w w:val="90"/>
              </w:rPr>
              <w:t>Purchased Under the</w:t>
            </w:r>
          </w:p>
        </w:tc>
        <w:tc>
          <w:tcPr>
            <w:tcW w:w="0" w:type="dxa"/>
            <w:vAlign w:val="bottom"/>
          </w:tcPr>
          <w:p>
            <w:pPr>
              <w:spacing w:after="0"/>
              <w:rPr>
                <w:sz w:val="1"/>
                <w:szCs w:val="1"/>
                <w:color w:val="auto"/>
              </w:rPr>
            </w:pPr>
          </w:p>
        </w:tc>
      </w:tr>
      <w:tr>
        <w:trPr>
          <w:trHeight w:val="165"/>
        </w:trPr>
        <w:tc>
          <w:tcPr>
            <w:tcW w:w="460" w:type="dxa"/>
            <w:vAlign w:val="bottom"/>
            <w:vMerge w:val="continue"/>
          </w:tcPr>
          <w:p>
            <w:pPr>
              <w:spacing w:after="0"/>
              <w:rPr>
                <w:sz w:val="14"/>
                <w:szCs w:val="14"/>
                <w:color w:val="auto"/>
              </w:rPr>
            </w:pPr>
          </w:p>
        </w:tc>
        <w:tc>
          <w:tcPr>
            <w:tcW w:w="380" w:type="dxa"/>
            <w:vAlign w:val="bottom"/>
            <w:tcBorders>
              <w:bottom w:val="single" w:sz="8" w:color="auto"/>
            </w:tcBorders>
            <w:vMerge w:val="continue"/>
          </w:tcPr>
          <w:p>
            <w:pPr>
              <w:spacing w:after="0"/>
              <w:rPr>
                <w:sz w:val="14"/>
                <w:szCs w:val="14"/>
                <w:color w:val="auto"/>
              </w:rPr>
            </w:pPr>
          </w:p>
        </w:tc>
        <w:tc>
          <w:tcPr>
            <w:tcW w:w="3240" w:type="dxa"/>
            <w:vAlign w:val="bottom"/>
          </w:tcPr>
          <w:p>
            <w:pPr>
              <w:spacing w:after="0"/>
              <w:rPr>
                <w:sz w:val="14"/>
                <w:szCs w:val="14"/>
                <w:color w:val="auto"/>
              </w:rPr>
            </w:pPr>
          </w:p>
        </w:tc>
        <w:tc>
          <w:tcPr>
            <w:tcW w:w="1520" w:type="dxa"/>
            <w:vAlign w:val="bottom"/>
            <w:gridSpan w:val="2"/>
          </w:tcPr>
          <w:p>
            <w:pPr>
              <w:jc w:val="center"/>
              <w:ind w:right="560"/>
              <w:spacing w:after="0" w:line="144" w:lineRule="exact"/>
              <w:rPr>
                <w:sz w:val="20"/>
                <w:szCs w:val="20"/>
                <w:color w:val="auto"/>
              </w:rPr>
            </w:pPr>
            <w:r>
              <w:rPr>
                <w:rFonts w:ascii="Arial" w:cs="Arial" w:eastAsia="Arial" w:hAnsi="Arial"/>
                <w:sz w:val="13"/>
                <w:szCs w:val="13"/>
                <w:b w:val="1"/>
                <w:bCs w:val="1"/>
                <w:color w:val="auto"/>
                <w:w w:val="90"/>
              </w:rPr>
              <w:t>Purchased</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tcPr>
          <w:p>
            <w:pPr>
              <w:jc w:val="center"/>
              <w:ind w:right="960"/>
              <w:spacing w:after="0" w:line="144" w:lineRule="exact"/>
              <w:rPr>
                <w:sz w:val="20"/>
                <w:szCs w:val="20"/>
                <w:color w:val="auto"/>
              </w:rPr>
            </w:pPr>
            <w:r>
              <w:rPr>
                <w:rFonts w:ascii="Arial" w:cs="Arial" w:eastAsia="Arial" w:hAnsi="Arial"/>
                <w:sz w:val="13"/>
                <w:szCs w:val="13"/>
                <w:b w:val="1"/>
                <w:bCs w:val="1"/>
                <w:color w:val="auto"/>
                <w:w w:val="94"/>
              </w:rPr>
              <w:t>(or Unit)</w:t>
            </w:r>
          </w:p>
        </w:tc>
        <w:tc>
          <w:tcPr>
            <w:tcW w:w="2020" w:type="dxa"/>
            <w:vAlign w:val="bottom"/>
            <w:gridSpan w:val="2"/>
          </w:tcPr>
          <w:p>
            <w:pPr>
              <w:jc w:val="center"/>
              <w:ind w:right="840"/>
              <w:spacing w:after="0" w:line="144" w:lineRule="exact"/>
              <w:rPr>
                <w:sz w:val="20"/>
                <w:szCs w:val="20"/>
                <w:color w:val="auto"/>
              </w:rPr>
            </w:pPr>
            <w:r>
              <w:rPr>
                <w:rFonts w:ascii="Arial" w:cs="Arial" w:eastAsia="Arial" w:hAnsi="Arial"/>
                <w:sz w:val="13"/>
                <w:szCs w:val="13"/>
                <w:b w:val="1"/>
                <w:bCs w:val="1"/>
                <w:color w:val="auto"/>
                <w:w w:val="91"/>
              </w:rPr>
              <w:t>Plans or Programs</w:t>
            </w:r>
          </w:p>
        </w:tc>
        <w:tc>
          <w:tcPr>
            <w:tcW w:w="1380" w:type="dxa"/>
            <w:vAlign w:val="bottom"/>
            <w:gridSpan w:val="2"/>
          </w:tcPr>
          <w:p>
            <w:pPr>
              <w:jc w:val="center"/>
              <w:ind w:right="100"/>
              <w:spacing w:after="0" w:line="144" w:lineRule="exact"/>
              <w:rPr>
                <w:sz w:val="20"/>
                <w:szCs w:val="20"/>
                <w:color w:val="auto"/>
              </w:rPr>
            </w:pPr>
            <w:r>
              <w:rPr>
                <w:rFonts w:ascii="Arial" w:cs="Arial" w:eastAsia="Arial" w:hAnsi="Arial"/>
                <w:sz w:val="13"/>
                <w:szCs w:val="13"/>
                <w:b w:val="1"/>
                <w:bCs w:val="1"/>
                <w:color w:val="auto"/>
                <w:w w:val="89"/>
              </w:rPr>
              <w:t>Plans or Programs</w:t>
            </w:r>
          </w:p>
        </w:tc>
        <w:tc>
          <w:tcPr>
            <w:tcW w:w="0" w:type="dxa"/>
            <w:vAlign w:val="bottom"/>
          </w:tcPr>
          <w:p>
            <w:pPr>
              <w:spacing w:after="0"/>
              <w:rPr>
                <w:sz w:val="1"/>
                <w:szCs w:val="1"/>
                <w:color w:val="auto"/>
              </w:rPr>
            </w:pPr>
          </w:p>
        </w:tc>
      </w:tr>
      <w:tr>
        <w:trPr>
          <w:trHeight w:val="197"/>
        </w:trPr>
        <w:tc>
          <w:tcPr>
            <w:tcW w:w="460" w:type="dxa"/>
            <w:vAlign w:val="bottom"/>
          </w:tcPr>
          <w:p>
            <w:pPr>
              <w:spacing w:after="0"/>
              <w:rPr>
                <w:sz w:val="17"/>
                <w:szCs w:val="17"/>
                <w:color w:val="auto"/>
              </w:rPr>
            </w:pPr>
          </w:p>
        </w:tc>
        <w:tc>
          <w:tcPr>
            <w:tcW w:w="36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January 1, 2012 to January 31, 2012</w:t>
            </w:r>
          </w:p>
        </w:tc>
        <w:tc>
          <w:tcPr>
            <w:tcW w:w="9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7"/>
                <w:szCs w:val="17"/>
                <w:color w:val="auto"/>
              </w:rPr>
              <w:t>—</w:t>
            </w:r>
          </w:p>
        </w:tc>
        <w:tc>
          <w:tcPr>
            <w:tcW w:w="5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7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ind w:left="880"/>
              <w:spacing w:after="0"/>
              <w:rPr>
                <w:sz w:val="20"/>
                <w:szCs w:val="20"/>
                <w:color w:val="auto"/>
              </w:rPr>
            </w:pPr>
            <w:r>
              <w:rPr>
                <w:rFonts w:ascii="Arial" w:cs="Arial" w:eastAsia="Arial" w:hAnsi="Arial"/>
                <w:sz w:val="17"/>
                <w:szCs w:val="17"/>
                <w:color w:val="auto"/>
                <w:w w:val="98"/>
              </w:rPr>
              <w:t>N/A</w:t>
            </w:r>
          </w:p>
        </w:tc>
        <w:tc>
          <w:tcPr>
            <w:tcW w:w="84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ind w:left="1000"/>
              <w:spacing w:after="0"/>
              <w:rPr>
                <w:sz w:val="20"/>
                <w:szCs w:val="20"/>
                <w:color w:val="auto"/>
              </w:rPr>
            </w:pPr>
            <w:r>
              <w:rPr>
                <w:rFonts w:ascii="Arial" w:cs="Arial" w:eastAsia="Arial" w:hAnsi="Arial"/>
                <w:sz w:val="17"/>
                <w:szCs w:val="17"/>
                <w:color w:val="auto"/>
                <w:w w:val="91"/>
              </w:rPr>
              <w:t>N/A</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60" w:type="dxa"/>
            <w:vAlign w:val="bottom"/>
          </w:tcPr>
          <w:p>
            <w:pPr>
              <w:spacing w:after="0"/>
              <w:rPr>
                <w:sz w:val="18"/>
                <w:szCs w:val="18"/>
                <w:color w:val="auto"/>
              </w:rPr>
            </w:pPr>
          </w:p>
        </w:tc>
        <w:tc>
          <w:tcPr>
            <w:tcW w:w="3620" w:type="dxa"/>
            <w:vAlign w:val="bottom"/>
            <w:gridSpan w:val="2"/>
          </w:tcPr>
          <w:p>
            <w:pPr>
              <w:spacing w:after="0"/>
              <w:rPr>
                <w:sz w:val="20"/>
                <w:szCs w:val="20"/>
                <w:color w:val="auto"/>
              </w:rPr>
            </w:pPr>
            <w:r>
              <w:rPr>
                <w:rFonts w:ascii="Arial" w:cs="Arial" w:eastAsia="Arial" w:hAnsi="Arial"/>
                <w:sz w:val="17"/>
                <w:szCs w:val="17"/>
                <w:color w:val="auto"/>
              </w:rPr>
              <w:t>February 1, 2012 to February 29, 2012</w:t>
            </w:r>
          </w:p>
        </w:tc>
        <w:tc>
          <w:tcPr>
            <w:tcW w:w="1520" w:type="dxa"/>
            <w:vAlign w:val="bottom"/>
            <w:gridSpan w:val="2"/>
          </w:tcPr>
          <w:p>
            <w:pPr>
              <w:jc w:val="right"/>
              <w:ind w:right="640"/>
              <w:spacing w:after="0"/>
              <w:rPr>
                <w:sz w:val="20"/>
                <w:szCs w:val="20"/>
                <w:color w:val="auto"/>
              </w:rPr>
            </w:pPr>
            <w:r>
              <w:rPr>
                <w:rFonts w:ascii="Arial" w:cs="Arial" w:eastAsia="Arial" w:hAnsi="Arial"/>
                <w:sz w:val="17"/>
                <w:szCs w:val="17"/>
                <w:color w:val="auto"/>
              </w:rPr>
              <w:t>—</w:t>
            </w:r>
          </w:p>
        </w:tc>
        <w:tc>
          <w:tcPr>
            <w:tcW w:w="400" w:type="dxa"/>
            <w:vAlign w:val="bottom"/>
            <w:gridSpan w:val="2"/>
          </w:tcPr>
          <w:p>
            <w:pPr>
              <w:ind w:left="280"/>
              <w:spacing w:after="0"/>
              <w:rPr>
                <w:sz w:val="20"/>
                <w:szCs w:val="20"/>
                <w:color w:val="auto"/>
              </w:rPr>
            </w:pPr>
            <w:r>
              <w:rPr>
                <w:rFonts w:ascii="Arial" w:cs="Arial" w:eastAsia="Arial" w:hAnsi="Arial"/>
                <w:sz w:val="17"/>
                <w:szCs w:val="17"/>
                <w:color w:val="auto"/>
              </w:rPr>
              <w:t>$</w:t>
            </w:r>
          </w:p>
        </w:tc>
        <w:tc>
          <w:tcPr>
            <w:tcW w:w="1560" w:type="dxa"/>
            <w:vAlign w:val="bottom"/>
            <w:gridSpan w:val="2"/>
          </w:tcPr>
          <w:p>
            <w:pPr>
              <w:jc w:val="right"/>
              <w:ind w:right="920"/>
              <w:spacing w:after="0"/>
              <w:rPr>
                <w:sz w:val="20"/>
                <w:szCs w:val="20"/>
                <w:color w:val="auto"/>
              </w:rPr>
            </w:pPr>
            <w:r>
              <w:rPr>
                <w:rFonts w:ascii="Arial" w:cs="Arial" w:eastAsia="Arial" w:hAnsi="Arial"/>
                <w:sz w:val="17"/>
                <w:szCs w:val="17"/>
                <w:color w:val="auto"/>
              </w:rPr>
              <w:t>—</w:t>
            </w:r>
          </w:p>
        </w:tc>
        <w:tc>
          <w:tcPr>
            <w:tcW w:w="2020" w:type="dxa"/>
            <w:vAlign w:val="bottom"/>
            <w:gridSpan w:val="2"/>
          </w:tcPr>
          <w:p>
            <w:pPr>
              <w:ind w:left="880"/>
              <w:spacing w:after="0"/>
              <w:rPr>
                <w:sz w:val="20"/>
                <w:szCs w:val="20"/>
                <w:color w:val="auto"/>
              </w:rPr>
            </w:pPr>
            <w:r>
              <w:rPr>
                <w:rFonts w:ascii="Arial" w:cs="Arial" w:eastAsia="Arial" w:hAnsi="Arial"/>
                <w:sz w:val="17"/>
                <w:szCs w:val="17"/>
                <w:color w:val="auto"/>
              </w:rPr>
              <w:t>N/A</w:t>
            </w:r>
          </w:p>
        </w:tc>
        <w:tc>
          <w:tcPr>
            <w:tcW w:w="1380" w:type="dxa"/>
            <w:vAlign w:val="bottom"/>
            <w:gridSpan w:val="2"/>
          </w:tcPr>
          <w:p>
            <w:pPr>
              <w:ind w:left="1000"/>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11"/>
        </w:trPr>
        <w:tc>
          <w:tcPr>
            <w:tcW w:w="460" w:type="dxa"/>
            <w:vAlign w:val="bottom"/>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March 1, 2012 to March 31, 2012</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351,724</w:t>
            </w:r>
          </w:p>
        </w:tc>
        <w:tc>
          <w:tcPr>
            <w:tcW w:w="5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45.31</w:t>
            </w:r>
          </w:p>
        </w:tc>
        <w:tc>
          <w:tcPr>
            <w:tcW w:w="84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7"/>
                <w:szCs w:val="17"/>
                <w:color w:val="auto"/>
                <w:w w:val="98"/>
              </w:rPr>
              <w:t>N/A</w:t>
            </w:r>
          </w:p>
        </w:tc>
        <w:tc>
          <w:tcPr>
            <w:tcW w:w="8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1000"/>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16"/>
        </w:trPr>
        <w:tc>
          <w:tcPr>
            <w:tcW w:w="840" w:type="dxa"/>
            <w:vAlign w:val="bottom"/>
            <w:gridSpan w:val="2"/>
          </w:tcPr>
          <w:p>
            <w:pPr>
              <w:ind w:left="460"/>
              <w:spacing w:after="0"/>
              <w:rPr>
                <w:sz w:val="20"/>
                <w:szCs w:val="20"/>
                <w:color w:val="auto"/>
              </w:rPr>
            </w:pPr>
            <w:r>
              <w:rPr>
                <w:rFonts w:ascii="Arial" w:cs="Arial" w:eastAsia="Arial" w:hAnsi="Arial"/>
                <w:sz w:val="17"/>
                <w:szCs w:val="17"/>
                <w:color w:val="auto"/>
                <w:w w:val="95"/>
              </w:rPr>
              <w:t>Total</w:t>
            </w:r>
          </w:p>
        </w:tc>
        <w:tc>
          <w:tcPr>
            <w:tcW w:w="3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351,724</w:t>
            </w:r>
          </w:p>
        </w:tc>
        <w:tc>
          <w:tcPr>
            <w:tcW w:w="560" w:type="dxa"/>
            <w:vAlign w:val="bottom"/>
          </w:tcPr>
          <w:p>
            <w:pPr>
              <w:spacing w:after="0"/>
              <w:rPr>
                <w:sz w:val="18"/>
                <w:szCs w:val="18"/>
                <w:color w:val="auto"/>
              </w:rPr>
            </w:pPr>
          </w:p>
        </w:tc>
        <w:tc>
          <w:tcPr>
            <w:tcW w:w="400" w:type="dxa"/>
            <w:vAlign w:val="bottom"/>
            <w:gridSpan w:val="2"/>
          </w:tcPr>
          <w:p>
            <w:pPr>
              <w:ind w:left="28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45.31</w:t>
            </w:r>
          </w:p>
        </w:tc>
        <w:tc>
          <w:tcPr>
            <w:tcW w:w="840" w:type="dxa"/>
            <w:vAlign w:val="bottom"/>
          </w:tcPr>
          <w:p>
            <w:pPr>
              <w:spacing w:after="0"/>
              <w:rPr>
                <w:sz w:val="18"/>
                <w:szCs w:val="18"/>
                <w:color w:val="auto"/>
              </w:rPr>
            </w:pPr>
          </w:p>
        </w:tc>
        <w:tc>
          <w:tcPr>
            <w:tcW w:w="2020" w:type="dxa"/>
            <w:vAlign w:val="bottom"/>
            <w:gridSpan w:val="2"/>
          </w:tcPr>
          <w:p>
            <w:pPr>
              <w:ind w:left="880"/>
              <w:spacing w:after="0"/>
              <w:rPr>
                <w:sz w:val="20"/>
                <w:szCs w:val="20"/>
                <w:color w:val="auto"/>
              </w:rPr>
            </w:pPr>
            <w:r>
              <w:rPr>
                <w:rFonts w:ascii="Arial" w:cs="Arial" w:eastAsia="Arial" w:hAnsi="Arial"/>
                <w:sz w:val="17"/>
                <w:szCs w:val="17"/>
                <w:color w:val="auto"/>
              </w:rPr>
              <w:t>N/A</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3" w:lineRule="exact"/>
        <w:rPr>
          <w:sz w:val="20"/>
          <w:szCs w:val="20"/>
          <w:color w:val="auto"/>
        </w:rPr>
      </w:pPr>
    </w:p>
    <w:p>
      <w:pPr>
        <w:ind w:firstLine="457"/>
        <w:spacing w:after="0" w:line="267" w:lineRule="auto"/>
        <w:rPr>
          <w:sz w:val="20"/>
          <w:szCs w:val="20"/>
          <w:color w:val="auto"/>
        </w:rPr>
      </w:pPr>
      <w:r>
        <w:rPr>
          <w:rFonts w:ascii="Arial" w:cs="Arial" w:eastAsia="Arial" w:hAnsi="Arial"/>
          <w:sz w:val="17"/>
          <w:szCs w:val="17"/>
          <w:color w:val="auto"/>
        </w:rPr>
        <w:t>During the first quarter of 2012, certain restricted shares of AMC Networks Class A common stock previously issued to employees of Cablevision, MSG and our employees vested. In connection with the employees’ satisfaction of the statutory minimum tax withholding obligations for the applicable income and other employment taxes, 351,724 shares, with an aggregate value of $15.9 million, were surrendered to the Company. The 351,724 acquired shares have been classified as treasury stock.</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table above does not include any shares received in connection with forfeitures of awards pursuant to the Company’s employee stock plan.</w:t>
      </w:r>
    </w:p>
    <w:p>
      <w:pPr>
        <w:spacing w:after="0" w:line="160"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39</w:t>
      </w:r>
    </w:p>
    <w:p>
      <w:pPr>
        <w:sectPr>
          <w:pgSz w:w="11900" w:h="16838" w:orient="portrait"/>
          <w:cols w:equalWidth="0" w:num="1">
            <w:col w:w="11280"/>
          </w:cols>
          <w:pgMar w:left="240" w:top="451" w:right="379" w:bottom="1440" w:gutter="0" w:footer="0" w:header="0"/>
        </w:sectPr>
      </w:pPr>
    </w:p>
    <w:bookmarkStart w:id="39" w:name="page40"/>
    <w:bookmarkEnd w:id="3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spacing w:after="0"/>
        <w:tabs>
          <w:tab w:leader="none" w:pos="900" w:val="left"/>
        </w:tabs>
        <w:rPr>
          <w:sz w:val="20"/>
          <w:szCs w:val="20"/>
          <w:color w:val="auto"/>
        </w:rPr>
      </w:pPr>
      <w:r>
        <w:rPr>
          <w:rFonts w:ascii="Arial" w:cs="Arial" w:eastAsia="Arial" w:hAnsi="Arial"/>
          <w:sz w:val="17"/>
          <w:szCs w:val="17"/>
          <w:b w:val="1"/>
          <w:bCs w:val="1"/>
          <w:color w:val="auto"/>
        </w:rPr>
        <w:t>Item 6.</w:t>
      </w:r>
      <w:r>
        <w:rPr>
          <w:sz w:val="20"/>
          <w:szCs w:val="20"/>
          <w:color w:val="auto"/>
        </w:rPr>
        <w:tab/>
      </w:r>
      <w:r>
        <w:rPr>
          <w:rFonts w:ascii="Arial" w:cs="Arial" w:eastAsia="Arial" w:hAnsi="Arial"/>
          <w:sz w:val="15"/>
          <w:szCs w:val="15"/>
          <w:b w:val="1"/>
          <w:bCs w:val="1"/>
          <w:color w:val="auto"/>
        </w:rPr>
        <w:t>Exhibits.</w:t>
      </w:r>
    </w:p>
    <w:p>
      <w:pPr>
        <w:spacing w:after="0" w:line="100" w:lineRule="exact"/>
        <w:rPr>
          <w:sz w:val="20"/>
          <w:szCs w:val="20"/>
          <w:color w:val="auto"/>
        </w:rPr>
      </w:pPr>
    </w:p>
    <w:p>
      <w:pPr>
        <w:ind w:left="460" w:hanging="455"/>
        <w:spacing w:after="0"/>
        <w:tabs>
          <w:tab w:leader="none" w:pos="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Index to Exhibits.</w:t>
      </w:r>
    </w:p>
    <w:p>
      <w:pPr>
        <w:spacing w:after="0" w:line="318" w:lineRule="exact"/>
        <w:rPr>
          <w:sz w:val="20"/>
          <w:szCs w:val="20"/>
          <w:color w:val="auto"/>
        </w:rPr>
      </w:pPr>
    </w:p>
    <w:p>
      <w:pPr>
        <w:ind w:left="240"/>
        <w:spacing w:after="0"/>
        <w:tabs>
          <w:tab w:leader="none" w:pos="940" w:val="left"/>
        </w:tabs>
        <w:rPr>
          <w:sz w:val="20"/>
          <w:szCs w:val="20"/>
          <w:color w:val="auto"/>
        </w:rPr>
      </w:pPr>
      <w:r>
        <w:rPr>
          <w:rFonts w:ascii="Arial" w:cs="Arial" w:eastAsia="Arial" w:hAnsi="Arial"/>
          <w:sz w:val="17"/>
          <w:szCs w:val="17"/>
          <w:color w:val="auto"/>
        </w:rPr>
        <w:t>31.1</w:t>
      </w:r>
      <w:r>
        <w:rPr>
          <w:sz w:val="20"/>
          <w:szCs w:val="20"/>
          <w:color w:val="auto"/>
        </w:rPr>
        <w:tab/>
      </w:r>
      <w:r>
        <w:rPr>
          <w:rFonts w:ascii="Arial" w:cs="Arial" w:eastAsia="Arial" w:hAnsi="Arial"/>
          <w:sz w:val="15"/>
          <w:szCs w:val="15"/>
          <w:color w:val="auto"/>
        </w:rPr>
        <w:t>Certification of Chief Executive Officer pursuant to Section 302 of the Sarbanes-Oxley Act of 2002.</w:t>
      </w:r>
    </w:p>
    <w:p>
      <w:pPr>
        <w:spacing w:after="0" w:line="121" w:lineRule="exact"/>
        <w:rPr>
          <w:sz w:val="20"/>
          <w:szCs w:val="20"/>
          <w:color w:val="auto"/>
        </w:rPr>
      </w:pPr>
    </w:p>
    <w:p>
      <w:pPr>
        <w:ind w:left="240"/>
        <w:spacing w:after="0"/>
        <w:tabs>
          <w:tab w:leader="none" w:pos="940" w:val="left"/>
        </w:tabs>
        <w:rPr>
          <w:sz w:val="20"/>
          <w:szCs w:val="20"/>
          <w:color w:val="auto"/>
        </w:rPr>
      </w:pPr>
      <w:r>
        <w:rPr>
          <w:rFonts w:ascii="Arial" w:cs="Arial" w:eastAsia="Arial" w:hAnsi="Arial"/>
          <w:sz w:val="17"/>
          <w:szCs w:val="17"/>
          <w:color w:val="auto"/>
        </w:rPr>
        <w:t>31.2</w:t>
      </w:r>
      <w:r>
        <w:rPr>
          <w:sz w:val="20"/>
          <w:szCs w:val="20"/>
          <w:color w:val="auto"/>
        </w:rPr>
        <w:tab/>
      </w:r>
      <w:r>
        <w:rPr>
          <w:rFonts w:ascii="Arial" w:cs="Arial" w:eastAsia="Arial" w:hAnsi="Arial"/>
          <w:sz w:val="15"/>
          <w:szCs w:val="15"/>
          <w:color w:val="auto"/>
        </w:rPr>
        <w:t>Certification of Chief Financial Officer pursuant to Section 302 of the Sarbanes-Oxley Act of 2002.</w:t>
      </w:r>
    </w:p>
    <w:p>
      <w:pPr>
        <w:spacing w:after="0" w:line="121" w:lineRule="exact"/>
        <w:rPr>
          <w:sz w:val="20"/>
          <w:szCs w:val="20"/>
          <w:color w:val="auto"/>
        </w:rPr>
      </w:pPr>
    </w:p>
    <w:p>
      <w:pPr>
        <w:ind w:left="960" w:hanging="718"/>
        <w:spacing w:after="0"/>
        <w:tabs>
          <w:tab w:leader="none" w:pos="960" w:val="left"/>
        </w:tabs>
        <w:numPr>
          <w:ilvl w:val="1"/>
          <w:numId w:val="15"/>
        </w:numPr>
        <w:rPr>
          <w:rFonts w:ascii="Arial" w:cs="Arial" w:eastAsia="Arial" w:hAnsi="Arial"/>
          <w:sz w:val="15"/>
          <w:szCs w:val="15"/>
          <w:color w:val="auto"/>
        </w:rPr>
      </w:pPr>
      <w:r>
        <w:rPr>
          <w:rFonts w:ascii="Arial" w:cs="Arial" w:eastAsia="Arial" w:hAnsi="Arial"/>
          <w:sz w:val="15"/>
          <w:szCs w:val="15"/>
          <w:color w:val="auto"/>
        </w:rPr>
        <w:t>Certifications of Chief Executive Officer and Chief Financial Officer pursuant to Section 906 of the Sarbanes-Oxley Act of 2002, 18 U.S.C. Section 1350.</w:t>
      </w:r>
    </w:p>
    <w:p>
      <w:pPr>
        <w:spacing w:after="0" w:line="143" w:lineRule="exact"/>
        <w:rPr>
          <w:rFonts w:ascii="Arial" w:cs="Arial" w:eastAsia="Arial" w:hAnsi="Arial"/>
          <w:sz w:val="15"/>
          <w:szCs w:val="15"/>
          <w:color w:val="auto"/>
        </w:rPr>
      </w:pPr>
    </w:p>
    <w:p>
      <w:pPr>
        <w:ind w:left="240" w:hanging="235"/>
        <w:spacing w:after="0"/>
        <w:tabs>
          <w:tab w:leader="none" w:pos="2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101.INS  XBRL Instance Document.</w:t>
      </w:r>
    </w:p>
    <w:p>
      <w:pPr>
        <w:spacing w:after="0" w:line="120" w:lineRule="exact"/>
        <w:rPr>
          <w:rFonts w:ascii="Arial" w:cs="Arial" w:eastAsia="Arial" w:hAnsi="Arial"/>
          <w:sz w:val="17"/>
          <w:szCs w:val="17"/>
          <w:color w:val="auto"/>
        </w:rPr>
      </w:pPr>
    </w:p>
    <w:p>
      <w:pPr>
        <w:ind w:left="240" w:hanging="235"/>
        <w:spacing w:after="0"/>
        <w:tabs>
          <w:tab w:leader="none" w:pos="2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101.SCH XBRL Taxonomy Extension Schema Document.</w:t>
      </w:r>
    </w:p>
    <w:p>
      <w:pPr>
        <w:spacing w:after="0" w:line="120" w:lineRule="exact"/>
        <w:rPr>
          <w:rFonts w:ascii="Arial" w:cs="Arial" w:eastAsia="Arial" w:hAnsi="Arial"/>
          <w:sz w:val="17"/>
          <w:szCs w:val="17"/>
          <w:color w:val="auto"/>
        </w:rPr>
      </w:pPr>
    </w:p>
    <w:p>
      <w:pPr>
        <w:ind w:left="240" w:hanging="235"/>
        <w:spacing w:after="0"/>
        <w:tabs>
          <w:tab w:leader="none" w:pos="2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101.CAL XBRL Taxonomy Extension Calculation Linkbase Document.</w:t>
      </w:r>
    </w:p>
    <w:p>
      <w:pPr>
        <w:spacing w:after="0" w:line="120" w:lineRule="exact"/>
        <w:rPr>
          <w:rFonts w:ascii="Arial" w:cs="Arial" w:eastAsia="Arial" w:hAnsi="Arial"/>
          <w:sz w:val="17"/>
          <w:szCs w:val="17"/>
          <w:color w:val="auto"/>
        </w:rPr>
      </w:pPr>
    </w:p>
    <w:p>
      <w:pPr>
        <w:ind w:left="240" w:hanging="235"/>
        <w:spacing w:after="0"/>
        <w:tabs>
          <w:tab w:leader="none" w:pos="2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101.DEF XBRL Taxonomy Extension Definition Linkbase.</w:t>
      </w:r>
    </w:p>
    <w:p>
      <w:pPr>
        <w:spacing w:after="0" w:line="120" w:lineRule="exact"/>
        <w:rPr>
          <w:rFonts w:ascii="Arial" w:cs="Arial" w:eastAsia="Arial" w:hAnsi="Arial"/>
          <w:sz w:val="17"/>
          <w:szCs w:val="17"/>
          <w:color w:val="auto"/>
        </w:rPr>
      </w:pPr>
    </w:p>
    <w:p>
      <w:pPr>
        <w:ind w:left="240" w:hanging="235"/>
        <w:spacing w:after="0"/>
        <w:tabs>
          <w:tab w:leader="none" w:pos="2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101.LAB XBRL Taxonomy Extension Label Linkbase Document.</w:t>
      </w:r>
    </w:p>
    <w:p>
      <w:pPr>
        <w:spacing w:after="0" w:line="120" w:lineRule="exact"/>
        <w:rPr>
          <w:rFonts w:ascii="Arial" w:cs="Arial" w:eastAsia="Arial" w:hAnsi="Arial"/>
          <w:sz w:val="17"/>
          <w:szCs w:val="17"/>
          <w:color w:val="auto"/>
        </w:rPr>
      </w:pPr>
    </w:p>
    <w:p>
      <w:pPr>
        <w:ind w:left="240" w:hanging="235"/>
        <w:spacing w:after="0"/>
        <w:tabs>
          <w:tab w:leader="none" w:pos="2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101.PRE XBRL Taxonomy Extension Presentation Linkbase Document.</w:t>
      </w:r>
    </w:p>
    <w:p>
      <w:pPr>
        <w:spacing w:after="0" w:line="94" w:lineRule="exact"/>
        <w:rPr>
          <w:rFonts w:ascii="Arial" w:cs="Arial" w:eastAsia="Arial" w:hAnsi="Arial"/>
          <w:sz w:val="17"/>
          <w:szCs w:val="17"/>
          <w:color w:val="auto"/>
        </w:rPr>
      </w:pPr>
    </w:p>
    <w:p>
      <w:pPr>
        <w:ind w:left="460" w:right="300" w:hanging="455"/>
        <w:spacing w:after="0" w:line="271" w:lineRule="auto"/>
        <w:tabs>
          <w:tab w:leader="none" w:pos="4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Pursuant to Rule 406T of Regulation S-T, these interactive data files are deemed not filed or part of a registration statement or prospectus for purposes of sections 11 or 12 of the Securities Act of 1933, are deemed not filed for purposes of section 18 of the Securities Exchange Act of 1934, and otherwise are not subject to liability under those sections.</w:t>
      </w:r>
    </w:p>
    <w:p>
      <w:pPr>
        <w:spacing w:after="0" w:line="115"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40</w:t>
      </w:r>
    </w:p>
    <w:p>
      <w:pPr>
        <w:sectPr>
          <w:pgSz w:w="11900" w:h="16838" w:orient="portrait"/>
          <w:cols w:equalWidth="0" w:num="1">
            <w:col w:w="11520"/>
          </w:cols>
          <w:pgMar w:left="240" w:top="451" w:right="139" w:bottom="1440" w:gutter="0" w:footer="0" w:header="0"/>
        </w:sectPr>
      </w:pPr>
    </w:p>
    <w:bookmarkStart w:id="40" w:name="page41"/>
    <w:bookmarkEnd w:id="4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S</w:t>
      </w:r>
      <w:r>
        <w:rPr>
          <w:rFonts w:ascii="Arial" w:cs="Arial" w:eastAsia="Arial" w:hAnsi="Arial"/>
          <w:sz w:val="17"/>
          <w:szCs w:val="17"/>
          <w:b w:val="1"/>
          <w:bCs w:val="1"/>
          <w:color w:val="auto"/>
        </w:rPr>
        <w:t>IGNATURES</w:t>
      </w:r>
    </w:p>
    <w:p>
      <w:pPr>
        <w:spacing w:after="0" w:line="179" w:lineRule="exact"/>
        <w:rPr>
          <w:sz w:val="20"/>
          <w:szCs w:val="20"/>
          <w:color w:val="auto"/>
        </w:rPr>
      </w:pPr>
    </w:p>
    <w:p>
      <w:pPr>
        <w:ind w:firstLine="457"/>
        <w:spacing w:after="0" w:line="284"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their behalf by the undersigned thereunto duly authorized.</w:t>
      </w:r>
    </w:p>
    <w:p>
      <w:pPr>
        <w:spacing w:after="0" w:line="156"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AMC Networks Inc.</w:t>
      </w:r>
    </w:p>
    <w:p>
      <w:pPr>
        <w:spacing w:after="0" w:line="226" w:lineRule="exact"/>
        <w:rPr>
          <w:sz w:val="20"/>
          <w:szCs w:val="20"/>
          <w:color w:val="auto"/>
        </w:rPr>
      </w:pPr>
    </w:p>
    <w:p>
      <w:pPr>
        <w:spacing w:after="0"/>
        <w:tabs>
          <w:tab w:leader="none" w:pos="6260" w:val="left"/>
        </w:tabs>
        <w:rPr>
          <w:sz w:val="20"/>
          <w:szCs w:val="20"/>
          <w:color w:val="auto"/>
        </w:rPr>
      </w:pPr>
      <w:r>
        <w:rPr>
          <w:rFonts w:ascii="Arial" w:cs="Arial" w:eastAsia="Arial" w:hAnsi="Arial"/>
          <w:sz w:val="17"/>
          <w:szCs w:val="17"/>
          <w:color w:val="auto"/>
        </w:rPr>
        <w:t>Date: May 10, 2012</w:t>
      </w:r>
      <w:r>
        <w:rPr>
          <w:sz w:val="20"/>
          <w:szCs w:val="20"/>
          <w:color w:val="auto"/>
        </w:rPr>
        <w:tab/>
      </w:r>
      <w:r>
        <w:rPr>
          <w:rFonts w:ascii="Arial" w:cs="Arial" w:eastAsia="Arial" w:hAnsi="Arial"/>
          <w:sz w:val="15"/>
          <w:szCs w:val="15"/>
          <w:color w:val="auto"/>
        </w:rPr>
        <w:t>/s/ Sean S. 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3992245</wp:posOffset>
            </wp:positionH>
            <wp:positionV relativeFrom="paragraph">
              <wp:posOffset>15240</wp:posOffset>
            </wp:positionV>
            <wp:extent cx="326136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261360" cy="8255"/>
                    </a:xfrm>
                    <a:prstGeom prst="rect">
                      <a:avLst/>
                    </a:prstGeom>
                    <a:noFill/>
                  </pic:spPr>
                </pic:pic>
              </a:graphicData>
            </a:graphic>
          </wp:anchor>
        </w:drawing>
      </w:r>
    </w:p>
    <w:p>
      <w:pPr>
        <w:spacing w:after="0" w:line="22"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By: Sean S. Sullivan</w:t>
      </w:r>
    </w:p>
    <w:p>
      <w:pPr>
        <w:spacing w:after="0" w:line="21" w:lineRule="exact"/>
        <w:rPr>
          <w:sz w:val="20"/>
          <w:szCs w:val="20"/>
          <w:color w:val="auto"/>
        </w:rPr>
      </w:pPr>
    </w:p>
    <w:p>
      <w:pPr>
        <w:ind w:left="6280"/>
        <w:spacing w:after="0"/>
        <w:rPr>
          <w:sz w:val="20"/>
          <w:szCs w:val="20"/>
          <w:color w:val="auto"/>
        </w:rPr>
      </w:pPr>
      <w:r>
        <w:rPr>
          <w:rFonts w:ascii="Arial" w:cs="Arial" w:eastAsia="Arial" w:hAnsi="Arial"/>
          <w:sz w:val="17"/>
          <w:szCs w:val="17"/>
          <w:color w:val="auto"/>
        </w:rPr>
        <w:t>Executive Vice President and Chief Financial Officer</w:t>
      </w:r>
    </w:p>
    <w:p>
      <w:pPr>
        <w:spacing w:after="0" w:line="167"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41</w:t>
      </w:r>
    </w:p>
    <w:p>
      <w:pPr>
        <w:sectPr>
          <w:pgSz w:w="11900" w:h="16838" w:orient="portrait"/>
          <w:cols w:equalWidth="0" w:num="1">
            <w:col w:w="11320"/>
          </w:cols>
          <w:pgMar w:left="240" w:top="451"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7"/>
          <w:szCs w:val="17"/>
          <w:color w:val="auto"/>
        </w:rPr>
        <w:t>Exhibit 31.1</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I, Joshua W. Sapan, certify that:</w:t>
      </w:r>
    </w:p>
    <w:p>
      <w:pPr>
        <w:spacing w:after="0" w:line="173" w:lineRule="exact"/>
        <w:rPr>
          <w:sz w:val="20"/>
          <w:szCs w:val="20"/>
          <w:color w:val="auto"/>
        </w:rPr>
      </w:pPr>
    </w:p>
    <w:p>
      <w:pPr>
        <w:ind w:left="180" w:hanging="175"/>
        <w:spacing w:after="0"/>
        <w:tabs>
          <w:tab w:leader="none" w:pos="1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AMC Networks Inc.;</w:t>
      </w:r>
    </w:p>
    <w:p>
      <w:pPr>
        <w:spacing w:after="0" w:line="173" w:lineRule="exact"/>
        <w:rPr>
          <w:rFonts w:ascii="Arial" w:cs="Arial" w:eastAsia="Arial" w:hAnsi="Arial"/>
          <w:sz w:val="17"/>
          <w:szCs w:val="17"/>
          <w:color w:val="auto"/>
        </w:rPr>
      </w:pPr>
    </w:p>
    <w:p>
      <w:pPr>
        <w:ind w:right="320" w:firstLine="5"/>
        <w:spacing w:after="0" w:line="354" w:lineRule="auto"/>
        <w:tabs>
          <w:tab w:leader="none" w:pos="171" w:val="left"/>
        </w:tabs>
        <w:numPr>
          <w:ilvl w:val="0"/>
          <w:numId w:val="16"/>
        </w:numPr>
        <w:rPr>
          <w:rFonts w:ascii="Arial" w:cs="Arial" w:eastAsia="Arial" w:hAnsi="Arial"/>
          <w:sz w:val="15"/>
          <w:szCs w:val="15"/>
          <w:color w:val="auto"/>
        </w:rPr>
      </w:pPr>
      <w:r>
        <w:rPr>
          <w:rFonts w:ascii="Arial" w:cs="Arial" w:eastAsia="Arial" w:hAnsi="Arial"/>
          <w:sz w:val="15"/>
          <w:szCs w:val="15"/>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70" w:lineRule="exact"/>
        <w:rPr>
          <w:rFonts w:ascii="Arial" w:cs="Arial" w:eastAsia="Arial" w:hAnsi="Arial"/>
          <w:sz w:val="15"/>
          <w:szCs w:val="15"/>
          <w:color w:val="auto"/>
        </w:rPr>
      </w:pPr>
    </w:p>
    <w:p>
      <w:pPr>
        <w:ind w:right="580" w:firstLine="5"/>
        <w:spacing w:after="0" w:line="317" w:lineRule="auto"/>
        <w:tabs>
          <w:tab w:leader="none" w:pos="171"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93" w:lineRule="exact"/>
        <w:rPr>
          <w:rFonts w:ascii="Arial" w:cs="Arial" w:eastAsia="Arial" w:hAnsi="Arial"/>
          <w:sz w:val="16"/>
          <w:szCs w:val="16"/>
          <w:color w:val="auto"/>
        </w:rPr>
      </w:pPr>
    </w:p>
    <w:p>
      <w:pPr>
        <w:ind w:right="400" w:firstLine="5"/>
        <w:spacing w:after="0" w:line="284" w:lineRule="auto"/>
        <w:tabs>
          <w:tab w:leader="none" w:pos="171"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for the Registrant and have:</w:t>
      </w:r>
    </w:p>
    <w:p>
      <w:pPr>
        <w:spacing w:after="0" w:line="37" w:lineRule="exact"/>
        <w:rPr>
          <w:rFonts w:ascii="Arial" w:cs="Arial" w:eastAsia="Arial" w:hAnsi="Arial"/>
          <w:sz w:val="17"/>
          <w:szCs w:val="17"/>
          <w:color w:val="auto"/>
        </w:rPr>
      </w:pPr>
    </w:p>
    <w:p>
      <w:pPr>
        <w:jc w:val="both"/>
        <w:ind w:left="900" w:right="60" w:hanging="447"/>
        <w:spacing w:after="0" w:line="271" w:lineRule="auto"/>
        <w:tabs>
          <w:tab w:leader="none" w:pos="900" w:val="left"/>
        </w:tabs>
        <w:numPr>
          <w:ilvl w:val="1"/>
          <w:numId w:val="1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their consolidated subsidiaries, is made known to us by others within those entities, particularly during the period in which this quarterly report is being prepared;</w:t>
      </w:r>
    </w:p>
    <w:p>
      <w:pPr>
        <w:spacing w:after="0" w:line="48" w:lineRule="exact"/>
        <w:rPr>
          <w:rFonts w:ascii="Arial" w:cs="Arial" w:eastAsia="Arial" w:hAnsi="Arial"/>
          <w:sz w:val="17"/>
          <w:szCs w:val="17"/>
          <w:color w:val="auto"/>
        </w:rPr>
      </w:pPr>
    </w:p>
    <w:p>
      <w:pPr>
        <w:ind w:left="900" w:hanging="447"/>
        <w:spacing w:after="0"/>
        <w:tabs>
          <w:tab w:leader="none" w:pos="900" w:val="left"/>
        </w:tabs>
        <w:numPr>
          <w:ilvl w:val="1"/>
          <w:numId w:val="1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color w:val="auto"/>
        </w:rPr>
        <w:t>Omitted pursuant to SEC Release No. 34-54942</w:t>
      </w:r>
      <w:r>
        <w:rPr>
          <w:rFonts w:ascii="Arial" w:cs="Arial" w:eastAsia="Arial" w:hAnsi="Arial"/>
          <w:sz w:val="17"/>
          <w:szCs w:val="17"/>
          <w:color w:val="auto"/>
        </w:rPr>
        <w:t>];</w:t>
      </w:r>
    </w:p>
    <w:p>
      <w:pPr>
        <w:spacing w:after="0" w:line="94" w:lineRule="exact"/>
        <w:rPr>
          <w:rFonts w:ascii="Arial" w:cs="Arial" w:eastAsia="Arial" w:hAnsi="Arial"/>
          <w:sz w:val="17"/>
          <w:szCs w:val="17"/>
          <w:color w:val="auto"/>
        </w:rPr>
      </w:pPr>
    </w:p>
    <w:p>
      <w:pPr>
        <w:jc w:val="both"/>
        <w:ind w:left="900" w:right="600" w:hanging="447"/>
        <w:spacing w:after="0" w:line="348" w:lineRule="auto"/>
        <w:tabs>
          <w:tab w:leader="none" w:pos="900" w:val="left"/>
        </w:tabs>
        <w:numPr>
          <w:ilvl w:val="1"/>
          <w:numId w:val="16"/>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ind w:left="900" w:right="60" w:hanging="447"/>
        <w:spacing w:after="0" w:line="271" w:lineRule="auto"/>
        <w:tabs>
          <w:tab w:leader="none" w:pos="900" w:val="left"/>
        </w:tabs>
        <w:numPr>
          <w:ilvl w:val="1"/>
          <w:numId w:val="16"/>
        </w:numPr>
        <w:rPr>
          <w:rFonts w:ascii="Arial" w:cs="Arial" w:eastAsia="Arial" w:hAnsi="Arial"/>
          <w:sz w:val="17"/>
          <w:szCs w:val="17"/>
          <w:color w:val="auto"/>
        </w:rPr>
      </w:pPr>
      <w:r>
        <w:rPr>
          <w:rFonts w:ascii="Arial" w:cs="Arial" w:eastAsia="Arial" w:hAnsi="Arial"/>
          <w:sz w:val="17"/>
          <w:szCs w:val="17"/>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7"/>
          <w:szCs w:val="17"/>
          <w:color w:val="auto"/>
        </w:rPr>
      </w:pPr>
    </w:p>
    <w:p>
      <w:pPr>
        <w:ind w:right="260" w:firstLine="5"/>
        <w:spacing w:after="0" w:line="284" w:lineRule="auto"/>
        <w:tabs>
          <w:tab w:leader="none" w:pos="171"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7" w:lineRule="exact"/>
        <w:rPr>
          <w:rFonts w:ascii="Arial" w:cs="Arial" w:eastAsia="Arial" w:hAnsi="Arial"/>
          <w:sz w:val="17"/>
          <w:szCs w:val="17"/>
          <w:color w:val="auto"/>
        </w:rPr>
      </w:pPr>
    </w:p>
    <w:p>
      <w:pPr>
        <w:ind w:left="900" w:right="140" w:hanging="447"/>
        <w:spacing w:after="0" w:line="284" w:lineRule="auto"/>
        <w:tabs>
          <w:tab w:leader="none" w:pos="900" w:val="left"/>
        </w:tabs>
        <w:numPr>
          <w:ilvl w:val="1"/>
          <w:numId w:val="1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7"/>
          <w:szCs w:val="17"/>
          <w:color w:val="auto"/>
        </w:rPr>
      </w:pPr>
    </w:p>
    <w:p>
      <w:pPr>
        <w:ind w:left="900" w:right="320" w:hanging="447"/>
        <w:spacing w:after="0" w:line="284" w:lineRule="auto"/>
        <w:tabs>
          <w:tab w:leader="none" w:pos="900" w:val="left"/>
        </w:tabs>
        <w:numPr>
          <w:ilvl w:val="1"/>
          <w:numId w:val="16"/>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56" w:lineRule="exact"/>
        <w:rPr>
          <w:sz w:val="20"/>
          <w:szCs w:val="20"/>
          <w:color w:val="auto"/>
        </w:rPr>
      </w:pPr>
    </w:p>
    <w:p>
      <w:pPr>
        <w:spacing w:after="0"/>
        <w:tabs>
          <w:tab w:leader="none" w:pos="5920" w:val="left"/>
        </w:tabs>
        <w:rPr>
          <w:sz w:val="20"/>
          <w:szCs w:val="20"/>
          <w:color w:val="auto"/>
        </w:rPr>
      </w:pPr>
      <w:r>
        <w:rPr>
          <w:rFonts w:ascii="Arial" w:cs="Arial" w:eastAsia="Arial" w:hAnsi="Arial"/>
          <w:sz w:val="17"/>
          <w:szCs w:val="17"/>
          <w:color w:val="auto"/>
        </w:rPr>
        <w:t>Date: May 10, 2012</w:t>
      </w:r>
      <w:r>
        <w:rPr>
          <w:sz w:val="20"/>
          <w:szCs w:val="20"/>
          <w:color w:val="auto"/>
        </w:rPr>
        <w:tab/>
      </w:r>
      <w:r>
        <w:rPr>
          <w:rFonts w:ascii="Arial" w:cs="Arial" w:eastAsia="Arial" w:hAnsi="Arial"/>
          <w:sz w:val="15"/>
          <w:szCs w:val="15"/>
          <w:color w:val="auto"/>
        </w:rPr>
        <w:t>By: /s/ Joshua W. Sapan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3992245</wp:posOffset>
            </wp:positionH>
            <wp:positionV relativeFrom="paragraph">
              <wp:posOffset>15240</wp:posOffset>
            </wp:positionV>
            <wp:extent cx="326136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261360" cy="8255"/>
                    </a:xfrm>
                    <a:prstGeom prst="rect">
                      <a:avLst/>
                    </a:prstGeom>
                    <a:noFill/>
                  </pic:spPr>
                </pic:pic>
              </a:graphicData>
            </a:graphic>
          </wp:anchor>
        </w:drawing>
      </w:r>
    </w:p>
    <w:p>
      <w:pPr>
        <w:spacing w:after="0" w:line="27" w:lineRule="exact"/>
        <w:rPr>
          <w:sz w:val="20"/>
          <w:szCs w:val="20"/>
          <w:color w:val="auto"/>
        </w:rPr>
      </w:pPr>
    </w:p>
    <w:p>
      <w:pPr>
        <w:ind w:left="6280"/>
        <w:spacing w:after="0"/>
        <w:rPr>
          <w:sz w:val="20"/>
          <w:szCs w:val="20"/>
          <w:color w:val="auto"/>
        </w:rPr>
      </w:pPr>
      <w:r>
        <w:rPr>
          <w:rFonts w:ascii="Arial" w:cs="Arial" w:eastAsia="Arial" w:hAnsi="Arial"/>
          <w:sz w:val="17"/>
          <w:szCs w:val="17"/>
          <w:color w:val="auto"/>
        </w:rPr>
        <w:t>Joshua W. Sapan</w:t>
      </w:r>
    </w:p>
    <w:p>
      <w:pPr>
        <w:spacing w:after="0" w:line="15" w:lineRule="exact"/>
        <w:rPr>
          <w:sz w:val="20"/>
          <w:szCs w:val="20"/>
          <w:color w:val="auto"/>
        </w:rPr>
      </w:pPr>
    </w:p>
    <w:p>
      <w:pPr>
        <w:ind w:left="6280"/>
        <w:spacing w:after="0"/>
        <w:rPr>
          <w:sz w:val="20"/>
          <w:szCs w:val="20"/>
          <w:color w:val="auto"/>
        </w:rPr>
      </w:pPr>
      <w:r>
        <w:rPr>
          <w:rFonts w:ascii="Arial" w:cs="Arial" w:eastAsia="Arial" w:hAnsi="Arial"/>
          <w:sz w:val="17"/>
          <w:szCs w:val="17"/>
          <w:color w:val="auto"/>
        </w:rPr>
        <w:t>President and Chief Executive Officer</w:t>
      </w:r>
    </w:p>
    <w:p>
      <w:pPr>
        <w:sectPr>
          <w:pgSz w:w="11900" w:h="16838" w:orient="portrait"/>
          <w:cols w:equalWidth="0" w:num="1">
            <w:col w:w="11420"/>
          </w:cols>
          <w:pgMar w:left="240" w:top="131"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7"/>
          <w:szCs w:val="17"/>
          <w:color w:val="auto"/>
        </w:rPr>
        <w:t>Exhibit 31.2</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I, Sean S. Sullivan, certify that:</w:t>
      </w:r>
    </w:p>
    <w:p>
      <w:pPr>
        <w:spacing w:after="0" w:line="173" w:lineRule="exact"/>
        <w:rPr>
          <w:sz w:val="20"/>
          <w:szCs w:val="20"/>
          <w:color w:val="auto"/>
        </w:rPr>
      </w:pPr>
    </w:p>
    <w:p>
      <w:pPr>
        <w:ind w:left="180" w:hanging="175"/>
        <w:spacing w:after="0"/>
        <w:tabs>
          <w:tab w:leader="none" w:pos="1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AMC Networks Inc.;</w:t>
      </w:r>
    </w:p>
    <w:p>
      <w:pPr>
        <w:spacing w:after="0" w:line="173" w:lineRule="exact"/>
        <w:rPr>
          <w:rFonts w:ascii="Arial" w:cs="Arial" w:eastAsia="Arial" w:hAnsi="Arial"/>
          <w:sz w:val="17"/>
          <w:szCs w:val="17"/>
          <w:color w:val="auto"/>
        </w:rPr>
      </w:pPr>
    </w:p>
    <w:p>
      <w:pPr>
        <w:ind w:right="320" w:firstLine="5"/>
        <w:spacing w:after="0" w:line="354" w:lineRule="auto"/>
        <w:tabs>
          <w:tab w:leader="none" w:pos="171" w:val="left"/>
        </w:tabs>
        <w:numPr>
          <w:ilvl w:val="0"/>
          <w:numId w:val="17"/>
        </w:numPr>
        <w:rPr>
          <w:rFonts w:ascii="Arial" w:cs="Arial" w:eastAsia="Arial" w:hAnsi="Arial"/>
          <w:sz w:val="15"/>
          <w:szCs w:val="15"/>
          <w:color w:val="auto"/>
        </w:rPr>
      </w:pPr>
      <w:r>
        <w:rPr>
          <w:rFonts w:ascii="Arial" w:cs="Arial" w:eastAsia="Arial" w:hAnsi="Arial"/>
          <w:sz w:val="15"/>
          <w:szCs w:val="15"/>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70" w:lineRule="exact"/>
        <w:rPr>
          <w:rFonts w:ascii="Arial" w:cs="Arial" w:eastAsia="Arial" w:hAnsi="Arial"/>
          <w:sz w:val="15"/>
          <w:szCs w:val="15"/>
          <w:color w:val="auto"/>
        </w:rPr>
      </w:pPr>
    </w:p>
    <w:p>
      <w:pPr>
        <w:ind w:right="580" w:firstLine="5"/>
        <w:spacing w:after="0" w:line="317" w:lineRule="auto"/>
        <w:tabs>
          <w:tab w:leader="none" w:pos="171"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93" w:lineRule="exact"/>
        <w:rPr>
          <w:rFonts w:ascii="Arial" w:cs="Arial" w:eastAsia="Arial" w:hAnsi="Arial"/>
          <w:sz w:val="16"/>
          <w:szCs w:val="16"/>
          <w:color w:val="auto"/>
        </w:rPr>
      </w:pPr>
    </w:p>
    <w:p>
      <w:pPr>
        <w:ind w:right="400" w:firstLine="5"/>
        <w:spacing w:after="0" w:line="284" w:lineRule="auto"/>
        <w:tabs>
          <w:tab w:leader="none" w:pos="171"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for the Registrant and have:</w:t>
      </w:r>
    </w:p>
    <w:p>
      <w:pPr>
        <w:spacing w:after="0" w:line="37" w:lineRule="exact"/>
        <w:rPr>
          <w:rFonts w:ascii="Arial" w:cs="Arial" w:eastAsia="Arial" w:hAnsi="Arial"/>
          <w:sz w:val="17"/>
          <w:szCs w:val="17"/>
          <w:color w:val="auto"/>
        </w:rPr>
      </w:pPr>
    </w:p>
    <w:p>
      <w:pPr>
        <w:jc w:val="both"/>
        <w:ind w:left="900" w:right="60" w:hanging="447"/>
        <w:spacing w:after="0" w:line="271" w:lineRule="auto"/>
        <w:tabs>
          <w:tab w:leader="none" w:pos="900" w:val="left"/>
        </w:tabs>
        <w:numPr>
          <w:ilvl w:val="1"/>
          <w:numId w:val="1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their consolidated subsidiaries, is made known to us by others within those entities, particularly during the period in which this quarterly report is being prepared;</w:t>
      </w:r>
    </w:p>
    <w:p>
      <w:pPr>
        <w:spacing w:after="0" w:line="48" w:lineRule="exact"/>
        <w:rPr>
          <w:rFonts w:ascii="Arial" w:cs="Arial" w:eastAsia="Arial" w:hAnsi="Arial"/>
          <w:sz w:val="17"/>
          <w:szCs w:val="17"/>
          <w:color w:val="auto"/>
        </w:rPr>
      </w:pPr>
    </w:p>
    <w:p>
      <w:pPr>
        <w:ind w:left="900" w:hanging="447"/>
        <w:spacing w:after="0"/>
        <w:tabs>
          <w:tab w:leader="none" w:pos="900" w:val="left"/>
        </w:tabs>
        <w:numPr>
          <w:ilvl w:val="1"/>
          <w:numId w:val="1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color w:val="auto"/>
        </w:rPr>
        <w:t>Omitted pursuant to SEC Release No. 34-54942</w:t>
      </w:r>
      <w:r>
        <w:rPr>
          <w:rFonts w:ascii="Arial" w:cs="Arial" w:eastAsia="Arial" w:hAnsi="Arial"/>
          <w:sz w:val="17"/>
          <w:szCs w:val="17"/>
          <w:color w:val="auto"/>
        </w:rPr>
        <w:t>];</w:t>
      </w:r>
    </w:p>
    <w:p>
      <w:pPr>
        <w:spacing w:after="0" w:line="94" w:lineRule="exact"/>
        <w:rPr>
          <w:rFonts w:ascii="Arial" w:cs="Arial" w:eastAsia="Arial" w:hAnsi="Arial"/>
          <w:sz w:val="17"/>
          <w:szCs w:val="17"/>
          <w:color w:val="auto"/>
        </w:rPr>
      </w:pPr>
    </w:p>
    <w:p>
      <w:pPr>
        <w:jc w:val="both"/>
        <w:ind w:left="900" w:right="600" w:hanging="447"/>
        <w:spacing w:after="0" w:line="348" w:lineRule="auto"/>
        <w:tabs>
          <w:tab w:leader="none" w:pos="900" w:val="left"/>
        </w:tabs>
        <w:numPr>
          <w:ilvl w:val="1"/>
          <w:numId w:val="17"/>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ind w:left="900" w:hanging="447"/>
        <w:spacing w:after="0" w:line="271" w:lineRule="auto"/>
        <w:tabs>
          <w:tab w:leader="none" w:pos="900" w:val="left"/>
        </w:tabs>
        <w:numPr>
          <w:ilvl w:val="1"/>
          <w:numId w:val="17"/>
        </w:numPr>
        <w:rPr>
          <w:rFonts w:ascii="Arial" w:cs="Arial" w:eastAsia="Arial" w:hAnsi="Arial"/>
          <w:sz w:val="17"/>
          <w:szCs w:val="17"/>
          <w:color w:val="auto"/>
        </w:rPr>
      </w:pPr>
      <w:r>
        <w:rPr>
          <w:rFonts w:ascii="Arial" w:cs="Arial" w:eastAsia="Arial" w:hAnsi="Arial"/>
          <w:sz w:val="17"/>
          <w:szCs w:val="17"/>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7"/>
          <w:szCs w:val="17"/>
          <w:color w:val="auto"/>
        </w:rPr>
      </w:pPr>
    </w:p>
    <w:p>
      <w:pPr>
        <w:ind w:right="260" w:firstLine="5"/>
        <w:spacing w:after="0" w:line="284" w:lineRule="auto"/>
        <w:tabs>
          <w:tab w:leader="none" w:pos="171"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each Registrant’s board of directors (or persons performing the equivalent functions):</w:t>
      </w:r>
    </w:p>
    <w:p>
      <w:pPr>
        <w:spacing w:after="0" w:line="37" w:lineRule="exact"/>
        <w:rPr>
          <w:rFonts w:ascii="Arial" w:cs="Arial" w:eastAsia="Arial" w:hAnsi="Arial"/>
          <w:sz w:val="17"/>
          <w:szCs w:val="17"/>
          <w:color w:val="auto"/>
        </w:rPr>
      </w:pPr>
    </w:p>
    <w:p>
      <w:pPr>
        <w:ind w:left="900" w:right="140" w:hanging="447"/>
        <w:spacing w:after="0" w:line="284" w:lineRule="auto"/>
        <w:tabs>
          <w:tab w:leader="none" w:pos="900" w:val="left"/>
        </w:tabs>
        <w:numPr>
          <w:ilvl w:val="1"/>
          <w:numId w:val="1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7"/>
          <w:szCs w:val="17"/>
          <w:color w:val="auto"/>
        </w:rPr>
      </w:pPr>
    </w:p>
    <w:p>
      <w:pPr>
        <w:ind w:left="900" w:right="320" w:hanging="447"/>
        <w:spacing w:after="0" w:line="284" w:lineRule="auto"/>
        <w:tabs>
          <w:tab w:leader="none" w:pos="900" w:val="left"/>
        </w:tabs>
        <w:numPr>
          <w:ilvl w:val="1"/>
          <w:numId w:val="17"/>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56" w:lineRule="exact"/>
        <w:rPr>
          <w:sz w:val="20"/>
          <w:szCs w:val="20"/>
          <w:color w:val="auto"/>
        </w:rPr>
      </w:pPr>
    </w:p>
    <w:p>
      <w:pPr>
        <w:spacing w:after="0"/>
        <w:tabs>
          <w:tab w:leader="none" w:pos="5920" w:val="left"/>
        </w:tabs>
        <w:rPr>
          <w:sz w:val="20"/>
          <w:szCs w:val="20"/>
          <w:color w:val="auto"/>
        </w:rPr>
      </w:pPr>
      <w:r>
        <w:rPr>
          <w:rFonts w:ascii="Arial" w:cs="Arial" w:eastAsia="Arial" w:hAnsi="Arial"/>
          <w:sz w:val="17"/>
          <w:szCs w:val="17"/>
          <w:color w:val="auto"/>
        </w:rPr>
        <w:t>Date: May 10, 2012</w:t>
      </w:r>
      <w:r>
        <w:rPr>
          <w:sz w:val="20"/>
          <w:szCs w:val="20"/>
          <w:color w:val="auto"/>
        </w:rPr>
        <w:tab/>
      </w:r>
      <w:r>
        <w:rPr>
          <w:rFonts w:ascii="Arial" w:cs="Arial" w:eastAsia="Arial" w:hAnsi="Arial"/>
          <w:sz w:val="16"/>
          <w:szCs w:val="16"/>
          <w:color w:val="auto"/>
        </w:rPr>
        <w:t>By: /s/ Sean S. 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3992245</wp:posOffset>
            </wp:positionH>
            <wp:positionV relativeFrom="paragraph">
              <wp:posOffset>15240</wp:posOffset>
            </wp:positionV>
            <wp:extent cx="326136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261360" cy="8255"/>
                    </a:xfrm>
                    <a:prstGeom prst="rect">
                      <a:avLst/>
                    </a:prstGeom>
                    <a:noFill/>
                  </pic:spPr>
                </pic:pic>
              </a:graphicData>
            </a:graphic>
          </wp:anchor>
        </w:drawing>
      </w:r>
    </w:p>
    <w:p>
      <w:pPr>
        <w:spacing w:after="0" w:line="27" w:lineRule="exact"/>
        <w:rPr>
          <w:sz w:val="20"/>
          <w:szCs w:val="20"/>
          <w:color w:val="auto"/>
        </w:rPr>
      </w:pPr>
    </w:p>
    <w:p>
      <w:pPr>
        <w:ind w:left="6280"/>
        <w:spacing w:after="0"/>
        <w:rPr>
          <w:sz w:val="20"/>
          <w:szCs w:val="20"/>
          <w:color w:val="auto"/>
        </w:rPr>
      </w:pPr>
      <w:r>
        <w:rPr>
          <w:rFonts w:ascii="Arial" w:cs="Arial" w:eastAsia="Arial" w:hAnsi="Arial"/>
          <w:sz w:val="16"/>
          <w:szCs w:val="16"/>
          <w:color w:val="auto"/>
        </w:rPr>
        <w:t>Sean S. Sullivan Executive Vice President and Chief Financial Officer</w:t>
      </w:r>
    </w:p>
    <w:p>
      <w:pPr>
        <w:sectPr>
          <w:pgSz w:w="11900" w:h="16838" w:orient="portrait"/>
          <w:cols w:equalWidth="0" w:num="1">
            <w:col w:w="11420"/>
          </w:cols>
          <w:pgMar w:left="240" w:top="131"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7"/>
          <w:szCs w:val="17"/>
          <w:color w:val="auto"/>
        </w:rPr>
        <w:t>Exhibit 32</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Certifications</w:t>
      </w:r>
    </w:p>
    <w:p>
      <w:pPr>
        <w:spacing w:after="0" w:line="179" w:lineRule="exact"/>
        <w:rPr>
          <w:sz w:val="20"/>
          <w:szCs w:val="20"/>
          <w:color w:val="auto"/>
        </w:rPr>
      </w:pPr>
    </w:p>
    <w:p>
      <w:pPr>
        <w:ind w:right="40" w:firstLine="457"/>
        <w:spacing w:after="0" w:line="267" w:lineRule="auto"/>
        <w:rPr>
          <w:sz w:val="20"/>
          <w:szCs w:val="20"/>
          <w:color w:val="auto"/>
        </w:rPr>
      </w:pPr>
      <w:r>
        <w:rPr>
          <w:rFonts w:ascii="Arial" w:cs="Arial" w:eastAsia="Arial" w:hAnsi="Arial"/>
          <w:sz w:val="17"/>
          <w:szCs w:val="17"/>
          <w:color w:val="auto"/>
        </w:rPr>
        <w:t>Pursuant to 18 U.S.C. § 1350, each of the undersigned officers of AMC Networks Inc. (“AMC Networks”) hereby certifies, to such officer’s knowledge, that AMC Networks’ Quarterly Report on Form 10-Q for the quarter ended March 31, 2012 (the “Report”) fully complies with the requirements of Section 13(a) or 15(d), as applicable, of the Securities Exchange Act of 1934, and that the information contained in the Report fairly presents, in all material respects, the financial condition and results of operations of AMC Networks.</w:t>
      </w:r>
    </w:p>
    <w:p>
      <w:pPr>
        <w:spacing w:after="0" w:line="170" w:lineRule="exact"/>
        <w:rPr>
          <w:sz w:val="20"/>
          <w:szCs w:val="20"/>
          <w:color w:val="auto"/>
        </w:rPr>
      </w:pPr>
    </w:p>
    <w:p>
      <w:pPr>
        <w:spacing w:after="0"/>
        <w:tabs>
          <w:tab w:leader="none" w:pos="5920" w:val="left"/>
        </w:tabs>
        <w:rPr>
          <w:sz w:val="20"/>
          <w:szCs w:val="20"/>
          <w:color w:val="auto"/>
        </w:rPr>
      </w:pPr>
      <w:r>
        <w:rPr>
          <w:rFonts w:ascii="Arial" w:cs="Arial" w:eastAsia="Arial" w:hAnsi="Arial"/>
          <w:sz w:val="17"/>
          <w:szCs w:val="17"/>
          <w:color w:val="auto"/>
        </w:rPr>
        <w:t>Date: May 10, 2012</w:t>
      </w:r>
      <w:r>
        <w:rPr>
          <w:sz w:val="20"/>
          <w:szCs w:val="20"/>
          <w:color w:val="auto"/>
        </w:rPr>
        <w:tab/>
      </w:r>
      <w:r>
        <w:rPr>
          <w:rFonts w:ascii="Arial" w:cs="Arial" w:eastAsia="Arial" w:hAnsi="Arial"/>
          <w:sz w:val="15"/>
          <w:szCs w:val="15"/>
          <w:color w:val="auto"/>
        </w:rPr>
        <w:t>By: /s/ Joshua W. Sapan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3992245</wp:posOffset>
            </wp:positionH>
            <wp:positionV relativeFrom="paragraph">
              <wp:posOffset>15240</wp:posOffset>
            </wp:positionV>
            <wp:extent cx="326136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261360" cy="8255"/>
                    </a:xfrm>
                    <a:prstGeom prst="rect">
                      <a:avLst/>
                    </a:prstGeom>
                    <a:noFill/>
                  </pic:spPr>
                </pic:pic>
              </a:graphicData>
            </a:graphic>
          </wp:anchor>
        </w:drawing>
      </w:r>
    </w:p>
    <w:p>
      <w:pPr>
        <w:spacing w:after="0" w:line="27" w:lineRule="exact"/>
        <w:rPr>
          <w:sz w:val="20"/>
          <w:szCs w:val="20"/>
          <w:color w:val="auto"/>
        </w:rPr>
      </w:pPr>
    </w:p>
    <w:p>
      <w:pPr>
        <w:ind w:left="6280"/>
        <w:spacing w:after="0"/>
        <w:rPr>
          <w:sz w:val="20"/>
          <w:szCs w:val="20"/>
          <w:color w:val="auto"/>
        </w:rPr>
      </w:pPr>
      <w:r>
        <w:rPr>
          <w:rFonts w:ascii="Arial" w:cs="Arial" w:eastAsia="Arial" w:hAnsi="Arial"/>
          <w:sz w:val="17"/>
          <w:szCs w:val="17"/>
          <w:color w:val="auto"/>
        </w:rPr>
        <w:t>Joshua W. Sapan</w:t>
      </w:r>
    </w:p>
    <w:p>
      <w:pPr>
        <w:spacing w:after="0" w:line="15" w:lineRule="exact"/>
        <w:rPr>
          <w:sz w:val="20"/>
          <w:szCs w:val="20"/>
          <w:color w:val="auto"/>
        </w:rPr>
      </w:pPr>
    </w:p>
    <w:p>
      <w:pPr>
        <w:ind w:left="6280"/>
        <w:spacing w:after="0"/>
        <w:rPr>
          <w:sz w:val="20"/>
          <w:szCs w:val="20"/>
          <w:color w:val="auto"/>
        </w:rPr>
      </w:pPr>
      <w:r>
        <w:rPr>
          <w:rFonts w:ascii="Arial" w:cs="Arial" w:eastAsia="Arial" w:hAnsi="Arial"/>
          <w:sz w:val="17"/>
          <w:szCs w:val="17"/>
          <w:color w:val="auto"/>
        </w:rPr>
        <w:t>President and Chief Executive Officer</w:t>
      </w:r>
    </w:p>
    <w:p>
      <w:pPr>
        <w:spacing w:after="0" w:line="220" w:lineRule="exact"/>
        <w:rPr>
          <w:sz w:val="20"/>
          <w:szCs w:val="20"/>
          <w:color w:val="auto"/>
        </w:rPr>
      </w:pPr>
    </w:p>
    <w:p>
      <w:pPr>
        <w:spacing w:after="0"/>
        <w:tabs>
          <w:tab w:leader="none" w:pos="5920" w:val="left"/>
        </w:tabs>
        <w:rPr>
          <w:sz w:val="20"/>
          <w:szCs w:val="20"/>
          <w:color w:val="auto"/>
        </w:rPr>
      </w:pPr>
      <w:r>
        <w:rPr>
          <w:rFonts w:ascii="Arial" w:cs="Arial" w:eastAsia="Arial" w:hAnsi="Arial"/>
          <w:sz w:val="17"/>
          <w:szCs w:val="17"/>
          <w:color w:val="auto"/>
        </w:rPr>
        <w:t>Date: May 10, 2012</w:t>
      </w:r>
      <w:r>
        <w:rPr>
          <w:sz w:val="20"/>
          <w:szCs w:val="20"/>
          <w:color w:val="auto"/>
        </w:rPr>
        <w:tab/>
      </w:r>
      <w:r>
        <w:rPr>
          <w:rFonts w:ascii="Arial" w:cs="Arial" w:eastAsia="Arial" w:hAnsi="Arial"/>
          <w:sz w:val="16"/>
          <w:szCs w:val="16"/>
          <w:color w:val="auto"/>
        </w:rPr>
        <w:t>By: /s/ Sean S. 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3992245</wp:posOffset>
            </wp:positionH>
            <wp:positionV relativeFrom="paragraph">
              <wp:posOffset>15240</wp:posOffset>
            </wp:positionV>
            <wp:extent cx="326136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261360" cy="8255"/>
                    </a:xfrm>
                    <a:prstGeom prst="rect">
                      <a:avLst/>
                    </a:prstGeom>
                    <a:noFill/>
                  </pic:spPr>
                </pic:pic>
              </a:graphicData>
            </a:graphic>
          </wp:anchor>
        </w:drawing>
      </w:r>
    </w:p>
    <w:p>
      <w:pPr>
        <w:spacing w:after="0" w:line="27" w:lineRule="exact"/>
        <w:rPr>
          <w:sz w:val="20"/>
          <w:szCs w:val="20"/>
          <w:color w:val="auto"/>
        </w:rPr>
      </w:pPr>
    </w:p>
    <w:p>
      <w:pPr>
        <w:ind w:left="6280"/>
        <w:spacing w:after="0"/>
        <w:rPr>
          <w:sz w:val="20"/>
          <w:szCs w:val="20"/>
          <w:color w:val="auto"/>
        </w:rPr>
      </w:pPr>
      <w:r>
        <w:rPr>
          <w:rFonts w:ascii="Arial" w:cs="Arial" w:eastAsia="Arial" w:hAnsi="Arial"/>
          <w:sz w:val="17"/>
          <w:szCs w:val="17"/>
          <w:color w:val="auto"/>
        </w:rPr>
        <w:t>Sean S. Sullivan</w:t>
      </w:r>
    </w:p>
    <w:p>
      <w:pPr>
        <w:spacing w:after="0" w:line="15" w:lineRule="exact"/>
        <w:rPr>
          <w:sz w:val="20"/>
          <w:szCs w:val="20"/>
          <w:color w:val="auto"/>
        </w:rPr>
      </w:pPr>
    </w:p>
    <w:p>
      <w:pPr>
        <w:ind w:left="6280"/>
        <w:spacing w:after="0"/>
        <w:rPr>
          <w:sz w:val="20"/>
          <w:szCs w:val="20"/>
          <w:color w:val="auto"/>
        </w:rPr>
      </w:pPr>
      <w:r>
        <w:rPr>
          <w:rFonts w:ascii="Arial" w:cs="Arial" w:eastAsia="Arial" w:hAnsi="Arial"/>
          <w:sz w:val="17"/>
          <w:szCs w:val="17"/>
          <w:color w:val="auto"/>
        </w:rPr>
        <w:t>Executive Vice President and Chief Financial Officer</w:t>
      </w:r>
    </w:p>
    <w:sectPr>
      <w:pgSz w:w="11900" w:h="16838" w:orient="portrait"/>
      <w:cols w:equalWidth="0" w:num="1">
        <w:col w:w="11420"/>
      </w:cols>
      <w:pgMar w:left="240" w:top="1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1)"/>
      <w:numFmt w:val="lowerLetter"/>
      <w:start w:val="1"/>
    </w:lvl>
  </w:abstractNum>
  <w:abstractNum w:abstractNumId="4">
    <w:nsid w:val="1F16E9E8"/>
    <w:multiLevelType w:val="hybridMultilevel"/>
    <w:lvl w:ilvl="0">
      <w:lvlJc w:val="left"/>
      <w:lvlText w:val="(%1)"/>
      <w:numFmt w:val="lowerLetter"/>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1)"/>
      <w:numFmt w:val="lowerLetter"/>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1)"/>
      <w:numFmt w:val="decimal"/>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1)"/>
      <w:numFmt w:val="lowerLetter"/>
      <w:start w:val="1"/>
    </w:lvl>
  </w:abstractNum>
  <w:abstractNum w:abstractNumId="14">
    <w:nsid w:val="6B68079A"/>
    <w:multiLevelType w:val="hybridMultilevel"/>
    <w:lvl w:ilvl="0">
      <w:lvlJc w:val="left"/>
      <w:lvlText w:val="**"/>
      <w:numFmt w:val="bullet"/>
      <w:start w:val="1"/>
    </w:lvl>
    <w:lvl w:ilvl="1">
      <w:lvlJc w:val="left"/>
      <w:lvlText w:val="%2"/>
      <w:numFmt w:val="decimal"/>
      <w:start w:val="32"/>
    </w:lvl>
  </w:abstractNum>
  <w:abstractNum w:abstractNumId="15">
    <w:nsid w:val="4E6AFB66"/>
    <w:multiLevelType w:val="hybridMultilevel"/>
    <w:lvl w:ilvl="0">
      <w:lvlJc w:val="left"/>
      <w:lvlText w:val="%1."/>
      <w:numFmt w:val="decimal"/>
      <w:start w:val="1"/>
    </w:lvl>
    <w:lvl w:ilvl="1">
      <w:lvlJc w:val="left"/>
      <w:lvlText w:val="%2)"/>
      <w:numFmt w:val="lowerLetter"/>
      <w:start w:val="1"/>
    </w:lvl>
  </w:abstractNum>
  <w:abstractNum w:abstractNumId="16">
    <w:nsid w:val="25E45D3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2019-12-09T19:55:52Z</dcterms:created>
  <dcterms:modified xsi:type="dcterms:W3CDTF">2019-12-09T19:55:52Z</dcterms:modified>
</cp:coreProperties>
</file>