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color w:val="000000"/>
          <w:sz w:val="24"/>
        </w:rPr>
      </w:pPr>
      <w:r>
        <w:rPr>
          <w:rFonts w:ascii="Times New Roman;sans-serif" w:hAnsi="Times New Roman;sans-serif"/>
          <w:b/>
          <w:color w:val="000000"/>
          <w:sz w:val="24"/>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7841" w:type="dxa"/>
        <w:jc w:val="center"/>
        <w:tblInd w:w="0" w:type="dxa"/>
        <w:tblLayout w:type="fixed"/>
        <w:tblCellMar>
          <w:top w:w="28" w:type="dxa"/>
          <w:left w:w="28" w:type="dxa"/>
          <w:bottom w:w="28" w:type="dxa"/>
          <w:right w:w="28" w:type="dxa"/>
        </w:tblCellMar>
      </w:tblPr>
      <w:tblGrid>
        <w:gridCol w:w="124"/>
        <w:gridCol w:w="109"/>
        <w:gridCol w:w="109"/>
        <w:gridCol w:w="2196"/>
        <w:gridCol w:w="2196"/>
        <w:gridCol w:w="31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31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2025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7887" w:type="dxa"/>
        <w:jc w:val="center"/>
        <w:tblInd w:w="0" w:type="dxa"/>
        <w:tblLayout w:type="fixed"/>
        <w:tblCellMar>
          <w:top w:w="28" w:type="dxa"/>
          <w:left w:w="28" w:type="dxa"/>
          <w:bottom w:w="28" w:type="dxa"/>
          <w:right w:w="28" w:type="dxa"/>
        </w:tblCellMar>
      </w:tblPr>
      <w:tblGrid>
        <w:gridCol w:w="124"/>
        <w:gridCol w:w="109"/>
        <w:gridCol w:w="109"/>
        <w:gridCol w:w="2204"/>
        <w:gridCol w:w="2204"/>
        <w:gridCol w:w="313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ind w:left="0" w:right="0" w:hanging="180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1-35106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AMC Networks Inc. </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09" w:type="dxa"/>
        <w:jc w:val="center"/>
        <w:tblInd w:w="0" w:type="dxa"/>
        <w:tblLayout w:type="fixed"/>
        <w:tblCellMar>
          <w:top w:w="28" w:type="dxa"/>
          <w:left w:w="28" w:type="dxa"/>
          <w:bottom w:w="28" w:type="dxa"/>
          <w:right w:w="28" w:type="dxa"/>
        </w:tblCellMar>
      </w:tblPr>
      <w:tblGrid>
        <w:gridCol w:w="539"/>
        <w:gridCol w:w="473"/>
        <w:gridCol w:w="473"/>
        <w:gridCol w:w="473"/>
        <w:gridCol w:w="473"/>
        <w:gridCol w:w="494"/>
        <w:gridCol w:w="433"/>
        <w:gridCol w:w="433"/>
        <w:gridCol w:w="618"/>
      </w:tblGrid>
      <w:tr>
        <w:trPr/>
        <w:tc>
          <w:tcPr>
            <w:tcW w:w="5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27-5403694</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 Penn Plaza,</w:t>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New York,</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NY</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10001</w:t>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(212) 324-8500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p>
      <w:pPr>
        <w:pStyle w:val="TextBody"/>
        <w:bidi w:val="0"/>
        <w:spacing w:before="0" w:after="0"/>
        <w:jc w:val="center"/>
        <w:rPr/>
      </w:pPr>
      <w:r>
        <w:rPr/>
      </w:r>
    </w:p>
    <w:tbl>
      <w:tblPr>
        <w:tblW w:w="8978" w:type="dxa"/>
        <w:jc w:val="center"/>
        <w:tblInd w:w="0" w:type="dxa"/>
        <w:tblLayout w:type="fixed"/>
        <w:tblCellMar>
          <w:top w:w="28" w:type="dxa"/>
          <w:left w:w="28" w:type="dxa"/>
          <w:bottom w:w="28" w:type="dxa"/>
          <w:right w:w="28" w:type="dxa"/>
        </w:tblCellMar>
      </w:tblPr>
      <w:tblGrid>
        <w:gridCol w:w="1345"/>
        <w:gridCol w:w="1184"/>
        <w:gridCol w:w="1191"/>
        <w:gridCol w:w="519"/>
        <w:gridCol w:w="519"/>
        <w:gridCol w:w="521"/>
        <w:gridCol w:w="369"/>
        <w:gridCol w:w="369"/>
        <w:gridCol w:w="369"/>
        <w:gridCol w:w="369"/>
        <w:gridCol w:w="369"/>
        <w:gridCol w:w="369"/>
        <w:gridCol w:w="435"/>
        <w:gridCol w:w="435"/>
        <w:gridCol w:w="615"/>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AMCX</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The</w:t>
            </w:r>
          </w:p>
        </w:tc>
        <w:tc>
          <w:tcPr>
            <w:tcW w:w="11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Market LLC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(as defined in Exchange Act Rule 12b-2).</w:t>
      </w:r>
    </w:p>
    <w:tbl>
      <w:tblPr>
        <w:tblW w:w="4403"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80" w:after="283"/>
        <w:jc w:val="both"/>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both"/>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number of shares of common stock outstanding as of May 2, 2025:</w:t>
      </w:r>
    </w:p>
    <w:tbl>
      <w:tblPr>
        <w:tblW w:w="4636" w:type="dxa"/>
        <w:jc w:val="left"/>
        <w:tblInd w:w="0" w:type="dxa"/>
        <w:tblLayout w:type="fixed"/>
        <w:tblCellMar>
          <w:top w:w="28" w:type="dxa"/>
          <w:left w:w="28" w:type="dxa"/>
          <w:bottom w:w="28" w:type="dxa"/>
          <w:right w:w="28" w:type="dxa"/>
        </w:tblCellMar>
      </w:tblPr>
      <w:tblGrid>
        <w:gridCol w:w="1332"/>
        <w:gridCol w:w="1167"/>
        <w:gridCol w:w="1176"/>
        <w:gridCol w:w="281"/>
        <w:gridCol w:w="281"/>
        <w:gridCol w:w="399"/>
      </w:tblGrid>
      <w:tr>
        <w:trPr/>
        <w:tc>
          <w:tcPr>
            <w:tcW w:w="1332"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33,442,870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 par value $0.01 per share</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11,484,408</w:t>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AMC NETWORKS INC. AND SUBSIDIARIES</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lineRule="auto" w:line="288" w:before="0" w:after="0"/>
        <w:jc w:val="left"/>
        <w:rPr>
          <w:color w:val="000000"/>
        </w:rPr>
      </w:pPr>
      <w:r>
        <w:rPr>
          <w:color w:val="000000"/>
        </w:rPr>
        <w:t> </w:t>
      </w:r>
    </w:p>
    <w:tbl>
      <w:tblPr>
        <w:tblW w:w="8550" w:type="dxa"/>
        <w:jc w:val="left"/>
        <w:tblInd w:w="0" w:type="dxa"/>
        <w:tblLayout w:type="fixed"/>
        <w:tblCellMar>
          <w:top w:w="28" w:type="dxa"/>
          <w:left w:w="28" w:type="dxa"/>
          <w:bottom w:w="28" w:type="dxa"/>
          <w:right w:w="28" w:type="dxa"/>
        </w:tblCellMar>
      </w:tblPr>
      <w:tblGrid>
        <w:gridCol w:w="2892"/>
        <w:gridCol w:w="2536"/>
        <w:gridCol w:w="2551"/>
        <w:gridCol w:w="167"/>
        <w:gridCol w:w="167"/>
        <w:gridCol w:w="237"/>
      </w:tblGrid>
      <w:tr>
        <w:trPr/>
        <w:tc>
          <w:tcPr>
            <w:tcW w:w="2892"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0">
              <w:r>
                <w:rPr>
                  <w:rStyle w:val="InternetLink"/>
                  <w:rFonts w:ascii="Times New Roman;sans-serif" w:hAnsi="Times New Roman;sans-serif"/>
                  <w:b/>
                  <w:color w:val="0000FF"/>
                  <w:sz w:val="20"/>
                  <w:u w:val="single"/>
                </w:rPr>
                <w:t>PART I. FINANCIAL INFORMATION</w:t>
              </w:r>
            </w:hyperlink>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6">
              <w:r>
                <w:rPr>
                  <w:rStyle w:val="InternetLink"/>
                  <w:rFonts w:ascii="Times New Roman;sans-serif" w:hAnsi="Times New Roman;sans-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6">
              <w:r>
                <w:rPr>
                  <w:rStyle w:val="InternetLink"/>
                  <w:rFonts w:ascii="Times New Roman;sans-serif" w:hAnsi="Times New Roman;sans-serif"/>
                  <w:b w:val="false"/>
                  <w:color w:val="0000FF"/>
                  <w:sz w:val="20"/>
                  <w:u w:val="singl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a1b9929bd44206a13bcbc22ba81b00_19">
              <w:r>
                <w:rPr>
                  <w:rStyle w:val="InternetLink"/>
                  <w:rFonts w:ascii="Times New Roman;sans-serif" w:hAnsi="Times New Roman;sans-serif"/>
                  <w:b w:val="false"/>
                  <w:color w:val="0000FF"/>
                  <w:sz w:val="20"/>
                  <w:u w:val="single"/>
                </w:rPr>
                <w:t>Condensed Consolidated Statements of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9">
              <w:r>
                <w:rPr>
                  <w:rStyle w:val="InternetLink"/>
                  <w:rFonts w:ascii="Times New Roman;sans-serif" w:hAnsi="Times New Roman;sans-serif"/>
                  <w:b w:val="false"/>
                  <w:color w:val="0000FF"/>
                  <w:sz w:val="20"/>
                  <w:u w:val="singl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a1b9929bd44206a13bcbc22ba81b00_22">
              <w:r>
                <w:rPr>
                  <w:rStyle w:val="InternetLink"/>
                  <w:rFonts w:ascii="Times New Roman;sans-serif" w:hAnsi="Times New Roman;sans-serif"/>
                  <w:b w:val="false"/>
                  <w:color w:val="000080"/>
                  <w:sz w:val="20"/>
                  <w:u w:val="single"/>
                </w:rPr>
                <w:t>Condensed Consolidated Statements of Comprehensive Incom</w:t>
              </w:r>
            </w:hyperlink>
            <w:hyperlink w:anchor="i92a1b9929bd44206a13bcbc22ba81b00_22">
              <w:r>
                <w:rPr>
                  <w:rStyle w:val="InternetLink"/>
                  <w:rFonts w:ascii="Times New Roman;sans-serif" w:hAnsi="Times New Roman;sans-serif"/>
                  <w:b w:val="false"/>
                  <w:color w:val="000080"/>
                  <w:sz w:val="20"/>
                  <w:u w:val="single"/>
                </w:rPr>
                <w:t>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22">
              <w:r>
                <w:rPr>
                  <w:rStyle w:val="InternetLink"/>
                  <w:rFonts w:ascii="Times New Roman;sans-serif" w:hAnsi="Times New Roman;sans-serif"/>
                  <w:b w:val="false"/>
                  <w:color w:val="0000FF"/>
                  <w:sz w:val="20"/>
                  <w:u w:val="singl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a1b9929bd44206a13bcbc22ba81b00_25">
              <w:r>
                <w:rPr>
                  <w:rStyle w:val="InternetLink"/>
                  <w:rFonts w:ascii="Times New Roman;sans-serif" w:hAnsi="Times New Roman;sans-serif"/>
                  <w:b w:val="false"/>
                  <w:color w:val="0000FF"/>
                  <w:sz w:val="20"/>
                  <w:u w:val="single"/>
                </w:rPr>
                <w:t>Condensed 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25">
              <w:r>
                <w:rPr>
                  <w:rStyle w:val="InternetLink"/>
                  <w:rFonts w:ascii="Times New Roman;sans-serif" w:hAnsi="Times New Roman;sans-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92a1b9929bd44206a13bcbc22ba81b00_31">
              <w:r>
                <w:rPr>
                  <w:rStyle w:val="InternetLink"/>
                  <w:rFonts w:ascii="Times New Roman;sans-serif" w:hAnsi="Times New Roman;sans-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31">
              <w:r>
                <w:rPr>
                  <w:rStyle w:val="InternetLink"/>
                  <w:rFonts w:ascii="Times New Roman;sans-serif" w:hAnsi="Times New Roman;sans-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34">
              <w:r>
                <w:rPr>
                  <w:rStyle w:val="InternetLink"/>
                  <w:rFonts w:ascii="Times New Roman;sans-serif" w:hAnsi="Times New Roman;sans-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34">
              <w:r>
                <w:rPr>
                  <w:rStyle w:val="InternetLink"/>
                  <w:rFonts w:ascii="Times New Roman;sans-serif" w:hAnsi="Times New Roman;sans-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1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18">
              <w:r>
                <w:rPr>
                  <w:rStyle w:val="InternetLink"/>
                  <w:rFonts w:ascii="Times New Roman;sans-serif" w:hAnsi="Times New Roman;sans-serif"/>
                  <w:b w:val="false"/>
                  <w:color w:val="0000FF"/>
                  <w:sz w:val="20"/>
                  <w:u w:val="singl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45">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45">
              <w:r>
                <w:rPr>
                  <w:rStyle w:val="InternetLink"/>
                  <w:rFonts w:ascii="Times New Roman;sans-serif" w:hAnsi="Times New Roman;sans-serif"/>
                  <w:b w:val="false"/>
                  <w:color w:val="0000FF"/>
                  <w:sz w:val="20"/>
                  <w:u w:val="single"/>
                </w:rPr>
                <w:t>36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48">
              <w:r>
                <w:rPr>
                  <w:rStyle w:val="InternetLink"/>
                  <w:rFonts w:ascii="Times New Roman;sans-serif" w:hAnsi="Times New Roman;sans-serif"/>
                  <w:b w:val="false"/>
                  <w:color w:val="0000FF"/>
                  <w:sz w:val="20"/>
                  <w:u w:val="singl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48">
              <w:r>
                <w:rPr>
                  <w:rStyle w:val="InternetLink"/>
                  <w:rFonts w:ascii="Times New Roman;sans-serif" w:hAnsi="Times New Roman;sans-serif"/>
                  <w:b w:val="false"/>
                  <w:color w:val="0000FF"/>
                  <w:sz w:val="20"/>
                  <w:u w:val="single"/>
                </w:rPr>
                <w:t>36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51">
              <w:r>
                <w:rPr>
                  <w:rStyle w:val="InternetLink"/>
                  <w:rFonts w:ascii="Times New Roman;sans-serif" w:hAnsi="Times New Roman;sans-serif"/>
                  <w:b/>
                  <w:color w:val="0000FF"/>
                  <w:sz w:val="20"/>
                  <w:u w:val="single"/>
                </w:rPr>
                <w:t>PART II. OTHER INFORMATION</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54">
              <w:r>
                <w:rPr>
                  <w:rStyle w:val="InternetLink"/>
                  <w:rFonts w:ascii="Times New Roman;sans-serif" w:hAnsi="Times New Roman;sans-serif"/>
                  <w:b w:val="false"/>
                  <w:color w:val="0000FF"/>
                  <w:sz w:val="20"/>
                  <w:u w:val="singl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54">
              <w:r>
                <w:rPr>
                  <w:rStyle w:val="InternetLink"/>
                  <w:rFonts w:ascii="Times New Roman;sans-serif" w:hAnsi="Times New Roman;sans-serif"/>
                  <w:b w:val="false"/>
                  <w:color w:val="0000FF"/>
                  <w:sz w:val="20"/>
                  <w:u w:val="single"/>
                </w:rPr>
                <w:t>37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1A. Risk Factors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54">
              <w:r>
                <w:rPr>
                  <w:rStyle w:val="InternetLink"/>
                  <w:rFonts w:ascii="Times New Roman;sans-serif" w:hAnsi="Times New Roman;sans-serif"/>
                  <w:b w:val="false"/>
                  <w:color w:val="0000FF"/>
                  <w:sz w:val="20"/>
                  <w:u w:val="single"/>
                </w:rPr>
                <w:t>37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57">
              <w:r>
                <w:rPr>
                  <w:rStyle w:val="InternetLink"/>
                  <w:rFonts w:ascii="Times New Roman;sans-serif" w:hAnsi="Times New Roman;sans-serif"/>
                  <w:b w:val="false"/>
                  <w:color w:val="000080"/>
                  <w:sz w:val="20"/>
                  <w:u w:val="single"/>
                </w:rPr>
                <w:t>Item 2. Unregistered Sales of Equity Securities</w:t>
              </w:r>
            </w:hyperlink>
            <w:hyperlink w:anchor="i92a1b9929bd44206a13bcbc22ba81b00_157">
              <w:r>
                <w:rPr>
                  <w:rStyle w:val="InternetLink"/>
                  <w:rFonts w:ascii="Times New Roman;sans-serif" w:hAnsi="Times New Roman;sans-serif"/>
                  <w:b w:val="false"/>
                  <w:color w:val="000080"/>
                  <w:sz w:val="20"/>
                  <w:u w:val="single"/>
                </w:rPr>
                <w:t xml:space="preserve"> and Use</w:t>
              </w:r>
            </w:hyperlink>
            <w:hyperlink w:anchor="i92a1b9929bd44206a13bcbc22ba81b00_157">
              <w:r>
                <w:rPr>
                  <w:rStyle w:val="InternetLink"/>
                  <w:rFonts w:ascii="Times New Roman;sans-serif" w:hAnsi="Times New Roman;sans-serif"/>
                  <w:b w:val="false"/>
                  <w:color w:val="000080"/>
                  <w:sz w:val="20"/>
                  <w:u w:val="single"/>
                </w:rPr>
                <w:t xml:space="preserv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57">
              <w:r>
                <w:rPr>
                  <w:rStyle w:val="InternetLink"/>
                  <w:rFonts w:ascii="Times New Roman;sans-serif" w:hAnsi="Times New Roman;sans-serif"/>
                  <w:b w:val="false"/>
                  <w:color w:val="0000FF"/>
                  <w:sz w:val="20"/>
                  <w:u w:val="single"/>
                </w:rPr>
                <w:t>37</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63">
              <w:r>
                <w:rPr>
                  <w:rStyle w:val="InternetLink"/>
                  <w:rFonts w:ascii="Times New Roman;sans-serif" w:hAnsi="Times New Roman;sans-serif"/>
                  <w:b w:val="false"/>
                  <w:color w:val="0000FF"/>
                  <w:sz w:val="20"/>
                  <w:u w:val="singl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63">
              <w:r>
                <w:rPr>
                  <w:rStyle w:val="InternetLink"/>
                  <w:rFonts w:ascii="Times New Roman;sans-serif" w:hAnsi="Times New Roman;sans-serif"/>
                  <w:b w:val="false"/>
                  <w:color w:val="0000FF"/>
                  <w:sz w:val="20"/>
                  <w:u w:val="single"/>
                </w:rPr>
                <w:t>38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2a1b9929bd44206a13bcbc22ba81b00_166">
              <w:r>
                <w:rPr>
                  <w:rStyle w:val="InternetLink"/>
                  <w:rFonts w:ascii="Times New Roman;sans-serif" w:hAnsi="Times New Roman;sans-serif"/>
                  <w:b/>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a1b9929bd44206a13bcbc22ba81b00_166">
              <w:r>
                <w:rPr>
                  <w:rStyle w:val="InternetLink"/>
                  <w:rFonts w:ascii="Times New Roman;sans-serif" w:hAnsi="Times New Roman;sans-serif"/>
                  <w:b w:val="false"/>
                  <w:color w:val="0000FF"/>
                  <w:sz w:val="20"/>
                  <w:u w:val="single"/>
                </w:rPr>
                <w:t>39</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BALANCE SHEETS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3"/>
        <w:gridCol w:w="2171"/>
        <w:gridCol w:w="2181"/>
        <w:gridCol w:w="206"/>
        <w:gridCol w:w="919"/>
        <w:gridCol w:w="114"/>
        <w:gridCol w:w="109"/>
        <w:gridCol w:w="109"/>
        <w:gridCol w:w="109"/>
        <w:gridCol w:w="229"/>
        <w:gridCol w:w="1020"/>
        <w:gridCol w:w="185"/>
      </w:tblGrid>
      <w:tr>
        <w:trPr/>
        <w:tc>
          <w:tcPr>
            <w:tcW w:w="2853"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ASSETS</w:t>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784,649 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 (less allowance for doubtful accounts of $8,913 and $9,468)</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573,234 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623,898 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vAlign w:val="center"/>
          </w:tcPr>
          <w:p>
            <w:pPr>
              <w:pStyle w:val="TableContents"/>
              <w:bidi w:val="0"/>
              <w:spacing w:before="0" w:after="283"/>
              <w:jc w:val="left"/>
              <w:rPr>
                <w:sz w:val="4"/>
                <w:szCs w:val="4"/>
              </w:rPr>
            </w:pPr>
            <w:r>
              <w:rPr>
                <w:sz w:val="4"/>
                <w:szCs w:val="4"/>
              </w:rPr>
            </w:r>
          </w:p>
        </w:tc>
        <w:tc>
          <w:tcPr>
            <w:tcW w:w="1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259,878 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262,257 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1,703,341 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1,670,804 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$473,179 and $458,396</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145,010 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net</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1,655,445 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1,713,952 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209,961 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246,304 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298,229 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300,074 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4,331,826 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4,362,221 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2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99,320 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88,570 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270,856 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program rights obligations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debt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Current portion of lease obligations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753,044 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702,668 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Program rights obligations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144,476 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2,232,563 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2,328,719 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obligations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64,581 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1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3,349,617 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3,422,080 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55,881 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2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$0.01 par value, 360,000 shares authorized: 66,730 and 66,730 shares issued and 33,431 and 32,636 shares outstanding, respectively</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Class B Common Stock, $0.01 par value, 90,000 shares authorized: 11,484 shares issued and outstanding </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$0.01 par value, 45,000 shares authorized: none issued</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437,860 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earnings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2,104,801 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2,092,229 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(33,299 and 34,094 shares Class A Common Stock, respectively)</w:t>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(1,391,334)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(1,408,307)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(250,218)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(266,969)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AMC Networks stockholders' equity</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888,837 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855,595 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1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921,133 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884,260 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4,331,826 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4,362,221 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p>
      <w:pPr>
        <w:pStyle w:val="TextBody"/>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9894" w:type="dxa"/>
        <w:jc w:val="center"/>
        <w:tblInd w:w="0" w:type="dxa"/>
        <w:tblLayout w:type="fixed"/>
        <w:tblCellMar>
          <w:top w:w="28" w:type="dxa"/>
          <w:left w:w="28" w:type="dxa"/>
          <w:bottom w:w="28" w:type="dxa"/>
          <w:right w:w="28" w:type="dxa"/>
        </w:tblCellMar>
      </w:tblPr>
      <w:tblGrid>
        <w:gridCol w:w="2017"/>
        <w:gridCol w:w="1772"/>
        <w:gridCol w:w="1790"/>
        <w:gridCol w:w="109"/>
        <w:gridCol w:w="109"/>
        <w:gridCol w:w="206"/>
        <w:gridCol w:w="206"/>
        <w:gridCol w:w="399"/>
        <w:gridCol w:w="1562"/>
        <w:gridCol w:w="206"/>
        <w:gridCol w:w="109"/>
        <w:gridCol w:w="109"/>
        <w:gridCol w:w="109"/>
        <w:gridCol w:w="211"/>
        <w:gridCol w:w="82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491,036 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3" w:type="dxa"/>
            <w:gridSpan w:val="6"/>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c>
          <w:tcPr>
            <w:tcW w:w="3891" w:type="dxa"/>
            <w:gridSpan w:val="10"/>
            <w:tcBorders/>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lineRule="auto" w:line="288" w:before="0" w:after="0"/>
        <w:jc w:val="left"/>
        <w:rPr>
          <w:color w:val="000000"/>
        </w:rPr>
      </w:pPr>
      <w:r>
        <w:rPr>
          <w:color w:val="000000"/>
        </w:rPr>
        <w:t> </w:t>
      </w:r>
    </w:p>
    <w:tbl>
      <w:tblPr>
        <w:tblW w:w="9910" w:type="dxa"/>
        <w:jc w:val="left"/>
        <w:tblInd w:w="0" w:type="dxa"/>
        <w:tblLayout w:type="fixed"/>
        <w:tblCellMar>
          <w:top w:w="28" w:type="dxa"/>
          <w:left w:w="28" w:type="dxa"/>
          <w:bottom w:w="28" w:type="dxa"/>
          <w:right w:w="28" w:type="dxa"/>
        </w:tblCellMar>
      </w:tblPr>
      <w:tblGrid>
        <w:gridCol w:w="2063"/>
        <w:gridCol w:w="1814"/>
        <w:gridCol w:w="1823"/>
        <w:gridCol w:w="109"/>
        <w:gridCol w:w="109"/>
        <w:gridCol w:w="223"/>
        <w:gridCol w:w="223"/>
        <w:gridCol w:w="432"/>
        <w:gridCol w:w="1478"/>
        <w:gridCol w:w="223"/>
        <w:gridCol w:w="109"/>
        <w:gridCol w:w="109"/>
        <w:gridCol w:w="109"/>
        <w:gridCol w:w="211"/>
        <w:gridCol w:w="721"/>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39,954 </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(5,154)</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AMC Networks'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34,800 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13531"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206"/>
        <w:gridCol w:w="774"/>
        <w:gridCol w:w="116"/>
        <w:gridCol w:w="109"/>
        <w:gridCol w:w="109"/>
        <w:gridCol w:w="109"/>
        <w:gridCol w:w="266"/>
        <w:gridCol w:w="876"/>
        <w:gridCol w:w="149"/>
        <w:gridCol w:w="109"/>
        <w:gridCol w:w="109"/>
        <w:gridCol w:w="109"/>
        <w:gridCol w:w="203"/>
        <w:gridCol w:w="763"/>
        <w:gridCol w:w="160"/>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2024</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2,092,229 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(1,408,307)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(266,969)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855,595 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28,665 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884,260 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16,751 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(3,643)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2025</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424,806 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2,104,801 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(1,391,334)</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(250,218)</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888,837 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32,296 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921,133 </w:t>
            </w:r>
          </w:p>
        </w:tc>
        <w:tc>
          <w:tcPr>
            <w:tcW w:w="16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3706" w:type="dxa"/>
        <w:jc w:val="center"/>
        <w:tblInd w:w="0" w:type="dxa"/>
        <w:tblLayout w:type="fixed"/>
        <w:tblCellMar>
          <w:top w:w="28" w:type="dxa"/>
          <w:left w:w="28" w:type="dxa"/>
          <w:bottom w:w="28" w:type="dxa"/>
          <w:right w:w="28" w:type="dxa"/>
        </w:tblCellMar>
      </w:tblPr>
      <w:tblGrid>
        <w:gridCol w:w="776"/>
        <w:gridCol w:w="234"/>
        <w:gridCol w:w="236"/>
        <w:gridCol w:w="206"/>
        <w:gridCol w:w="444"/>
        <w:gridCol w:w="116"/>
        <w:gridCol w:w="109"/>
        <w:gridCol w:w="109"/>
        <w:gridCol w:w="109"/>
        <w:gridCol w:w="206"/>
        <w:gridCol w:w="444"/>
        <w:gridCol w:w="116"/>
        <w:gridCol w:w="109"/>
        <w:gridCol w:w="109"/>
        <w:gridCol w:w="109"/>
        <w:gridCol w:w="196"/>
        <w:gridCol w:w="736"/>
        <w:gridCol w:w="109"/>
        <w:gridCol w:w="109"/>
        <w:gridCol w:w="109"/>
        <w:gridCol w:w="109"/>
        <w:gridCol w:w="196"/>
        <w:gridCol w:w="871"/>
        <w:gridCol w:w="109"/>
        <w:gridCol w:w="109"/>
        <w:gridCol w:w="109"/>
        <w:gridCol w:w="109"/>
        <w:gridCol w:w="196"/>
        <w:gridCol w:w="886"/>
        <w:gridCol w:w="109"/>
        <w:gridCol w:w="109"/>
        <w:gridCol w:w="109"/>
        <w:gridCol w:w="109"/>
        <w:gridCol w:w="225"/>
        <w:gridCol w:w="864"/>
        <w:gridCol w:w="127"/>
        <w:gridCol w:w="109"/>
        <w:gridCol w:w="109"/>
        <w:gridCol w:w="109"/>
        <w:gridCol w:w="196"/>
        <w:gridCol w:w="871"/>
        <w:gridCol w:w="109"/>
        <w:gridCol w:w="109"/>
        <w:gridCol w:w="109"/>
        <w:gridCol w:w="109"/>
        <w:gridCol w:w="266"/>
        <w:gridCol w:w="876"/>
        <w:gridCol w:w="149"/>
        <w:gridCol w:w="109"/>
        <w:gridCol w:w="109"/>
        <w:gridCol w:w="109"/>
        <w:gridCol w:w="196"/>
        <w:gridCol w:w="871"/>
        <w:gridCol w:w="154"/>
      </w:tblGrid>
      <w:tr>
        <w:trPr/>
        <w:tc>
          <w:tcPr>
            <w:tcW w:w="77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w:t>
              <w:b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AMC Networks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2023</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2,321,105 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(1,419,882)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(232,831)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1,048,051 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25,895 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1,073,946 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AMC Networks’ stockholders</w:t>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 attributable to non-redeemable noncontrolling interests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noncontrolling interest adjustment to redemption fair value</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(loss)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 expenses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issued under employee stock plans</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 withholding associated with shares issued under employee stock plans</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2024</w:t>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4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369,877 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2,365,524 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(1,410,105)</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(245,803)</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1,080,275 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26,630 </w:t>
            </w:r>
          </w:p>
        </w:tc>
        <w:tc>
          <w:tcPr>
            <w:tcW w:w="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1,106,905 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AMC NETWORKS INC. AND SUBSIDIARIES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bidi w:val="0"/>
        <w:spacing w:before="0" w:after="0"/>
        <w:jc w:val="center"/>
        <w:rPr/>
      </w:pPr>
      <w:r>
        <w:rPr/>
      </w:r>
    </w:p>
    <w:tbl>
      <w:tblPr>
        <w:tblW w:w="8918" w:type="dxa"/>
        <w:jc w:val="center"/>
        <w:tblInd w:w="0" w:type="dxa"/>
        <w:tblLayout w:type="fixed"/>
        <w:tblCellMar>
          <w:top w:w="28" w:type="dxa"/>
          <w:left w:w="28" w:type="dxa"/>
          <w:bottom w:w="28" w:type="dxa"/>
          <w:right w:w="28" w:type="dxa"/>
        </w:tblCellMar>
      </w:tblPr>
      <w:tblGrid>
        <w:gridCol w:w="2262"/>
        <w:gridCol w:w="1994"/>
        <w:gridCol w:w="1998"/>
        <w:gridCol w:w="211"/>
        <w:gridCol w:w="826"/>
        <w:gridCol w:w="109"/>
        <w:gridCol w:w="109"/>
        <w:gridCol w:w="109"/>
        <w:gridCol w:w="109"/>
        <w:gridCol w:w="211"/>
        <w:gridCol w:w="826"/>
        <w:gridCol w:w="154"/>
      </w:tblGrid>
      <w:tr>
        <w:trPr/>
        <w:tc>
          <w:tcPr>
            <w:tcW w:w="226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from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 related to equity classified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restructuring and other 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and write-off of program rights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carriage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transaction (gain)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discounts on indebtedness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trade (including amounts due from related parties,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and obligations,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(193,006)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liabilities and 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investing activities,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Term Loan A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repurchases of restricted stock units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finance lease obligations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570,576 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Note 1. Description of Business and Basis of Presentation</w:t>
      </w:r>
    </w:p>
    <w:p>
      <w:pPr>
        <w:pStyle w:val="TextBody"/>
        <w:bidi w:val="0"/>
        <w:spacing w:lineRule="auto" w:line="288" w:before="120" w:after="12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Description of Business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Inc. ("AMC Networks") and its subsidiaries (collectively referred to as the "Company," "we," "us," or "our") own and operate entertainment businesses and assets. The Company is comprised of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Consists of our five national programming networks, our streaming services, our AMC Studios operation and our film distribution business. Our programming networks are AMC, We TV, BBC AMERICA ("BBCA"),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xml:space="preserve">: Consists of AMC Networks International ("AMCNI"), our international programming businesses consisting of a portfolio of channels distributed around the world. </w:t>
      </w:r>
    </w:p>
    <w:p>
      <w:pPr>
        <w:pStyle w:val="TextBody"/>
        <w:bidi w:val="0"/>
        <w:spacing w:lineRule="auto" w:line="268" w:before="120" w:after="120"/>
        <w:jc w:val="both"/>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6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Principles of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AMC Networks and its subsidiaries in which a controlling financial interest is maintained or variable interest entities in which the Company has determined it is the primary beneficiary. All intercompany transactions and balances have been eliminated in consolidation.</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business entities in which the Company lacks control but does have the ability to exercise significant influence over operating and financial policies are accounted for using the equity method of accounting. </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Unaudited Interim Financial Statements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have been prepared in accordance with U.S. generally accepted accounting principles ("GAAP") for interim financial information and Article 10 of Regulation S-X of the Securities and Exchange Commission ("SEC"), and should be read in conjunction with the Company's consolidated financial statements and notes thereto for the year ended December 31, 2024 contained in the Company's Annual Report on Form 10-K (our "2024 Form 10-K") filed with the SEC. The condensed consolidated financial statements presented in this Quarterly Report on Form 10-Q are unaudited; however, in the opinion of management, such financial statements reflect all adjustments, consisting solely of normal recurring adjustments, necessary for a fair presentation of the results for the interim periods presented.</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interim periods are not necessarily indicative of the results that might be expected for future interim periods or for the full year ending December 31, 2025.</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liabilities at the date of the financial statements; and the reported amounts of revenues and expenses during the reported period. Actual results could differ from those estimates. Significant estimates and judgments inherent in the preparation of the consolidated financial statements include the useful lives and methodologies used to amortize and assess recoverability of program rights, the estimated useful lives of intangible assets and the valuation and recoverability of goodwill and intangible assets.</w:t>
      </w:r>
    </w:p>
    <w:p>
      <w:pPr>
        <w:pStyle w:val="TextBody"/>
        <w:bidi w:val="0"/>
        <w:spacing w:lineRule="auto" w:line="288" w:before="12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Reclassifications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Certain reclassifications were made to the prior period amounts to conform to the current period presentation.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Recently Issued Accounting Standards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2024, the Financial Accounting Standards Board ("FASB") issued guidance that is intended to provide investors more detailed disclosures around specific types of expenses in the notes to the financial statements for interim and annual reporting periods. The Company will incorporate the required disclosure updates for the 2027 annual financial statements, and will determine whether to apply the updates prospectively or retrospectively.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2023, the FASB issued guidance that is intended to enhance the transparency and decision usefulness of income tax information through improvements to income tax disclosures primarily related to the rate reconciliation and income taxes paid information. The Company will incorporate the required disclosure updates for the 2025 annual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2. Revenue Recognition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the Company updated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 </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Affiliate revenues:</w:t>
      </w:r>
      <w:r>
        <w:rPr>
          <w:color w:val="000000"/>
        </w:rPr>
        <w:t xml:space="preserve"> </w:t>
      </w:r>
      <w:r>
        <w:rPr>
          <w:rFonts w:ascii="Times New Roman;sans-serif" w:hAnsi="Times New Roman;sans-serif"/>
          <w:b w:val="false"/>
          <w:color w:val="000000"/>
          <w:sz w:val="20"/>
        </w:rPr>
        <w:t>Represents fees received from distributors for the rights to use the Company's programming under multi-year contracts, commonly referred to as "affiliation agreements." Affiliate revenues also include fees received from distributors who provide access to the Company's streaming services to end users through a video package that also includes access to the Company's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Streaming revenues:</w:t>
      </w:r>
      <w:r>
        <w:rPr>
          <w:color w:val="000000"/>
        </w:rPr>
        <w:t xml:space="preserve"> </w:t>
      </w:r>
      <w:r>
        <w:rPr>
          <w:rFonts w:ascii="Times New Roman;sans-serif" w:hAnsi="Times New Roman;sans-serif"/>
          <w:b w:val="false"/>
          <w:color w:val="000000"/>
          <w:sz w:val="20"/>
        </w:rPr>
        <w:t>Represents fees for the Company's streaming services earned from the Company's direct-to-consumer platforms as well as through streaming platform arrangements with companies that sell the Company's streaming services on the Company's behalf.</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Transaction Price Allocated to Future Performance Obligations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As of March 31, 2025, other than contracts for which the Company has applied the practical expedients, the aggregate amount of transaction price allocated to remaining performance obligations</w:t>
      </w:r>
      <w:r>
        <w:rPr>
          <w:color w:val="000000"/>
          <w:shd w:fill="FFFFFF" w:val="clear"/>
        </w:rPr>
        <w:t xml:space="preserve"> </w:t>
      </w:r>
      <w:r>
        <w:rPr>
          <w:rFonts w:ascii="Times New Roman;sans-serif" w:hAnsi="Times New Roman;sans-serif"/>
          <w:b w:val="false"/>
          <w:color w:val="000000"/>
          <w:sz w:val="20"/>
          <w:shd w:fill="FFFFFF" w:val="clear"/>
        </w:rPr>
        <w:t xml:space="preserve">was not material </w:t>
      </w:r>
      <w:r>
        <w:rPr>
          <w:rFonts w:ascii="Times New Roman;sans-serif" w:hAnsi="Times New Roman;sans-serif"/>
          <w:b w:val="false"/>
          <w:color w:val="000000"/>
          <w:sz w:val="20"/>
        </w:rPr>
        <w:t>to our consolidated revenues.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Contract Balances from Contracts with Customers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receivables, contract assets, and contract liabilities from contracts with customers. </w:t>
      </w:r>
    </w:p>
    <w:tbl>
      <w:tblPr>
        <w:tblW w:w="9937" w:type="dxa"/>
        <w:jc w:val="left"/>
        <w:tblInd w:w="0" w:type="dxa"/>
        <w:tblLayout w:type="fixed"/>
        <w:tblCellMar>
          <w:top w:w="28" w:type="dxa"/>
          <w:left w:w="28" w:type="dxa"/>
          <w:bottom w:w="28" w:type="dxa"/>
          <w:right w:w="28" w:type="dxa"/>
        </w:tblCellMar>
      </w:tblPr>
      <w:tblGrid>
        <w:gridCol w:w="2314"/>
        <w:gridCol w:w="2043"/>
        <w:gridCol w:w="2048"/>
        <w:gridCol w:w="109"/>
        <w:gridCol w:w="109"/>
        <w:gridCol w:w="109"/>
        <w:gridCol w:w="237"/>
        <w:gridCol w:w="930"/>
        <w:gridCol w:w="122"/>
        <w:gridCol w:w="109"/>
        <w:gridCol w:w="109"/>
        <w:gridCol w:w="109"/>
        <w:gridCol w:w="281"/>
        <w:gridCol w:w="1103"/>
        <w:gridCol w:w="205"/>
      </w:tblGrid>
      <w:tr>
        <w:trPr/>
        <w:tc>
          <w:tcPr>
            <w:tcW w:w="2314"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6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Accounts receivable (including long-term receivables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619,606 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674,631 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Contract liabilities, short-term (Deferred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60,576 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Revenue recognized for the three months ended March 31, 2025 and 2024 relating to the contract liabilities at December 31, 2024 and 2023 was $20.1 million </w:t>
      </w:r>
      <w:r>
        <w:rPr>
          <w:rFonts w:ascii="Times New Roman;sans-serif" w:hAnsi="Times New Roman;sans-serif"/>
          <w:b w:val="false"/>
          <w:color w:val="000000"/>
          <w:sz w:val="20"/>
          <w:shd w:fill="FFFFFF" w:val="clear"/>
        </w:rPr>
        <w:t>and $24.7 million, respectively</w:t>
      </w:r>
      <w:r>
        <w:rPr>
          <w:rFonts w:ascii="Times New Roman;sans-serif" w:hAnsi="Times New Roman;sans-serif"/>
          <w:b w:val="false"/>
          <w:color w:val="000000"/>
          <w:sz w:val="20"/>
        </w:rPr>
        <w:t xml:space="preserve">. </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In October 2023, the Company entered into an agreement enabling it to sell certain customer receivables to a financial institution on a recurring basis for cash. The transferred receivables will be fully guaranteed by a bankruptcy-remote entity and the financial institution that purchases the receivables will have no recourse to the Company's other assets in the event of non-payment by the customers. The Company can sell an indefinite amount of customer receivables under the agreement on a revolving basis, but the outstanding balance of unpaid customer receivables to the financial institution cannot exceed the initial program limit of $125.0 million at any given time. As of </w:t>
      </w:r>
      <w:r>
        <w:rPr>
          <w:rFonts w:ascii="Times New Roman;sans-serif" w:hAnsi="Times New Roman;sans-serif"/>
          <w:b w:val="false"/>
          <w:color w:val="000000"/>
          <w:sz w:val="20"/>
        </w:rPr>
        <w:t>March 31, 2025,</w:t>
      </w:r>
      <w:r>
        <w:rPr>
          <w:color w:val="000000"/>
          <w:shd w:fill="FFFFFF" w:val="clear"/>
        </w:rPr>
        <w:t xml:space="preserve"> </w:t>
      </w:r>
      <w:r>
        <w:rPr>
          <w:rFonts w:ascii="Times New Roman;sans-serif" w:hAnsi="Times New Roman;sans-serif"/>
          <w:b w:val="false"/>
          <w:color w:val="000000"/>
          <w:sz w:val="20"/>
          <w:shd w:fill="FFFFFF" w:val="clear"/>
        </w:rPr>
        <w:t>the Company had not yet sold any customer receivables under this agreement.</w:t>
      </w:r>
    </w:p>
    <w:p>
      <w:pPr>
        <w:pStyle w:val="TextBody"/>
        <w:bidi w:val="0"/>
        <w:spacing w:before="120" w:after="120"/>
        <w:ind w:left="0" w:right="0" w:firstLine="495"/>
        <w:jc w:val="both"/>
        <w:rPr/>
      </w:pPr>
      <w:r>
        <w:rPr/>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3. Net Income per Share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basic share is based upon net income attributable to AMC Networks' stockholders divided by the weighted average number of shares of Class A Common Stock and Class B Common Stock outstanding during the period. Net income per diluted share reflects the dilutive effects, if any, of AMC Networks' outstanding equity-based awards and the assumed conversion of the Company's 4.25% Convertible Senior Notes due 2029 (the "Convertible Notes") issued in June 2024. </w:t>
      </w:r>
    </w:p>
    <w:tbl>
      <w:tblPr>
        <w:tblW w:w="10205" w:type="dxa"/>
        <w:jc w:val="left"/>
        <w:tblInd w:w="0" w:type="dxa"/>
        <w:tblLayout w:type="fixed"/>
        <w:tblCellMar>
          <w:top w:w="28" w:type="dxa"/>
          <w:left w:w="28" w:type="dxa"/>
          <w:bottom w:w="28" w:type="dxa"/>
          <w:right w:w="28" w:type="dxa"/>
        </w:tblCellMar>
      </w:tblPr>
      <w:tblGrid>
        <w:gridCol w:w="2279"/>
        <w:gridCol w:w="2005"/>
        <w:gridCol w:w="1993"/>
        <w:gridCol w:w="109"/>
        <w:gridCol w:w="109"/>
        <w:gridCol w:w="198"/>
        <w:gridCol w:w="198"/>
        <w:gridCol w:w="384"/>
        <w:gridCol w:w="1315"/>
        <w:gridCol w:w="198"/>
        <w:gridCol w:w="109"/>
        <w:gridCol w:w="109"/>
        <w:gridCol w:w="109"/>
        <w:gridCol w:w="211"/>
        <w:gridCol w:w="721"/>
        <w:gridCol w:w="158"/>
      </w:tblGrid>
      <w:tr>
        <w:trPr/>
        <w:tc>
          <w:tcPr>
            <w:tcW w:w="2279" w:type="dxa"/>
            <w:tcBorders/>
            <w:vAlign w:val="center"/>
          </w:tcPr>
          <w:p>
            <w:pPr>
              <w:pStyle w:val="TableContents"/>
              <w:bidi w:val="0"/>
              <w:spacing w:before="0" w:after="283"/>
              <w:jc w:val="left"/>
              <w:rPr>
                <w:sz w:val="4"/>
                <w:szCs w:val="4"/>
              </w:rPr>
            </w:pPr>
            <w:r>
              <w:rPr>
                <w:sz w:val="4"/>
                <w:szCs w:val="4"/>
              </w:rPr>
            </w:r>
          </w:p>
        </w:tc>
        <w:tc>
          <w:tcPr>
            <w:tcW w:w="200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2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417" w:type="dxa"/>
            <w:gridSpan w:val="6"/>
            <w:tcBorders/>
          </w:tcPr>
          <w:p>
            <w:pPr>
              <w:pStyle w:val="TableContents"/>
              <w:bidi w:val="0"/>
              <w:spacing w:before="0" w:after="283"/>
              <w:jc w:val="left"/>
              <w:rPr>
                <w:sz w:val="4"/>
                <w:szCs w:val="4"/>
              </w:rPr>
            </w:pPr>
            <w:r>
              <w:rPr>
                <w:sz w:val="4"/>
                <w:szCs w:val="4"/>
              </w:rPr>
            </w:r>
          </w:p>
        </w:tc>
      </w:tr>
      <w:tr>
        <w:trPr/>
        <w:tc>
          <w:tcPr>
            <w:tcW w:w="627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6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 used for basic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Convertible Notes interest expense,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 used for diluted net income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19,195 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56,616 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AMC Networks'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95"/>
        <w:jc w:val="both"/>
        <w:rPr/>
      </w:pPr>
      <w:r>
        <w:rPr>
          <w:rFonts w:ascii="Times New Roman;sans-serif" w:hAnsi="Times New Roman;sans-serif"/>
          <w:b w:val="false"/>
          <w:color w:val="000000"/>
          <w:sz w:val="20"/>
        </w:rPr>
        <w:t xml:space="preserve">For the three months ended March 31, 2025 and 2024, </w:t>
      </w:r>
      <w:r>
        <w:rPr>
          <w:rFonts w:ascii="Times New Roman;sans-serif" w:hAnsi="Times New Roman;sans-serif"/>
          <w:b w:val="false"/>
          <w:color w:val="000000"/>
          <w:sz w:val="20"/>
          <w:shd w:fill="FFFFFF" w:val="clear"/>
        </w:rPr>
        <w:t>1.2 million</w:t>
      </w:r>
      <w:r>
        <w:rPr>
          <w:color w:val="000000"/>
        </w:rPr>
        <w:t xml:space="preserve"> </w:t>
      </w:r>
      <w:r>
        <w:rPr>
          <w:rFonts w:ascii="Times New Roman;sans-serif" w:hAnsi="Times New Roman;sans-serif"/>
          <w:b w:val="false"/>
          <w:color w:val="000000"/>
          <w:sz w:val="20"/>
        </w:rPr>
        <w:t xml:space="preserve">and 0.2 million, respectively, of restricted stock units ("RSUs") have been excluded from the diluted weighted average common shares outstanding, as their impact would have been antidilutive. </w:t>
      </w:r>
    </w:p>
    <w:p>
      <w:pPr>
        <w:pStyle w:val="TextBody"/>
        <w:bidi w:val="0"/>
        <w:spacing w:lineRule="auto" w:line="288" w:before="120" w:after="120"/>
        <w:ind w:left="0" w:right="0" w:firstLine="495"/>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Repurchase Program</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The Company's Board of Directors previously authorized a program to repurchase up to </w:t>
      </w:r>
      <w:r>
        <w:rPr>
          <w:rFonts w:ascii="Times New Roman;sans-serif" w:hAnsi="Times New Roman;sans-serif"/>
          <w:b w:val="false"/>
          <w:color w:val="000000"/>
          <w:sz w:val="20"/>
          <w:shd w:fill="FFFFFF" w:val="clear"/>
        </w:rPr>
        <w:t>$1.5 billion</w:t>
      </w:r>
      <w:r>
        <w:rPr>
          <w:color w:val="000000"/>
        </w:rPr>
        <w:t xml:space="preserve"> </w:t>
      </w:r>
      <w:r>
        <w:rPr>
          <w:rFonts w:ascii="Times New Roman;sans-serif" w:hAnsi="Times New Roman;sans-serif"/>
          <w:b w:val="false"/>
          <w:color w:val="000000"/>
          <w:sz w:val="20"/>
        </w:rPr>
        <w:t xml:space="preserve">of its outstanding shares of Class A Common Stock (the "Stock Repurchase Program"). The Stock Repurchase Program has no pre-established termination date and may be suspended or discontinued at any time. For the three months ended March 31, 2025 and 2024, the Company did not repurchase any shares of its Class A Common Stock. As of March 31, 2025,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of authorization remaining for repurchase under the Stock Repurchase Program.</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Restructuring and Other Related Charges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The Company recorded restructuring and other related charges of </w:t>
      </w:r>
      <w:r>
        <w:rPr>
          <w:rFonts w:ascii="Times New Roman;sans-serif" w:hAnsi="Times New Roman;sans-serif"/>
          <w:b w:val="false"/>
          <w:color w:val="000000"/>
          <w:sz w:val="20"/>
        </w:rPr>
        <w:t>$4.8 million</w:t>
      </w:r>
      <w:r>
        <w:rPr>
          <w:color w:val="000000"/>
          <w:shd w:fill="FFFFFF" w:val="clear"/>
        </w:rPr>
        <w:t xml:space="preserve"> </w:t>
      </w:r>
      <w:r>
        <w:rPr>
          <w:rFonts w:ascii="Times New Roman;sans-serif" w:hAnsi="Times New Roman;sans-serif"/>
          <w:b w:val="false"/>
          <w:color w:val="000000"/>
          <w:sz w:val="20"/>
          <w:shd w:fill="FFFFFF" w:val="clear"/>
        </w:rPr>
        <w:t>for t</w:t>
      </w:r>
      <w:r>
        <w:rPr>
          <w:rFonts w:ascii="Times New Roman;sans-serif" w:hAnsi="Times New Roman;sans-serif"/>
          <w:b w:val="false"/>
          <w:color w:val="000000"/>
          <w:sz w:val="20"/>
        </w:rPr>
        <w:t>he three months ended March 31, 2025, primarily related to the planned wind-down of a U.K. joint venture in its International segment. Additionally, the Company commenced a restructuring plan related to its International segment (the “AMCNI Plan”) designed to achieve cost reductions and streamline operations in Southern Europe, including channel re-branding and a reduction of workforce.</w:t>
      </w:r>
      <w:r>
        <w:rPr>
          <w:color w:val="000000"/>
          <w:shd w:fill="FFFFFF" w:val="clear"/>
        </w:rPr>
        <w:t xml:space="preserve"> </w:t>
      </w:r>
      <w:r>
        <w:rPr>
          <w:rFonts w:ascii="Times New Roman;sans-serif" w:hAnsi="Times New Roman;sans-serif"/>
          <w:b w:val="false"/>
          <w:color w:val="000000"/>
          <w:sz w:val="20"/>
          <w:shd w:fill="FFFFFF" w:val="clear"/>
        </w:rPr>
        <w:t>The Company estimates it will incur approximately $5.0 million of additional restructuring charges in connection with the AMCNI Plan, which is expected to be substantially completed by the end of 2025. There were no restructuring and other related charges for the three months ended March 31, 2024.</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restructuring and other related charges (credits) recognized by operating segment:</w:t>
      </w:r>
    </w:p>
    <w:tbl>
      <w:tblPr>
        <w:tblW w:w="7388" w:type="dxa"/>
        <w:jc w:val="left"/>
        <w:tblInd w:w="0" w:type="dxa"/>
        <w:tblLayout w:type="fixed"/>
        <w:tblCellMar>
          <w:top w:w="28" w:type="dxa"/>
          <w:left w:w="28" w:type="dxa"/>
          <w:bottom w:w="28" w:type="dxa"/>
          <w:right w:w="28" w:type="dxa"/>
        </w:tblCellMar>
      </w:tblPr>
      <w:tblGrid>
        <w:gridCol w:w="1339"/>
        <w:gridCol w:w="1182"/>
        <w:gridCol w:w="1184"/>
        <w:gridCol w:w="109"/>
        <w:gridCol w:w="109"/>
        <w:gridCol w:w="109"/>
        <w:gridCol w:w="109"/>
        <w:gridCol w:w="623"/>
        <w:gridCol w:w="2040"/>
        <w:gridCol w:w="321"/>
        <w:gridCol w:w="109"/>
        <w:gridCol w:w="154"/>
      </w:tblGrid>
      <w:tr>
        <w:trPr/>
        <w:tc>
          <w:tcPr>
            <w:tcW w:w="1339"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Domestic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(1,571)</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and other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accrued restructuring and other related costs:</w:t>
      </w:r>
    </w:p>
    <w:tbl>
      <w:tblPr>
        <w:tblW w:w="10205" w:type="dxa"/>
        <w:jc w:val="left"/>
        <w:tblInd w:w="0" w:type="dxa"/>
        <w:tblLayout w:type="fixed"/>
        <w:tblCellMar>
          <w:top w:w="28" w:type="dxa"/>
          <w:left w:w="28" w:type="dxa"/>
          <w:bottom w:w="28" w:type="dxa"/>
          <w:right w:w="28" w:type="dxa"/>
        </w:tblCellMar>
      </w:tblPr>
      <w:tblGrid>
        <w:gridCol w:w="1103"/>
        <w:gridCol w:w="918"/>
        <w:gridCol w:w="921"/>
        <w:gridCol w:w="616"/>
        <w:gridCol w:w="1799"/>
        <w:gridCol w:w="320"/>
        <w:gridCol w:w="109"/>
        <w:gridCol w:w="109"/>
        <w:gridCol w:w="109"/>
        <w:gridCol w:w="649"/>
        <w:gridCol w:w="1902"/>
        <w:gridCol w:w="337"/>
        <w:gridCol w:w="109"/>
        <w:gridCol w:w="109"/>
        <w:gridCol w:w="109"/>
        <w:gridCol w:w="211"/>
        <w:gridCol w:w="616"/>
        <w:gridCol w:w="159"/>
      </w:tblGrid>
      <w:tr>
        <w:trPr/>
        <w:tc>
          <w:tcPr>
            <w:tcW w:w="110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Severance and Employee-Related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Content Impairments and 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9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2024</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1,337 </w:t>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content impairment adjustments</w:t>
            </w:r>
          </w:p>
        </w:tc>
        <w:tc>
          <w:tcPr>
            <w:tcW w:w="2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2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2025</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restructuring and other related costs of $3.4 million and $6.2 million are included in Accrued liabilities in the condensed consolidated balance sheets at March 31, 2025 and December 31, 2024, respectively. </w:t>
      </w:r>
    </w:p>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5. Program Rights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Total capitalized produced and licensed content by predominant monetization strategy is as follows:</w:t>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685,365 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227,271 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227,271 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60,761 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851,875 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912,636 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539,564 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539,746 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4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745,746 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745,928 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60,943</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1,597,621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1,658,564</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1,655,445 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1,658,564</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18"/>
        <w:gridCol w:w="828"/>
        <w:gridCol w:w="831"/>
        <w:gridCol w:w="550"/>
        <w:gridCol w:w="1927"/>
        <w:gridCol w:w="287"/>
        <w:gridCol w:w="109"/>
        <w:gridCol w:w="109"/>
        <w:gridCol w:w="109"/>
        <w:gridCol w:w="424"/>
        <w:gridCol w:w="2003"/>
        <w:gridCol w:w="222"/>
        <w:gridCol w:w="109"/>
        <w:gridCol w:w="109"/>
        <w:gridCol w:w="109"/>
        <w:gridCol w:w="211"/>
        <w:gridCol w:w="991"/>
        <w:gridCol w:w="159"/>
      </w:tblGrid>
      <w:tr>
        <w:trPr/>
        <w:tc>
          <w:tcPr>
            <w:tcW w:w="111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Individually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Predominantly Monetized as a Group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 xml:space="preserve">Total </w:t>
            </w:r>
          </w:p>
        </w:tc>
      </w:tr>
      <w:tr>
        <w:trPr/>
        <w:tc>
          <w:tcPr>
            <w:tcW w:w="27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Owned original program rights, net:</w:t>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Completed</w:t>
            </w:r>
          </w:p>
        </w:tc>
        <w:tc>
          <w:tcPr>
            <w:tcW w:w="5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65,129 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647,632 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712,761 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In-production and in-development </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222,660 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222,660 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owned original program rights, net</w:t>
            </w:r>
          </w:p>
        </w:tc>
        <w:tc>
          <w:tcPr>
            <w:tcW w:w="5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65,129 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870,292 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935,421 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Licensed program rights, net:</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film and acquired series</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543,396 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543,657 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originals</w:t>
            </w:r>
          </w:p>
        </w:tc>
        <w:tc>
          <w:tcPr>
            <w:tcW w:w="24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147,245 </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147,245 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Advances and other production costs</w:t>
            </w:r>
          </w:p>
        </w:tc>
        <w:tc>
          <w:tcPr>
            <w:tcW w:w="2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90,318 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licensed program rights, net</w:t>
            </w:r>
          </w:p>
        </w:tc>
        <w:tc>
          <w:tcPr>
            <w:tcW w:w="24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780,959 </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781,220 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rights, net </w:t>
            </w:r>
          </w:p>
        </w:tc>
        <w:tc>
          <w:tcPr>
            <w:tcW w:w="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65,390</w:t>
            </w:r>
            <w:r>
              <w:rPr>
                <w:color w:val="000000"/>
              </w:rPr>
              <w:t>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1,651,251</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1,716,641</w:t>
            </w: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program rights, net</w:t>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Program rights, net (long-term)</w:t>
            </w:r>
          </w:p>
        </w:tc>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1,713,952 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1,716,641</w:t>
            </w:r>
            <w:r>
              <w:rPr>
                <w:color w:val="000000"/>
              </w:rPr>
              <w:t>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77" w:type="dxa"/>
            <w:gridSpan w:val="3"/>
            <w:tcBorders/>
            <w:vAlign w:val="center"/>
          </w:tcPr>
          <w:p>
            <w:pPr>
              <w:pStyle w:val="TableContents"/>
              <w:bidi w:val="0"/>
              <w:spacing w:before="0" w:after="283"/>
              <w:jc w:val="left"/>
              <w:rPr>
                <w:sz w:val="4"/>
                <w:szCs w:val="4"/>
              </w:rPr>
            </w:pPr>
            <w:r>
              <w:rPr>
                <w:sz w:val="4"/>
                <w:szCs w:val="4"/>
              </w:rPr>
            </w:r>
          </w:p>
        </w:tc>
        <w:tc>
          <w:tcPr>
            <w:tcW w:w="27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both"/>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including write-offs, of owned and licensed program rights, included in Technical and operating expenses in the condensed consolidated statements of income, is as follows:</w:t>
      </w:r>
    </w:p>
    <w:tbl>
      <w:tblPr>
        <w:tblW w:w="10205" w:type="dxa"/>
        <w:jc w:val="left"/>
        <w:tblInd w:w="0" w:type="dxa"/>
        <w:tblLayout w:type="fixed"/>
        <w:tblCellMar>
          <w:top w:w="28" w:type="dxa"/>
          <w:left w:w="28" w:type="dxa"/>
          <w:bottom w:w="28" w:type="dxa"/>
          <w:right w:w="28" w:type="dxa"/>
        </w:tblCellMar>
      </w:tblPr>
      <w:tblGrid>
        <w:gridCol w:w="829"/>
        <w:gridCol w:w="729"/>
        <w:gridCol w:w="731"/>
        <w:gridCol w:w="109"/>
        <w:gridCol w:w="109"/>
        <w:gridCol w:w="213"/>
        <w:gridCol w:w="213"/>
        <w:gridCol w:w="213"/>
        <w:gridCol w:w="213"/>
        <w:gridCol w:w="598"/>
        <w:gridCol w:w="1639"/>
        <w:gridCol w:w="289"/>
        <w:gridCol w:w="109"/>
        <w:gridCol w:w="109"/>
        <w:gridCol w:w="109"/>
        <w:gridCol w:w="454"/>
        <w:gridCol w:w="1779"/>
        <w:gridCol w:w="234"/>
        <w:gridCol w:w="109"/>
        <w:gridCol w:w="109"/>
        <w:gridCol w:w="109"/>
        <w:gridCol w:w="211"/>
        <w:gridCol w:w="826"/>
        <w:gridCol w:w="162"/>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4320" w:type="dxa"/>
            <w:gridSpan w:val="12"/>
            <w:tcBorders/>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original program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87,143 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91,036 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program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193,909 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197,881 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36"/>
        <w:gridCol w:w="735"/>
        <w:gridCol w:w="737"/>
        <w:gridCol w:w="109"/>
        <w:gridCol w:w="109"/>
        <w:gridCol w:w="201"/>
        <w:gridCol w:w="201"/>
        <w:gridCol w:w="201"/>
        <w:gridCol w:w="201"/>
        <w:gridCol w:w="529"/>
        <w:gridCol w:w="1751"/>
        <w:gridCol w:w="264"/>
        <w:gridCol w:w="109"/>
        <w:gridCol w:w="109"/>
        <w:gridCol w:w="109"/>
        <w:gridCol w:w="457"/>
        <w:gridCol w:w="1790"/>
        <w:gridCol w:w="235"/>
        <w:gridCol w:w="109"/>
        <w:gridCol w:w="109"/>
        <w:gridCol w:w="109"/>
        <w:gridCol w:w="211"/>
        <w:gridCol w:w="826"/>
        <w:gridCol w:w="158"/>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8"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4331" w:type="dxa"/>
            <w:gridSpan w:val="12"/>
            <w:tcBorders/>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Individually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Predominantly Monetized as a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2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Owned original program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24,852 </w:t>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60,106 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84,958 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Licensed program rights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2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115,963 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26,483 </w:t>
            </w:r>
          </w:p>
        </w:tc>
        <w:tc>
          <w:tcPr>
            <w:tcW w:w="2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176,069 </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202,552 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450"/>
        <w:jc w:val="both"/>
        <w:rPr/>
      </w:pPr>
      <w:r>
        <w:rPr>
          <w:rFonts w:ascii="Times New Roman;sans-serif" w:hAnsi="Times New Roman;sans-serif"/>
          <w:b w:val="false"/>
          <w:color w:val="000000"/>
          <w:sz w:val="20"/>
          <w:shd w:fill="FFFFFF" w:val="clear"/>
        </w:rPr>
        <w:t>There were</w:t>
      </w:r>
      <w:r>
        <w:rPr>
          <w:color w:val="000000"/>
        </w:rPr>
        <w:t xml:space="preserve"> </w:t>
      </w:r>
      <w:r>
        <w:rPr>
          <w:rFonts w:ascii="Times New Roman;sans-serif" w:hAnsi="Times New Roman;sans-serif"/>
          <w:b w:val="false"/>
          <w:color w:val="000000"/>
          <w:sz w:val="20"/>
        </w:rPr>
        <w:t>no</w:t>
      </w:r>
      <w:r>
        <w:rPr>
          <w:color w:val="000000"/>
          <w:shd w:fill="FFFFFF" w:val="clear"/>
        </w:rPr>
        <w:t xml:space="preserve"> </w:t>
      </w:r>
      <w:r>
        <w:rPr>
          <w:rFonts w:ascii="Times New Roman;sans-serif" w:hAnsi="Times New Roman;sans-serif"/>
          <w:b w:val="false"/>
          <w:color w:val="000000"/>
          <w:sz w:val="20"/>
          <w:shd w:fill="FFFFFF" w:val="clear"/>
        </w:rPr>
        <w:t>significant program rights write-offs included in technical and operating expenses f</w:t>
      </w:r>
      <w:r>
        <w:rPr>
          <w:rFonts w:ascii="Times New Roman;sans-serif" w:hAnsi="Times New Roman;sans-serif"/>
          <w:b w:val="false"/>
          <w:color w:val="000000"/>
          <w:sz w:val="20"/>
        </w:rPr>
        <w:t>or the three months ended March 31, 2025 or 2024.</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normal course of business, the Company may qualify for tax incentives through eligible spend on productions. Receivables related to tax incentives earned on production spend as of March 31, 2025 consisted of $191.5 million recorded in Prepaid expenses and other current assets and $44.0 million recorded in Other assets. Receivables related to tax incentives earned on production spend as of December 31, 2024 consisted of $182.0 million recorded in Prepaid expenses and other current assets and $42.4 million recorded in Other assets.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Investments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The Company holds several investments in and loans to non-consolidated entities that are included in Other assets in the condensed consolidated balance sheets. Equity method investments were</w:t>
      </w:r>
      <w:r>
        <w:rPr>
          <w:color w:val="000000"/>
          <w:shd w:fill="FFFFFF" w:val="clear"/>
        </w:rPr>
        <w:t xml:space="preserve"> </w:t>
      </w:r>
      <w:r>
        <w:rPr>
          <w:rFonts w:ascii="Times New Roman;sans-serif" w:hAnsi="Times New Roman;sans-serif"/>
          <w:b w:val="false"/>
          <w:color w:val="000000"/>
          <w:sz w:val="20"/>
        </w:rPr>
        <w:t>$85.2 million</w:t>
      </w:r>
      <w:r>
        <w:rPr>
          <w:color w:val="000000"/>
          <w:shd w:fill="FFFFFF" w:val="clear"/>
        </w:rPr>
        <w:t xml:space="preserve"> </w:t>
      </w:r>
      <w:r>
        <w:rPr>
          <w:rFonts w:ascii="Times New Roman;sans-serif" w:hAnsi="Times New Roman;sans-serif"/>
          <w:b w:val="false"/>
          <w:color w:val="000000"/>
          <w:sz w:val="20"/>
        </w:rPr>
        <w:t xml:space="preserve">and $81.8 million at March 31, 2025 and December 31, 2024, respectively. Investments in non-marketable equity securities were </w:t>
      </w:r>
      <w:r>
        <w:rPr>
          <w:rFonts w:ascii="Times New Roman;sans-serif" w:hAnsi="Times New Roman;sans-serif"/>
          <w:b w:val="false"/>
          <w:color w:val="000000"/>
          <w:sz w:val="20"/>
          <w:shd w:fill="FFFFFF" w:val="clear"/>
        </w:rPr>
        <w:t>$43.9 million a</w:t>
      </w:r>
      <w:r>
        <w:rPr>
          <w:rFonts w:ascii="Times New Roman;sans-serif" w:hAnsi="Times New Roman;sans-serif"/>
          <w:b w:val="false"/>
          <w:color w:val="000000"/>
          <w:sz w:val="20"/>
        </w:rPr>
        <w:t xml:space="preserve">t March 31, 2025 and December 31, 2024. </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7. Goodwill and Other Intangible Assets</w:t>
      </w:r>
    </w:p>
    <w:p>
      <w:pPr>
        <w:pStyle w:val="TextBody"/>
        <w:bidi w:val="0"/>
        <w:spacing w:lineRule="auto" w:line="288" w:before="120" w:after="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 of goodwill, by operating segment, is as follows:</w:t>
      </w:r>
    </w:p>
    <w:tbl>
      <w:tblPr>
        <w:tblW w:w="7116" w:type="dxa"/>
        <w:jc w:val="left"/>
        <w:tblInd w:w="0" w:type="dxa"/>
        <w:tblLayout w:type="fixed"/>
        <w:tblCellMar>
          <w:top w:w="28" w:type="dxa"/>
          <w:left w:w="28" w:type="dxa"/>
          <w:bottom w:w="28" w:type="dxa"/>
          <w:right w:w="28" w:type="dxa"/>
        </w:tblCellMar>
      </w:tblPr>
      <w:tblGrid>
        <w:gridCol w:w="872"/>
        <w:gridCol w:w="770"/>
        <w:gridCol w:w="773"/>
        <w:gridCol w:w="346"/>
        <w:gridCol w:w="1185"/>
        <w:gridCol w:w="179"/>
        <w:gridCol w:w="109"/>
        <w:gridCol w:w="109"/>
        <w:gridCol w:w="109"/>
        <w:gridCol w:w="211"/>
        <w:gridCol w:w="826"/>
        <w:gridCol w:w="109"/>
        <w:gridCol w:w="109"/>
        <w:gridCol w:w="109"/>
        <w:gridCol w:w="109"/>
        <w:gridCol w:w="211"/>
        <w:gridCol w:w="826"/>
        <w:gridCol w:w="154"/>
      </w:tblGrid>
      <w:tr>
        <w:trPr/>
        <w:tc>
          <w:tcPr>
            <w:tcW w:w="87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w:t>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250,728 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accumulated impairment charges totaled $556.2 million.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information relating to the Company's identifiable intangible assets:</w:t>
      </w:r>
    </w:p>
    <w:tbl>
      <w:tblPr>
        <w:tblW w:w="10205" w:type="dxa"/>
        <w:jc w:val="left"/>
        <w:tblInd w:w="0" w:type="dxa"/>
        <w:tblLayout w:type="fixed"/>
        <w:tblCellMar>
          <w:top w:w="28" w:type="dxa"/>
          <w:left w:w="28" w:type="dxa"/>
          <w:bottom w:w="28" w:type="dxa"/>
          <w:right w:w="28" w:type="dxa"/>
        </w:tblCellMar>
      </w:tblPr>
      <w:tblGrid>
        <w:gridCol w:w="1286"/>
        <w:gridCol w:w="1073"/>
        <w:gridCol w:w="1084"/>
        <w:gridCol w:w="211"/>
        <w:gridCol w:w="826"/>
        <w:gridCol w:w="109"/>
        <w:gridCol w:w="109"/>
        <w:gridCol w:w="109"/>
        <w:gridCol w:w="109"/>
        <w:gridCol w:w="326"/>
        <w:gridCol w:w="1377"/>
        <w:gridCol w:w="168"/>
        <w:gridCol w:w="109"/>
        <w:gridCol w:w="109"/>
        <w:gridCol w:w="109"/>
        <w:gridCol w:w="211"/>
        <w:gridCol w:w="826"/>
        <w:gridCol w:w="109"/>
        <w:gridCol w:w="109"/>
        <w:gridCol w:w="109"/>
        <w:gridCol w:w="109"/>
        <w:gridCol w:w="471"/>
        <w:gridCol w:w="471"/>
        <w:gridCol w:w="676"/>
      </w:tblGrid>
      <w:tr>
        <w:trPr/>
        <w:tc>
          <w:tcPr>
            <w:tcW w:w="12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Useful Lives</w:t>
            </w:r>
          </w:p>
        </w:tc>
      </w:tr>
      <w:tr>
        <w:trPr/>
        <w:tc>
          <w:tcPr>
            <w:tcW w:w="3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(468,215)</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6 to 25 years</w:t>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11 years</w:t>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(48,146)</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3 to 20 years</w:t>
            </w:r>
          </w:p>
        </w:tc>
      </w:tr>
      <w:tr>
        <w:trPr/>
        <w:tc>
          <w:tcPr>
            <w:tcW w:w="34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(562,643)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772,604 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(562,643)</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60"/>
        <w:ind w:left="0" w:right="0" w:firstLine="450"/>
        <w:jc w:val="both"/>
        <w:rPr/>
      </w:pPr>
      <w:r>
        <w:rPr/>
      </w:r>
    </w:p>
    <w:tbl>
      <w:tblPr>
        <w:tblW w:w="9747" w:type="dxa"/>
        <w:jc w:val="left"/>
        <w:tblInd w:w="0" w:type="dxa"/>
        <w:tblLayout w:type="fixed"/>
        <w:tblCellMar>
          <w:top w:w="28" w:type="dxa"/>
          <w:left w:w="28" w:type="dxa"/>
          <w:bottom w:w="28" w:type="dxa"/>
          <w:right w:w="28" w:type="dxa"/>
        </w:tblCellMar>
      </w:tblPr>
      <w:tblGrid>
        <w:gridCol w:w="1568"/>
        <w:gridCol w:w="1383"/>
        <w:gridCol w:w="1398"/>
        <w:gridCol w:w="211"/>
        <w:gridCol w:w="826"/>
        <w:gridCol w:w="109"/>
        <w:gridCol w:w="109"/>
        <w:gridCol w:w="109"/>
        <w:gridCol w:w="109"/>
        <w:gridCol w:w="378"/>
        <w:gridCol w:w="1616"/>
        <w:gridCol w:w="195"/>
        <w:gridCol w:w="109"/>
        <w:gridCol w:w="109"/>
        <w:gridCol w:w="109"/>
        <w:gridCol w:w="211"/>
        <w:gridCol w:w="826"/>
        <w:gridCol w:w="109"/>
        <w:gridCol w:w="109"/>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1736" w:type="dxa"/>
            <w:gridSpan w:val="8"/>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5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Amortizable intangible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Affiliate and customer relationships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(456,052)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Advertiser relationships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and other amortizable intangible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(46,169)</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amortizable intangible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(548,503)</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196,578 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Indefinite-lived intangible 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764,981 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(548,503)</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216,478 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Aggregate amortization expense for amortizable intangible assets for the three months ended March 31, 2025 and 2024 was $7.8 million</w:t>
      </w:r>
      <w:r>
        <w:rPr>
          <w:color w:val="000000"/>
          <w:shd w:fill="FFFFFF" w:val="clear"/>
        </w:rPr>
        <w:t xml:space="preserve"> </w:t>
      </w:r>
      <w:r>
        <w:rPr>
          <w:rFonts w:ascii="Times New Roman;sans-serif" w:hAnsi="Times New Roman;sans-serif"/>
          <w:b w:val="false"/>
          <w:color w:val="000000"/>
          <w:sz w:val="20"/>
        </w:rPr>
        <w:t>and $8.6 million, respectively.</w:t>
      </w:r>
    </w:p>
    <w:p>
      <w:pPr>
        <w:pStyle w:val="TextBody"/>
        <w:bidi w:val="0"/>
        <w:spacing w:before="120" w:after="12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Estimated aggregate amortization expense for intangible assets subject to amortization for each of the following five years is:</w:t>
      </w:r>
    </w:p>
    <w:tbl>
      <w:tblPr>
        <w:tblW w:w="3350" w:type="dxa"/>
        <w:jc w:val="left"/>
        <w:tblInd w:w="0" w:type="dxa"/>
        <w:tblLayout w:type="fixed"/>
        <w:tblCellMar>
          <w:top w:w="28" w:type="dxa"/>
          <w:left w:w="28" w:type="dxa"/>
          <w:bottom w:w="28" w:type="dxa"/>
          <w:right w:w="28" w:type="dxa"/>
        </w:tblCellMar>
      </w:tblPr>
      <w:tblGrid>
        <w:gridCol w:w="818"/>
        <w:gridCol w:w="722"/>
        <w:gridCol w:w="724"/>
        <w:gridCol w:w="211"/>
        <w:gridCol w:w="721"/>
        <w:gridCol w:w="154"/>
      </w:tblGrid>
      <w:tr>
        <w:trPr/>
        <w:tc>
          <w:tcPr>
            <w:tcW w:w="818"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120"/>
        <w:jc w:val="both"/>
        <w:rPr>
          <w:rFonts w:ascii="Times New Roman;sans-serif" w:hAnsi="Times New Roman;sans-serif"/>
          <w:b/>
          <w:color w:val="000000"/>
          <w:sz w:val="20"/>
        </w:rPr>
      </w:pPr>
      <w:r>
        <w:rPr>
          <w:rFonts w:ascii="Times New Roman;sans-serif" w:hAnsi="Times New Roman;sans-serif"/>
          <w:b/>
          <w:color w:val="000000"/>
          <w:sz w:val="20"/>
        </w:rPr>
        <w:t>Note 8. Accrued Liabilities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 of the following:</w:t>
      </w:r>
    </w:p>
    <w:tbl>
      <w:tblPr>
        <w:tblW w:w="5560" w:type="dxa"/>
        <w:jc w:val="left"/>
        <w:tblInd w:w="0" w:type="dxa"/>
        <w:tblLayout w:type="fixed"/>
        <w:tblCellMar>
          <w:top w:w="28" w:type="dxa"/>
          <w:left w:w="28" w:type="dxa"/>
          <w:bottom w:w="28" w:type="dxa"/>
          <w:right w:w="28" w:type="dxa"/>
        </w:tblCellMar>
      </w:tblPr>
      <w:tblGrid>
        <w:gridCol w:w="851"/>
        <w:gridCol w:w="751"/>
        <w:gridCol w:w="753"/>
        <w:gridCol w:w="237"/>
        <w:gridCol w:w="930"/>
        <w:gridCol w:w="122"/>
        <w:gridCol w:w="109"/>
        <w:gridCol w:w="109"/>
        <w:gridCol w:w="109"/>
        <w:gridCol w:w="281"/>
        <w:gridCol w:w="1103"/>
        <w:gridCol w:w="205"/>
      </w:tblGrid>
      <w:tr>
        <w:trPr/>
        <w:tc>
          <w:tcPr>
            <w:tcW w:w="8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related costs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95,529 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79,873 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Participations and residuals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117,453 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118,101 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60,485 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32,723 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270,856 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290,718 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Long-term Debt</w:t>
      </w:r>
    </w:p>
    <w:p>
      <w:pPr>
        <w:pStyle w:val="TextBody"/>
        <w:bidi w:val="0"/>
        <w:spacing w:lineRule="auto" w:line="288" w:before="6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consists of:</w:t>
      </w:r>
    </w:p>
    <w:tbl>
      <w:tblPr>
        <w:tblW w:w="7952" w:type="dxa"/>
        <w:jc w:val="left"/>
        <w:tblInd w:w="0" w:type="dxa"/>
        <w:tblLayout w:type="fixed"/>
        <w:tblCellMar>
          <w:top w:w="28" w:type="dxa"/>
          <w:left w:w="28" w:type="dxa"/>
          <w:bottom w:w="28" w:type="dxa"/>
          <w:right w:w="28" w:type="dxa"/>
        </w:tblCellMar>
      </w:tblPr>
      <w:tblGrid>
        <w:gridCol w:w="1713"/>
        <w:gridCol w:w="1511"/>
        <w:gridCol w:w="1516"/>
        <w:gridCol w:w="211"/>
        <w:gridCol w:w="976"/>
        <w:gridCol w:w="109"/>
        <w:gridCol w:w="109"/>
        <w:gridCol w:w="109"/>
        <w:gridCol w:w="109"/>
        <w:gridCol w:w="250"/>
        <w:gridCol w:w="1157"/>
        <w:gridCol w:w="182"/>
      </w:tblGrid>
      <w:tr>
        <w:trPr/>
        <w:tc>
          <w:tcPr>
            <w:tcW w:w="1713"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Credit Facility: </w:t>
            </w:r>
            <w:r>
              <w:rPr>
                <w:rFonts w:ascii="Times New Roman;sans-serif" w:hAnsi="Times New Roman;sans-serif"/>
                <w:b w:val="false"/>
                <w:color w:val="000000"/>
                <w:sz w:val="14"/>
              </w:rPr>
              <w:t>(a)</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365,625 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10.25% Senior Secured Notes due January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Senior Notes due February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985,010 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February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2,369,385 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(25,014)</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deferred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2,330,063 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2,336,219 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portion of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2,328,719 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(a)Represents the aggregate principal amount of the debt, with the Term Loan A (non-extended) of $90.0 million maturing in February 2026, the Term Loan A (extended) of $267.5 million maturing in April 2028, and commitments under our undrawn $175.0 million revolving credit facility terminating in April 2028. Total undrawn revolver commitments are available to be drawn for general corporate purposes of the Company.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 Company repaid $8.1 million of the principal amount of the Term Loan A Facility.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4605" cy="14605"/>
                <wp:effectExtent l="0" t="0" r="0" b="0"/>
                <wp:wrapNone/>
                <wp:docPr id="14"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the Company repurchased $31.6 million principal amount of its 4.25% Senior Notes due February 2029 (the "Senior Notes") through open market repurchases, at a discount of $9.3 million, and retired the repurchased notes. The discount, net of the write-off of a portion of the unamortized discount and deferred financing costs associated with the Senior Notes, will be recognized as a gain on extinguishment of debt in the condensed consolidated statements of income in the second quarter of 2025. In May 2025, the Company voluntarily prepaid $20.0 million of borrowings under the Term Loan A Facility.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credit agreement (as amended, the "Credit Agreement") generally requires AMC Networks Inc. and its restricted subsidiaries on a consolidated basis to comply with a maximum total net leverage ratio of 5.75:1.00 from April 9, 2024 through March 31, 2026, after which the maximum total net leverage ratio changes to 5.50:1.00. In addition, the Credit Agreement requires a minimum interest coverage ratio of 2.00:1.00 for AMC Networks Inc. and its restricted subsidiaries on a consolidated basis through September 30, 2026, after which the minimum interest coverage ratio changes to 2.25:1.00. All borrowings under the Credit Agreement are subject to the satisfaction of customary conditions, including the absence of a default and accuracy of representations and warranties. AMC Networks was in compliance with all of its financial covenants under the Credit Agreement as of March 31, 2025.</w:t>
      </w:r>
    </w:p>
    <w:p>
      <w:pPr>
        <w:pStyle w:val="TextBody"/>
        <w:bidi w:val="0"/>
        <w:spacing w:before="1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 Leases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The Company's leases consist of non-cancelable agreements for office space, and to a lesser extent, equipment leases for satellite transponders, which</w:t>
      </w:r>
      <w:r>
        <w:rPr>
          <w:color w:val="000000"/>
          <w:shd w:fill="FFFFFF" w:val="clear"/>
        </w:rPr>
        <w:t xml:space="preserve"> </w:t>
      </w:r>
      <w:r>
        <w:rPr>
          <w:rFonts w:ascii="Times New Roman;sans-serif" w:hAnsi="Times New Roman;sans-serif"/>
          <w:b w:val="false"/>
          <w:color w:val="000000"/>
          <w:sz w:val="20"/>
          <w:shd w:fill="FFFFFF" w:val="clear"/>
        </w:rPr>
        <w:t>expire at various dates through 2033</w:t>
      </w:r>
      <w:r>
        <w:rPr>
          <w:rFonts w:ascii="Times New Roman;sans-serif" w:hAnsi="Times New Roman;sans-serif"/>
          <w:b w:val="false"/>
          <w:color w:val="000000"/>
          <w:sz w:val="20"/>
        </w:rPr>
        <w:t>. Leases with an initial term of 12 months or less are not recorded on the balance sheet, instead the lease expense is recorded on a straight-line basis over the lease term. For lease agreements entered into, we combine lease and non-lease components. Some leases include options to extend the lease term or terminate the lease prior to the end of the lease term. The depreciable life of assets and leasehold improvements are limited by the expected lease term, unless there is a transfer of title or purchase option reasonably certain of exercise.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leases generally provide for fixed annual rentals plus certain other costs or credits. Some leases include rental payments based on a percentage of revenue over contractual levels or based on an index or rate. Our lease agreements do not include any material residual value guarantees or material restrictive covenants.</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Since the rate implicit in our leases is not readily determinable, the Company uses its incremental borrowing rate based on the information available at the lease commencement date to determine the present value of the lease payments.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leases included in the condensed consolidated balance sheets:</w:t>
      </w:r>
    </w:p>
    <w:tbl>
      <w:tblPr>
        <w:tblW w:w="8363" w:type="dxa"/>
        <w:jc w:val="left"/>
        <w:tblInd w:w="0" w:type="dxa"/>
        <w:tblLayout w:type="fixed"/>
        <w:tblCellMar>
          <w:top w:w="28" w:type="dxa"/>
          <w:left w:w="28" w:type="dxa"/>
          <w:bottom w:w="28" w:type="dxa"/>
          <w:right w:w="28" w:type="dxa"/>
        </w:tblCellMar>
      </w:tblPr>
      <w:tblGrid>
        <w:gridCol w:w="661"/>
        <w:gridCol w:w="584"/>
        <w:gridCol w:w="585"/>
        <w:gridCol w:w="999"/>
        <w:gridCol w:w="999"/>
        <w:gridCol w:w="1001"/>
        <w:gridCol w:w="109"/>
        <w:gridCol w:w="109"/>
        <w:gridCol w:w="109"/>
        <w:gridCol w:w="261"/>
        <w:gridCol w:w="894"/>
        <w:gridCol w:w="135"/>
        <w:gridCol w:w="109"/>
        <w:gridCol w:w="109"/>
        <w:gridCol w:w="109"/>
        <w:gridCol w:w="309"/>
        <w:gridCol w:w="1056"/>
        <w:gridCol w:w="225"/>
      </w:tblGrid>
      <w:tr>
        <w:trPr/>
        <w:tc>
          <w:tcPr>
            <w:tcW w:w="66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18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2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65,939 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70,085 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27,798 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32,439 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w:t>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w:t>
            </w:r>
          </w:p>
        </w:tc>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51,929 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w:t>
            </w:r>
          </w:p>
        </w:tc>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64,581 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90,090 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97,020 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50"/>
        <w:jc w:val="left"/>
        <w:rPr/>
      </w:pPr>
      <w:r>
        <w:rPr/>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Fair Value Measurement</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 The fair value hierarchy consists of the following three levels: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 - Quoted prices for identical instruments in active markets.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Level III - Instruments whose significant value drivers are unobservable.</w:t>
      </w:r>
    </w:p>
    <w:p>
      <w:pPr>
        <w:pStyle w:val="TextBody"/>
        <w:bidi w:val="0"/>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for each of these hierarchy levels, the Company's financial assets and liabilities that are measured at fair value on a recurring basis at March 31, 2025 and December 31, 2024:</w:t>
      </w:r>
    </w:p>
    <w:tbl>
      <w:tblPr>
        <w:tblW w:w="8000" w:type="dxa"/>
        <w:jc w:val="left"/>
        <w:tblInd w:w="0" w:type="dxa"/>
        <w:tblLayout w:type="fixed"/>
        <w:tblCellMar>
          <w:top w:w="28" w:type="dxa"/>
          <w:left w:w="28" w:type="dxa"/>
          <w:bottom w:w="28" w:type="dxa"/>
          <w:right w:w="28" w:type="dxa"/>
        </w:tblCellMar>
      </w:tblPr>
      <w:tblGrid>
        <w:gridCol w:w="1029"/>
        <w:gridCol w:w="910"/>
        <w:gridCol w:w="911"/>
        <w:gridCol w:w="109"/>
        <w:gridCol w:w="109"/>
        <w:gridCol w:w="109"/>
        <w:gridCol w:w="211"/>
        <w:gridCol w:w="826"/>
        <w:gridCol w:w="109"/>
        <w:gridCol w:w="109"/>
        <w:gridCol w:w="109"/>
        <w:gridCol w:w="109"/>
        <w:gridCol w:w="211"/>
        <w:gridCol w:w="406"/>
        <w:gridCol w:w="109"/>
        <w:gridCol w:w="109"/>
        <w:gridCol w:w="109"/>
        <w:gridCol w:w="109"/>
        <w:gridCol w:w="226"/>
        <w:gridCol w:w="436"/>
        <w:gridCol w:w="117"/>
        <w:gridCol w:w="109"/>
        <w:gridCol w:w="109"/>
        <w:gridCol w:w="109"/>
        <w:gridCol w:w="211"/>
        <w:gridCol w:w="826"/>
        <w:gridCol w:w="154"/>
      </w:tblGrid>
      <w:tr>
        <w:trPr/>
        <w:tc>
          <w:tcPr>
            <w:tcW w:w="1029"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equivalents (comprised of money market mutual funds) are classified within Level I of the fair value hierarchy because they are valued using quoted market prices.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foreign currency derivatives are classified within Level II of the fair value hierarchy as their fair values are determined based on a market approach valuation technique that uses readily observable market parameters and the consideration of counterparty risk.</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measurements are also used in nonrecurring valuations performed in connection with impairment testing. These nonrecurring valuations primarily include the valuation of program rights, goodwill, intangible assets and property and equipment. All of our nonrecurring valuations use significant unobservable inputs and therefore fall under Level III of the fair value hierarchy.</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Credit Facility Debt and Senior Notes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each of the Company's debt instruments are based on quoted market prices for the same or similar issues or on the current rates offered to the Company for instruments of the same remaining maturities.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6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and estimated fair values of the Company's financial instruments, excluding those that are carried at fair value in the condensed consolidated balance sheets, are summarized as follows:</w:t>
      </w:r>
    </w:p>
    <w:tbl>
      <w:tblPr>
        <w:tblW w:w="6938" w:type="dxa"/>
        <w:jc w:val="left"/>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r>
      <w:tr>
        <w:trPr/>
        <w:tc>
          <w:tcPr>
            <w:tcW w:w="3974" w:type="dxa"/>
            <w:gridSpan w:val="3"/>
            <w:vMerge w:val="continue"/>
            <w:tcBorders/>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2,106,386 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tbl>
      <w:tblPr>
        <w:tblW w:w="6938" w:type="dxa"/>
        <w:jc w:val="center"/>
        <w:tblInd w:w="0" w:type="dxa"/>
        <w:tblLayout w:type="fixed"/>
        <w:tblCellMar>
          <w:top w:w="28" w:type="dxa"/>
          <w:left w:w="28" w:type="dxa"/>
          <w:bottom w:w="28" w:type="dxa"/>
          <w:right w:w="28" w:type="dxa"/>
        </w:tblCellMar>
      </w:tblPr>
      <w:tblGrid>
        <w:gridCol w:w="1437"/>
        <w:gridCol w:w="1265"/>
        <w:gridCol w:w="1272"/>
        <w:gridCol w:w="211"/>
        <w:gridCol w:w="976"/>
        <w:gridCol w:w="109"/>
        <w:gridCol w:w="109"/>
        <w:gridCol w:w="109"/>
        <w:gridCol w:w="109"/>
        <w:gridCol w:w="211"/>
        <w:gridCol w:w="976"/>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97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Debt instruments: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A Facility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10.25% Senior Secured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 Senior Notes due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4.25% Convertible Senior Notes due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2,336,219 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2,198,749 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estimates related to the Company's debt instruments presented above are made at a specific point in time, based on relevant market information and information about the financial instrument. These estimates are subjective in nature and involve uncertainties and matters of significant judgments and therefore cannot be determined with precision. Changes in assumptions could significantly affect the estimates.</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12. Derivative Financial Instruments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Foreign Currency Exchange Rate Risk</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foreign currency risk to the extent that we enter into transactions denominated in currencies other than one of our subsidiaries' respective functional currencies (non-functional currency risk), such as affiliation agreements, programming contracts, certain trade receivables and accounts payable (including intercompany amounts).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as follows:</w:t>
      </w:r>
    </w:p>
    <w:tbl>
      <w:tblPr>
        <w:tblW w:w="10205" w:type="dxa"/>
        <w:jc w:val="left"/>
        <w:tblInd w:w="0" w:type="dxa"/>
        <w:tblLayout w:type="fixed"/>
        <w:tblCellMar>
          <w:top w:w="28" w:type="dxa"/>
          <w:left w:w="28" w:type="dxa"/>
          <w:bottom w:w="28" w:type="dxa"/>
          <w:right w:w="28" w:type="dxa"/>
        </w:tblCellMar>
      </w:tblPr>
      <w:tblGrid>
        <w:gridCol w:w="1356"/>
        <w:gridCol w:w="1196"/>
        <w:gridCol w:w="1191"/>
        <w:gridCol w:w="1042"/>
        <w:gridCol w:w="1042"/>
        <w:gridCol w:w="1044"/>
        <w:gridCol w:w="109"/>
        <w:gridCol w:w="109"/>
        <w:gridCol w:w="109"/>
        <w:gridCol w:w="275"/>
        <w:gridCol w:w="802"/>
        <w:gridCol w:w="141"/>
        <w:gridCol w:w="109"/>
        <w:gridCol w:w="109"/>
        <w:gridCol w:w="109"/>
        <w:gridCol w:w="368"/>
        <w:gridCol w:w="816"/>
        <w:gridCol w:w="278"/>
      </w:tblGrid>
      <w:tr>
        <w:trPr/>
        <w:tc>
          <w:tcPr>
            <w:tcW w:w="135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1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c>
          <w:tcPr>
            <w:tcW w:w="3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3" w:type="dxa"/>
            <w:gridSpan w:val="3"/>
            <w:tcBorders/>
            <w:vAlign w:val="center"/>
          </w:tcPr>
          <w:p>
            <w:pPr>
              <w:pStyle w:val="TableContents"/>
              <w:bidi w:val="0"/>
              <w:spacing w:before="0" w:after="283"/>
              <w:jc w:val="left"/>
              <w:rPr>
                <w:sz w:val="4"/>
                <w:szCs w:val="4"/>
              </w:rPr>
            </w:pPr>
            <w:r>
              <w:rPr>
                <w:sz w:val="4"/>
                <w:szCs w:val="4"/>
              </w:rPr>
            </w:r>
          </w:p>
        </w:tc>
        <w:tc>
          <w:tcPr>
            <w:tcW w:w="3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3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related to the Company's derivative financial instruments not designated as hedging instruments are as follows:</w:t>
      </w:r>
    </w:p>
    <w:tbl>
      <w:tblPr>
        <w:tblW w:w="10205" w:type="dxa"/>
        <w:jc w:val="left"/>
        <w:tblInd w:w="0" w:type="dxa"/>
        <w:tblLayout w:type="fixed"/>
        <w:tblCellMar>
          <w:top w:w="28" w:type="dxa"/>
          <w:left w:w="28" w:type="dxa"/>
          <w:bottom w:w="28" w:type="dxa"/>
          <w:right w:w="28" w:type="dxa"/>
        </w:tblCellMar>
      </w:tblPr>
      <w:tblGrid>
        <w:gridCol w:w="702"/>
        <w:gridCol w:w="605"/>
        <w:gridCol w:w="580"/>
        <w:gridCol w:w="1251"/>
        <w:gridCol w:w="1098"/>
        <w:gridCol w:w="1101"/>
        <w:gridCol w:w="109"/>
        <w:gridCol w:w="109"/>
        <w:gridCol w:w="109"/>
        <w:gridCol w:w="109"/>
        <w:gridCol w:w="109"/>
        <w:gridCol w:w="129"/>
        <w:gridCol w:w="129"/>
        <w:gridCol w:w="463"/>
        <w:gridCol w:w="935"/>
        <w:gridCol w:w="239"/>
        <w:gridCol w:w="192"/>
        <w:gridCol w:w="192"/>
        <w:gridCol w:w="192"/>
        <w:gridCol w:w="373"/>
        <w:gridCol w:w="1199"/>
        <w:gridCol w:w="280"/>
      </w:tblGrid>
      <w:tr>
        <w:trPr/>
        <w:tc>
          <w:tcPr>
            <w:tcW w:w="7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88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 Recognized in Earnings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06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 of Gain (Loss) Recognized in Earnings on Derivatives</w:t>
            </w:r>
          </w:p>
        </w:tc>
      </w:tr>
      <w:tr>
        <w:trPr/>
        <w:tc>
          <w:tcPr>
            <w:tcW w:w="1887" w:type="dxa"/>
            <w:gridSpan w:val="3"/>
            <w:vMerge w:val="continue"/>
            <w:tcBorders/>
            <w:tcMar>
              <w:top w:w="0" w:type="dxa"/>
              <w:left w:w="0" w:type="dxa"/>
              <w:bottom w:w="0" w:type="dxa"/>
              <w:right w:w="0" w:type="dxa"/>
            </w:tcMar>
            <w:vAlign w:val="center"/>
          </w:tcPr>
          <w:p>
            <w:pPr>
              <w:pStyle w:val="Normal"/>
              <w:bidi w:val="0"/>
              <w:jc w:val="left"/>
              <w:rPr/>
            </w:pPr>
            <w:r>
              <w:rPr/>
            </w:r>
          </w:p>
        </w:tc>
        <w:tc>
          <w:tcPr>
            <w:tcW w:w="3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5"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2428" w:type="dxa"/>
            <w:gridSpan w:val="6"/>
            <w:tcBorders/>
          </w:tcPr>
          <w:p>
            <w:pPr>
              <w:pStyle w:val="TableContents"/>
              <w:bidi w:val="0"/>
              <w:spacing w:before="0" w:after="283"/>
              <w:jc w:val="left"/>
              <w:rPr>
                <w:sz w:val="4"/>
                <w:szCs w:val="4"/>
              </w:rPr>
            </w:pPr>
            <w:r>
              <w:rPr>
                <w:sz w:val="4"/>
                <w:szCs w:val="4"/>
              </w:rPr>
            </w:r>
          </w:p>
        </w:tc>
      </w:tr>
      <w:tr>
        <w:trPr/>
        <w:tc>
          <w:tcPr>
            <w:tcW w:w="1887" w:type="dxa"/>
            <w:gridSpan w:val="3"/>
            <w:vMerge w:val="continue"/>
            <w:tcBorders/>
            <w:tcMar>
              <w:top w:w="0" w:type="dxa"/>
              <w:left w:w="0" w:type="dxa"/>
              <w:bottom w:w="0" w:type="dxa"/>
              <w:right w:w="0" w:type="dxa"/>
            </w:tcMar>
            <w:vAlign w:val="center"/>
          </w:tcPr>
          <w:p>
            <w:pPr>
              <w:pStyle w:val="Normal"/>
              <w:bidi w:val="0"/>
              <w:jc w:val="left"/>
              <w:rPr/>
            </w:pPr>
            <w:r>
              <w:rPr/>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derivatives </w:t>
            </w:r>
          </w:p>
        </w:tc>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(5,030)</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r>
      <w:tr>
        <w:trPr/>
        <w:tc>
          <w:tcPr>
            <w:tcW w:w="1887" w:type="dxa"/>
            <w:gridSpan w:val="3"/>
            <w:tcBorders/>
            <w:vAlign w:val="center"/>
          </w:tcPr>
          <w:p>
            <w:pPr>
              <w:pStyle w:val="TableContents"/>
              <w:bidi w:val="0"/>
              <w:spacing w:before="0" w:after="283"/>
              <w:jc w:val="left"/>
              <w:rPr>
                <w:sz w:val="4"/>
                <w:szCs w:val="4"/>
              </w:rPr>
            </w:pPr>
            <w:r>
              <w:rPr>
                <w:sz w:val="4"/>
                <w:szCs w:val="4"/>
              </w:rPr>
            </w:r>
          </w:p>
        </w:tc>
        <w:tc>
          <w:tcPr>
            <w:tcW w:w="3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3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185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13. Income Taxes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income tax expense was $15.0 million and $23.6 million, respectively, representing an effective rate of 40% and 29%, respectively, as compared to the federal statutory rate of 21%. The effective rate differed from the federal statutory rate in both periods primarily due to state and local income tax expense, tax expense related to non-deductible compensation, tax expense for shortfalls related to share-based compensation and tax expense for an increase in the valuation allowance for foreign tax credits and losses.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2025, the Company had foreign tax credit carryforwards of approximately $49.2 million, expiring on various dates from 2025 through 2035. These carryforwards have been reduced to zero by a valuation allowance of $49.2 million as it is more likely than not that these carryforwards will not be realized.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Company’s cash and cash equivalents balance of $870.2 million included approximately $121.4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the Company does not expect to incur any significant, additional taxes related to the remaining balance.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the Pillar Two minimum tax requirement has not had, and is not expected to have, a material impact on the Company's results of operations or financial position for the year ending December 31, 2025.</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Commitments and Contingencies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As of March 31, 2025, the Company's contractual obligations not reflected on the Company's condensed consolidated balance sheets decreased</w:t>
      </w:r>
      <w:r>
        <w:rPr>
          <w:color w:val="000000"/>
        </w:rPr>
        <w:t xml:space="preserve"> </w:t>
      </w:r>
      <w:r>
        <w:rPr>
          <w:rFonts w:ascii="Times New Roman;sans-serif" w:hAnsi="Times New Roman;sans-serif"/>
          <w:b w:val="false"/>
          <w:color w:val="000000"/>
          <w:sz w:val="20"/>
        </w:rPr>
        <w:t>$34.5 million, as compared to December 31, 2024, to</w:t>
      </w:r>
      <w:r>
        <w:rPr>
          <w:color w:val="000000"/>
        </w:rPr>
        <w:t xml:space="preserve"> </w:t>
      </w:r>
      <w:r>
        <w:rPr>
          <w:rFonts w:ascii="Times New Roman;sans-serif" w:hAnsi="Times New Roman;sans-serif"/>
          <w:b w:val="false"/>
          <w:color w:val="000000"/>
          <w:sz w:val="20"/>
        </w:rPr>
        <w:t>$560.8 million. The decrease was primarily related to payments for program rights.</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2017, Robert Kirkman, Robert Kirkman, LLC, Glen Mazzara, 44 Strong Productions, Inc., David Alpert, Circle of Confusion Productions, LLC, New Circle of Confusion Productions, Inc., Gale Anne Hurd, and Valhalla Entertainment, Inc. f/k/a Valhalla Motion Pictures, Inc. (together, the "Plaintiffs") filed a complaint in California Superior Court in connection with Plaintiffs’ rendering of services as writers and producers of the television series entitled The Walking Dead, as well as Fear the Walking Dead and/or Talking Dead, and the agreements between the parties related thereto (the "Walking Dead Litigation"). The Plaintiffs asserted that the Company had been improperly underpaying the Plaintiffs under their contracts with the Company and they asserted claims for breach of contract, breach of the implied covenant of good faith and fair dealing, inducing breach of contract, and liability for violation of Cal. Bus. &amp; Prof. Code § 17200. The Plaintiffs sought compensatory and punitive damages and restitution. On August 8, 2019, the judge in the Walking Dead Litigation ordered a trial to resolve certain issues of contract interpretation only. Following eight days of trial in February and March 2020, on July 22, 2020, the judge issued a Statement of Decision finding in the Company's favor on all seven matters of contract interpretation before the court in this first phase trial. On January 20, 2021, the Plaintiffs filed a second amended complaint, eliminating eight named defendants and their claims under Cal. Bus. &amp; Prof. Code § 17200. On May 5, 2021, the Plaintiffs filed a third amended complaint, repleading in part their claims for alleged breach of the implied covenant of good faith and fair dealing, inducing breach of contract, and certain breach of contract claims. On June 2, 2021, the Company filed a demurrer and motion to strike seeking to dismiss the claim for breach of the implied covenant of good faith and fair dealing and certain tort and breach of contract claims asserted in the third amended complaint. On July 27, 2021, the court granted in part and denied in part the Company's motion. On January 12, 2022, the Company filed a motion for summary adjudication of many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remaining claims. On April 6, 2022, the court granted the Company’s summary adjudication motion in part, dismissing the Plaintiffs’ claims for breach of the implied covenant of good faith and fair dealing and inducing breach of contract. On January 26, 2023, the Plaintiffs filed a notice of appeal of the court’s post-trial, demurrer, and summary adjudication decisions. On September 25, 2024, a hearing was held on the Plaintiffs’ appeals. On November 4, 2024, the appellate court issued a decision affirming the trial court’s decisions in favor of the Company in the 2021 first phase trial and the 2022 motion for summary judgment. The parties entered into an agreement to resolve through confidential binding arbitration the remaining claims in the litigation (consisting mainly of ordinary course profit participation audit claims), and as a result, the court formally dismissed the case. The arbitration to resolve the two remaining claims for breach of contract was held between October 16 through October 20, 2023. On March 12, 2024, the arbitral panel issued a decision awarding the Plaintiffs a sum of approximately $7.8 million. The arbitral panel's decision did not have a material impact on the Company's financial condition or results of operations.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14, 2022, the Plaintiffs filed a separate complaint in California Superior Court (the “MFN Litigation”) in connection with the Company’s July 16, 2021 settlement agreement with Frank Darabont (“Darabont”), Ferenc, Inc., Darkwoods Productions, Inc., and Creative Artists Agency, LLC (the “Darabont Parties”), which resolved litigations the Darabont Parties had brought in connection with Darabont's rendering services as a writer, director and producer of the television series entitled The Walking Dead and the agreement between the parties related thereto (the “Darabont Settlement”). Plaintiffs assert claims for breach of contract, alleging that the Company breached the most favored nations (“MFN”) provisions of Plaintiffs’ contracts with the Company by failing to pay them additional contingent compensation as a result of the Darabont Settlement. Plaintiffs claim in the MFN Litigation that they are entitled to actual and compensatory damages in excess of $200 million. The Plaintiffs also brought a cause of action to enjoin an arbitration the Company commenced in May 2022 concerning the same dispute. On December 15, 2022, the Company removed the MFN Litigation to the United States District Court for the Central District of California. On January 13, 2023, the Company filed a motion to dismiss the MFN Litigation and informed the court that the Company had withdrawn the arbitration Plaintiffs sought to enjoin. On March 25, 2024, the Court issued a ruling denying the Company’s motion to dismiss. On February 25, 2025, the Plaintiffs filed an amended complaint adding two claims for the alleged breach of the MFN provisions of their contracts based on certain agreements the Company entered into with another profit participant and a claim for breach of the implied covenant of good faith and fair dealing. On March 14, 2025, the Company filed its answer to the amended complaint. The parties are currently conducting discovery. The trial for this matter, previously scheduled for October 27, 2025, has been rescheduled to March 26, 2026. The Company believes that the asserted claims are without merit and will vigorously defend against them if they are not dismissed. At this time, no determination can be made as to the ultimate outcome of this litigation or the potential liability, if any, on the part of the Company.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party to various lawsuits and claims in the ordinary course of business, including the matters described above, as well as other lawsuits and claims relating to employment, intellectual property, and privacy and data protection matters. Although the outcome of these matters cannot be predicted with certainty and while the impact of these matters on the Company's results of operations in any particular subsequent reporting period could be material, management does not believe that the resolution of these matters will have a material adverse effect on the financial position of the Company or the ability of the Company to meet its financial obligations as they become due.</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Equity Plans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2025</w:t>
      </w:r>
      <w:r>
        <w:rPr>
          <w:rFonts w:ascii="Times New Roman;sans-serif" w:hAnsi="Times New Roman;sans-serif"/>
          <w:b w:val="false"/>
          <w:color w:val="000000"/>
          <w:sz w:val="20"/>
          <w:shd w:fill="FFFFFF" w:val="clear"/>
        </w:rPr>
        <w:t xml:space="preserve">, AMC Networks granted </w:t>
      </w:r>
      <w:r>
        <w:rPr>
          <w:rFonts w:ascii="Times New Roman;sans-serif" w:hAnsi="Times New Roman;sans-serif"/>
          <w:b w:val="false"/>
          <w:color w:val="000000"/>
          <w:sz w:val="20"/>
        </w:rPr>
        <w:t>3,103,666</w:t>
      </w:r>
      <w:r>
        <w:rPr>
          <w:color w:val="000000"/>
          <w:shd w:fill="FFFFFF" w:val="clear"/>
        </w:rPr>
        <w:t xml:space="preserve"> </w:t>
      </w:r>
      <w:r>
        <w:rPr>
          <w:rFonts w:ascii="Times New Roman;sans-serif" w:hAnsi="Times New Roman;sans-serif"/>
          <w:b w:val="false"/>
          <w:color w:val="000000"/>
          <w:sz w:val="20"/>
          <w:shd w:fill="FFFFFF" w:val="clear"/>
        </w:rPr>
        <w:t xml:space="preserve">RSUs to certain executive officers and employees under the AMC Networks Inc. Amended and Restated 2016 Employee Stock Plan, which vest ratably over a three-year period. </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During the three months ended March 31, 2025, 1,293,961</w:t>
      </w:r>
      <w:r>
        <w:rPr>
          <w:color w:val="000000"/>
          <w:shd w:fill="FFFFFF" w:val="clear"/>
        </w:rPr>
        <w:t xml:space="preserve"> </w:t>
      </w:r>
      <w:r>
        <w:rPr>
          <w:rFonts w:ascii="Times New Roman;sans-serif" w:hAnsi="Times New Roman;sans-serif"/>
          <w:b w:val="false"/>
          <w:color w:val="000000"/>
          <w:sz w:val="20"/>
          <w:shd w:fill="FFFFFF" w:val="clear"/>
        </w:rPr>
        <w:t xml:space="preserve">RSUs </w:t>
      </w:r>
      <w:r>
        <w:rPr>
          <w:rFonts w:ascii="Times New Roman;sans-serif" w:hAnsi="Times New Roman;sans-serif"/>
          <w:b w:val="false"/>
          <w:color w:val="000000"/>
          <w:sz w:val="20"/>
        </w:rPr>
        <w:t>previously issued to employees of the Company vested. On the vesting dat</w:t>
      </w:r>
      <w:r>
        <w:rPr>
          <w:rFonts w:ascii="Times New Roman;sans-serif" w:hAnsi="Times New Roman;sans-serif"/>
          <w:b w:val="false"/>
          <w:color w:val="000000"/>
          <w:sz w:val="20"/>
          <w:shd w:fill="FFFFFF" w:val="clear"/>
        </w:rPr>
        <w:t xml:space="preserve">e, 513,814 RSUs </w:t>
      </w:r>
      <w:r>
        <w:rPr>
          <w:rFonts w:ascii="Times New Roman;sans-serif" w:hAnsi="Times New Roman;sans-serif"/>
          <w:b w:val="false"/>
          <w:color w:val="000000"/>
          <w:sz w:val="20"/>
        </w:rPr>
        <w:t>were surrendered to AMC Networks to cover the required statutory tax withholding obligations an</w:t>
      </w:r>
      <w:r>
        <w:rPr>
          <w:rFonts w:ascii="Times New Roman;sans-serif" w:hAnsi="Times New Roman;sans-serif"/>
          <w:b w:val="false"/>
          <w:color w:val="000000"/>
          <w:sz w:val="20"/>
          <w:shd w:fill="FFFFFF" w:val="clear"/>
        </w:rPr>
        <w:t>d 780,147</w:t>
      </w:r>
      <w:r>
        <w:rPr>
          <w:color w:val="000000"/>
        </w:rPr>
        <w:t xml:space="preserve"> </w:t>
      </w:r>
      <w:r>
        <w:rPr>
          <w:rFonts w:ascii="Times New Roman;sans-serif" w:hAnsi="Times New Roman;sans-serif"/>
          <w:b w:val="false"/>
          <w:color w:val="000000"/>
          <w:sz w:val="20"/>
        </w:rPr>
        <w:t>shares of AMC Networks' Class A Common Stock were issued. Units are surrendered to satisfy the employees' statutory minimu</w:t>
      </w:r>
      <w:r>
        <w:rPr>
          <w:rFonts w:ascii="Times New Roman;sans-serif" w:hAnsi="Times New Roman;sans-serif"/>
          <w:b w:val="false"/>
          <w:color w:val="000000"/>
          <w:sz w:val="20"/>
          <w:shd w:fill="FFFFFF" w:val="clear"/>
        </w:rPr>
        <w:t>m tax withholding obligations for the applicable income and other employment tax. The units surrendered during the</w:t>
      </w:r>
      <w:r>
        <w:rPr>
          <w:color w:val="000000"/>
        </w:rPr>
        <w:t xml:space="preserve"> </w:t>
      </w:r>
      <w:r>
        <w:rPr>
          <w:rFonts w:ascii="Times New Roman;sans-serif" w:hAnsi="Times New Roman;sans-serif"/>
          <w:b w:val="false"/>
          <w:color w:val="000000"/>
          <w:sz w:val="20"/>
        </w:rPr>
        <w:t>three months ended March 31, 2025 h</w:t>
      </w:r>
      <w:r>
        <w:rPr>
          <w:rFonts w:ascii="Times New Roman;sans-serif" w:hAnsi="Times New Roman;sans-serif"/>
          <w:b w:val="false"/>
          <w:color w:val="000000"/>
          <w:sz w:val="20"/>
          <w:shd w:fill="FFFFFF" w:val="clear"/>
        </w:rPr>
        <w:t xml:space="preserve">ad an aggregate value of </w:t>
      </w:r>
      <w:r>
        <w:rPr>
          <w:rFonts w:ascii="Times New Roman;sans-serif" w:hAnsi="Times New Roman;sans-serif"/>
          <w:b w:val="false"/>
          <w:color w:val="000000"/>
          <w:sz w:val="20"/>
        </w:rPr>
        <w:t>$3.6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which has been reflected as a financing activity in the condensed consolidated statements of cash flows for the three months ended March 31, 2025.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share-based compensation expenses of $5.8 million and $6.1 million for the three months ended March 31, 2025 and 2024, respectively. Share-based compensation expenses are recognized in the condensed consolidated statements of income as part of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As of March 31, 2025, there was </w:t>
      </w:r>
      <w:r>
        <w:rPr>
          <w:rFonts w:ascii="Times New Roman;sans-serif" w:hAnsi="Times New Roman;sans-serif"/>
          <w:b w:val="false"/>
          <w:color w:val="000000"/>
          <w:sz w:val="20"/>
          <w:shd w:fill="FFFFFF" w:val="clear"/>
        </w:rPr>
        <w:t xml:space="preserve">$35.3 million </w:t>
      </w:r>
      <w:r>
        <w:rPr>
          <w:rFonts w:ascii="Times New Roman;sans-serif" w:hAnsi="Times New Roman;sans-serif"/>
          <w:b w:val="false"/>
          <w:color w:val="000000"/>
          <w:sz w:val="20"/>
        </w:rPr>
        <w:t>of total unrecognized share-based compensation cost related to outstanding unvested share-based awards. The unrecognized compensation cost is expected to be recognized over a weighted average remaining period of approximately</w:t>
      </w:r>
      <w:r>
        <w:rPr>
          <w:color w:val="000000"/>
          <w:shd w:fill="FFFFFF" w:val="clear"/>
        </w:rPr>
        <w:t xml:space="preserve"> </w:t>
      </w:r>
      <w:r>
        <w:rPr>
          <w:rFonts w:ascii="Times New Roman;sans-serif" w:hAnsi="Times New Roman;sans-serif"/>
          <w:b w:val="false"/>
          <w:color w:val="000000"/>
          <w:sz w:val="20"/>
        </w:rPr>
        <w:t>2.4 years</w:t>
      </w:r>
      <w:r>
        <w:rPr>
          <w:rFonts w:ascii="Times New Roman;sans-serif" w:hAnsi="Times New Roman;sans-serif"/>
          <w:b w:val="false"/>
          <w:color w:val="000000"/>
          <w:sz w:val="20"/>
          <w:shd w:fill="FFFFFF" w:val="clear"/>
        </w:rPr>
        <w:t>.</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16. Redeemable Noncontrolling Interests</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previous acquisitions of New Video Channel America L.L.C (owner of the cable channel BBCA) and RLJ Entertainment, the terms of the acquisition agreements provide the noncontrolling members with a right to put all of their noncontrolling interest to subsidiaries of the Company at a future time, in October 2025 or earlier upon a change of control in the case of RLJ Entertainment. Since the exercise of these put rights is outside the Company's control, the noncontrolling interest in each entity is presented as a redeemable noncontrolling interest outside of stockholders' equity on the Company's condensed consolidated balance sheets. </w:t>
      </w:r>
    </w:p>
    <w:p>
      <w:pPr>
        <w:pStyle w:val="TextBody"/>
        <w:bidi w:val="0"/>
        <w:spacing w:lineRule="auto" w:line="288" w:before="100" w:after="10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2024, the Company acquired the remaining 50.1% of the BBC America joint-venture that it had not previously owned from BBC Studios for $42.0 million in cash. Since the Company retained the controlling financial interest, the transaction was accounted for as an equity transaction and therefore no gain or loss was recorded in the consolidated statements of income. As a result, the carrying amount of the noncontrolling interest was reduced to zero, reflecting the Company's 100% ownership of the BBC America business, and the $90.9 million difference between this reduction and the $42.0 million purchase price was recognized in Paid-in capital on the condensed consolidated balance sheets. The amount recorded in Paid-in capital was partially offset by $21.5 million of deferred taxes reflecting the difference between the existing noncontrolling interest and the tax basis (amount paid) as of the acquisition date. </w:t>
      </w:r>
    </w:p>
    <w:p>
      <w:pPr>
        <w:pStyle w:val="TextBody"/>
        <w:bidi w:val="0"/>
        <w:spacing w:lineRule="auto" w:line="288" w:before="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activity related to redeemable noncontrolling interests for the three months ended March 31, 2025 and 2024: </w:t>
      </w:r>
    </w:p>
    <w:tbl>
      <w:tblPr>
        <w:tblW w:w="6088" w:type="dxa"/>
        <w:jc w:val="left"/>
        <w:tblInd w:w="0" w:type="dxa"/>
        <w:tblLayout w:type="fixed"/>
        <w:tblCellMar>
          <w:top w:w="28" w:type="dxa"/>
          <w:left w:w="28" w:type="dxa"/>
          <w:bottom w:w="28" w:type="dxa"/>
          <w:right w:w="28" w:type="dxa"/>
        </w:tblCellMar>
      </w:tblPr>
      <w:tblGrid>
        <w:gridCol w:w="1105"/>
        <w:gridCol w:w="975"/>
        <w:gridCol w:w="979"/>
        <w:gridCol w:w="588"/>
        <w:gridCol w:w="2012"/>
        <w:gridCol w:w="429"/>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2024</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55,881 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2025</w:t>
            </w:r>
          </w:p>
        </w:tc>
        <w:tc>
          <w:tcPr>
            <w:tcW w:w="5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61,076 </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tbl>
      <w:tblPr>
        <w:tblW w:w="6088" w:type="dxa"/>
        <w:jc w:val="left"/>
        <w:tblInd w:w="0" w:type="dxa"/>
        <w:tblLayout w:type="fixed"/>
        <w:tblCellMar>
          <w:top w:w="28" w:type="dxa"/>
          <w:left w:w="28" w:type="dxa"/>
          <w:bottom w:w="28" w:type="dxa"/>
          <w:right w:w="28" w:type="dxa"/>
        </w:tblCellMar>
      </w:tblPr>
      <w:tblGrid>
        <w:gridCol w:w="1105"/>
        <w:gridCol w:w="975"/>
        <w:gridCol w:w="979"/>
        <w:gridCol w:w="536"/>
        <w:gridCol w:w="2102"/>
        <w:gridCol w:w="391"/>
      </w:tblGrid>
      <w:tr>
        <w:trPr/>
        <w:tc>
          <w:tcPr>
            <w:tcW w:w="110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3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185,297 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2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to redemption fair value</w:t>
            </w:r>
          </w:p>
        </w:tc>
        <w:tc>
          <w:tcPr>
            <w:tcW w:w="2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02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197,370 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0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17. Related Party Transactions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related parties enter into transactions with each other in the ordinary course of business. Revenues, net from related parties amounted to $1.2 million and $1.3 million for the three months ended March 31, 2025 and 2024, respectively. Amounts charged to the Company, included in Selling, general and administrative expenses, pursuant to transactions with its related parties amounted to $0.5 million and $0.4 million for the three months ended March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18. Cash Flows</w:t>
      </w:r>
    </w:p>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Company's non-cash investing and financing activities and other supplemental data:</w:t>
      </w:r>
    </w:p>
    <w:tbl>
      <w:tblPr>
        <w:tblW w:w="6490" w:type="dxa"/>
        <w:jc w:val="left"/>
        <w:tblInd w:w="0" w:type="dxa"/>
        <w:tblLayout w:type="fixed"/>
        <w:tblCellMar>
          <w:top w:w="28" w:type="dxa"/>
          <w:left w:w="28" w:type="dxa"/>
          <w:bottom w:w="28" w:type="dxa"/>
          <w:right w:w="28" w:type="dxa"/>
        </w:tblCellMar>
      </w:tblPr>
      <w:tblGrid>
        <w:gridCol w:w="1398"/>
        <w:gridCol w:w="1234"/>
        <w:gridCol w:w="1237"/>
        <w:gridCol w:w="264"/>
        <w:gridCol w:w="584"/>
        <w:gridCol w:w="136"/>
        <w:gridCol w:w="136"/>
        <w:gridCol w:w="136"/>
        <w:gridCol w:w="136"/>
        <w:gridCol w:w="264"/>
        <w:gridCol w:w="772"/>
        <w:gridCol w:w="193"/>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869" w:type="dxa"/>
            <w:gridSpan w:val="3"/>
            <w:vMerge w:val="continue"/>
            <w:tcBorders/>
            <w:tcMar>
              <w:top w:w="0" w:type="dxa"/>
              <w:left w:w="0" w:type="dxa"/>
              <w:bottom w:w="0" w:type="dxa"/>
              <w:right w:w="0" w:type="dxa"/>
            </w:tcMar>
            <w:vAlign w:val="center"/>
          </w:tcPr>
          <w:p>
            <w:pPr>
              <w:pStyle w:val="Normal"/>
              <w:bidi w:val="0"/>
              <w:jc w:val="left"/>
              <w:rPr/>
            </w:pPr>
            <w:r>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Non-Cash Investing and Financing Activities:</w:t>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additions</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incurred but not yet paid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Supplemental Data:</w:t>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payments (refunds),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Note 19. Segment Information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operations into two operating segments: Domestic Operations and International. These operating segments represent strategic business units that are managed separately.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segment performance based on operating segment adjusted operating income ("AOI"). The Company defines AOI as operating income (loss) before depreciation and amortization, cloud computing amortization, share-based compensation expenses or benefit, impairment and other charges (including gains or losses on sales or dispositions of businesses), restructuring and other related charges and including the Company’s proportionate share of adjusted operating income (loss) from majority-owned equity method investees. The Company has presented the components that reconcile segment adjusted operating income to income from operations before income taxes, and other information as to the continuing operations of the Company's operating segments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25" w:type="dxa"/>
        <w:jc w:val="left"/>
        <w:tblInd w:w="0" w:type="dxa"/>
        <w:tblLayout w:type="fixed"/>
        <w:tblCellMar>
          <w:top w:w="28" w:type="dxa"/>
          <w:left w:w="28" w:type="dxa"/>
          <w:bottom w:w="28" w:type="dxa"/>
          <w:right w:w="28" w:type="dxa"/>
        </w:tblCellMar>
      </w:tblPr>
      <w:tblGrid>
        <w:gridCol w:w="1778"/>
        <w:gridCol w:w="1568"/>
        <w:gridCol w:w="1573"/>
        <w:gridCol w:w="314"/>
        <w:gridCol w:w="1234"/>
        <w:gridCol w:w="162"/>
        <w:gridCol w:w="110"/>
        <w:gridCol w:w="110"/>
        <w:gridCol w:w="110"/>
        <w:gridCol w:w="228"/>
        <w:gridCol w:w="779"/>
        <w:gridCol w:w="119"/>
        <w:gridCol w:w="110"/>
        <w:gridCol w:w="110"/>
        <w:gridCol w:w="110"/>
        <w:gridCol w:w="110"/>
        <w:gridCol w:w="109"/>
        <w:gridCol w:w="211"/>
        <w:gridCol w:w="82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60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1300" w:type="dxa"/>
            <w:gridSpan w:val="4"/>
            <w:tcBorders/>
          </w:tcPr>
          <w:p>
            <w:pPr>
              <w:pStyle w:val="TableContents"/>
              <w:bidi w:val="0"/>
              <w:spacing w:before="0" w:after="283"/>
              <w:jc w:val="left"/>
              <w:rPr>
                <w:sz w:val="4"/>
                <w:szCs w:val="4"/>
              </w:rPr>
            </w:pPr>
            <w:r>
              <w:rPr>
                <w:sz w:val="4"/>
                <w:szCs w:val="4"/>
              </w:rPr>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53,366 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485,987 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Inter-segment revenues (Content licensing and other) </w:t>
            </w:r>
            <w:r>
              <w:rPr>
                <w:rFonts w:ascii="Times New Roman;sans-serif" w:hAnsi="Times New Roman;sans-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Elimination of inter-segment revenues </w:t>
            </w:r>
            <w:r>
              <w:rPr>
                <w:rFonts w:ascii="Times New Roman;sans-serif" w:hAnsi="Times New Roman;sans-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w:t>
            </w:r>
            <w:r>
              <w:rPr>
                <w:rFonts w:ascii="Times New Roman;sans-serif" w:hAnsi="Times New Roman;sans-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Unallocated corporate overhead costs </w:t>
            </w:r>
            <w:r>
              <w:rPr>
                <w:rFonts w:ascii="Times New Roman;sans-serif" w:hAnsi="Times New Roman;sans-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Restructuring and other related charges </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Miscellaneous,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(b) The significant expense categories and amounts align with the segment-level information that is regularly provided to the Chief Operating Decision Maker (the "CODM").</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ans-serif" w:hAnsi="Times New Roman;sans-serif"/>
          <w:b w:val="false"/>
          <w:color w:val="000000"/>
          <w:sz w:val="16"/>
        </w:rPr>
      </w:pPr>
      <w:r>
        <w:rPr>
          <w:rFonts w:ascii="Times New Roman;sans-serif" w:hAnsi="Times New Roman;sans-serif"/>
          <w:b w:val="false"/>
          <w:color w:val="000000"/>
          <w:sz w:val="16"/>
        </w:rPr>
        <w:t>(d) Unallocated corporate overhead costs include costs such as executive salaries and benefits and costs of maintaining corporate headquarters, facilities and common support functions.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825" w:type="dxa"/>
        <w:jc w:val="center"/>
        <w:tblInd w:w="0" w:type="dxa"/>
        <w:tblLayout w:type="fixed"/>
        <w:tblCellMar>
          <w:top w:w="28" w:type="dxa"/>
          <w:left w:w="28" w:type="dxa"/>
          <w:bottom w:w="28" w:type="dxa"/>
          <w:right w:w="28" w:type="dxa"/>
        </w:tblCellMar>
      </w:tblPr>
      <w:tblGrid>
        <w:gridCol w:w="1778"/>
        <w:gridCol w:w="1568"/>
        <w:gridCol w:w="1573"/>
        <w:gridCol w:w="314"/>
        <w:gridCol w:w="1234"/>
        <w:gridCol w:w="162"/>
        <w:gridCol w:w="110"/>
        <w:gridCol w:w="110"/>
        <w:gridCol w:w="110"/>
        <w:gridCol w:w="228"/>
        <w:gridCol w:w="779"/>
        <w:gridCol w:w="119"/>
        <w:gridCol w:w="110"/>
        <w:gridCol w:w="110"/>
        <w:gridCol w:w="110"/>
        <w:gridCol w:w="110"/>
        <w:gridCol w:w="109"/>
        <w:gridCol w:w="211"/>
        <w:gridCol w:w="826"/>
        <w:gridCol w:w="154"/>
      </w:tblGrid>
      <w:tr>
        <w:trPr/>
        <w:tc>
          <w:tcPr>
            <w:tcW w:w="177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60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c>
          <w:tcPr>
            <w:tcW w:w="1300" w:type="dxa"/>
            <w:gridSpan w:val="4"/>
            <w:tcBorders/>
          </w:tcPr>
          <w:p>
            <w:pPr>
              <w:pStyle w:val="TableContents"/>
              <w:bidi w:val="0"/>
              <w:spacing w:before="0" w:after="283"/>
              <w:jc w:val="left"/>
              <w:rPr>
                <w:sz w:val="4"/>
                <w:szCs w:val="4"/>
              </w:rPr>
            </w:pPr>
            <w:r>
              <w:rPr>
                <w:sz w:val="4"/>
                <w:szCs w:val="4"/>
              </w:rPr>
            </w:r>
          </w:p>
        </w:tc>
      </w:tr>
      <w:tr>
        <w:trPr/>
        <w:tc>
          <w:tcPr>
            <w:tcW w:w="4919" w:type="dxa"/>
            <w:gridSpan w:val="3"/>
            <w:vMerge w:val="continue"/>
            <w:tcBorders/>
            <w:tcMar>
              <w:top w:w="0" w:type="dxa"/>
              <w:left w:w="0" w:type="dxa"/>
              <w:bottom w:w="0" w:type="dxa"/>
              <w:right w:w="0" w:type="dxa"/>
            </w:tcMar>
            <w:vAlign w:val="center"/>
          </w:tcPr>
          <w:p>
            <w:pPr>
              <w:pStyle w:val="Normal"/>
              <w:bidi w:val="0"/>
              <w:jc w:val="left"/>
              <w:rPr/>
            </w:pPr>
            <w:r>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Domestic Operations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International</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 from external customers</w:t>
            </w:r>
          </w:p>
        </w:tc>
        <w:tc>
          <w:tcPr>
            <w:tcW w:w="1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522,381 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74,080 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Inter-segment revenues (Content licensing and other) </w:t>
            </w:r>
            <w:r>
              <w:rPr>
                <w:rFonts w:ascii="Times New Roman;sans-serif" w:hAnsi="Times New Roman;sans-serif"/>
                <w:b w:val="false"/>
                <w:color w:val="000000"/>
                <w:sz w:val="13"/>
              </w:rPr>
              <w:t>(a)</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524,226 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revenue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Elimination of inter-segment revenues </w:t>
            </w:r>
            <w:r>
              <w:rPr>
                <w:rFonts w:ascii="Times New Roman;sans-serif" w:hAnsi="Times New Roman;sans-serif"/>
                <w:b w:val="false"/>
                <w:color w:val="000000"/>
                <w:sz w:val="13"/>
              </w:rPr>
              <w:t>(a)</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consolidated revenues, net</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Less: </w:t>
            </w:r>
            <w:r>
              <w:rPr>
                <w:rFonts w:ascii="Times New Roman;sans-serif" w:hAnsi="Times New Roman;sans-serif"/>
                <w:b w:val="false"/>
                <w:color w:val="000000"/>
                <w:sz w:val="13"/>
              </w:rPr>
              <w:t>(b)</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expenses</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 research, and advertising sales expenses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79,265 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(c)</w:t>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Reconciliation of total segment adjusted operating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Elimination of inter-segment profits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 xml:space="preserve">Unallocated corporate overhead costs </w:t>
            </w:r>
            <w:r>
              <w:rPr>
                <w:rFonts w:ascii="Times New Roman;sans-serif" w:hAnsi="Times New Roman;sans-serif"/>
                <w:b w:val="false"/>
                <w:color w:val="000000"/>
                <w:sz w:val="13"/>
              </w:rPr>
              <w:t>(d)</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expense</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Interest income</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Miscellaneous, net</w:t>
            </w:r>
          </w:p>
        </w:tc>
        <w:tc>
          <w:tcPr>
            <w:tcW w:w="1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(a) Inter-segment revenues primarily relate to Domestic Operations content licensing sales to International, as well as services performed by AMCNI on behalf of businesses within the Domestic Operations segment.</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(b) The significant expense categories and amounts align with the segment-level information that is regularly provided to the CODM.</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(c) Other for each reportable segment primarily includes employee-related costs, information technology costs, professional services expenses, occupancy expenses, certain overhead expenses and the Company’s proportionate share of adjusted operating income (loss) from majority-owned equity method investees.</w:t>
      </w:r>
    </w:p>
    <w:p>
      <w:pPr>
        <w:pStyle w:val="TextBody"/>
        <w:bidi w:val="0"/>
        <w:spacing w:lineRule="auto" w:line="288" w:before="120" w:after="180"/>
        <w:jc w:val="left"/>
        <w:rPr>
          <w:rFonts w:ascii="Times New Roman;sans-serif" w:hAnsi="Times New Roman;sans-serif"/>
          <w:b w:val="false"/>
          <w:color w:val="000000"/>
          <w:sz w:val="16"/>
        </w:rPr>
      </w:pPr>
      <w:r>
        <w:rPr>
          <w:rFonts w:ascii="Times New Roman;sans-serif" w:hAnsi="Times New Roman;sans-serif"/>
          <w:b w:val="false"/>
          <w:color w:val="000000"/>
          <w:sz w:val="16"/>
        </w:rPr>
        <w:t>(d) Unallocated corporate overhead costs include costs such as executive salaries and benefits and costs of maintaining corporate headquarters, facilities and common support functions.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Subscription revenues in the Domestic Operations segment include revenues related to the Company's streaming services of $157.1 million and $145.1 million for the three months ended March 31, 2025 and 2024, respectively.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disclose total assets for each operating segment because these amounts are not regularly reviewed by the CODM nor are they used in assessing segment performance or deciding how to allocate resources to the segments.</w:t>
      </w:r>
    </w:p>
    <w:p>
      <w:pPr>
        <w:pStyle w:val="TextBody"/>
        <w:bidi w:val="0"/>
        <w:spacing w:before="120" w:after="12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AMC NETWORKS INC. AND SUBSIDIARIES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revenues based on customer location:</w:t>
      </w:r>
    </w:p>
    <w:tbl>
      <w:tblPr>
        <w:tblW w:w="5514" w:type="dxa"/>
        <w:jc w:val="left"/>
        <w:tblInd w:w="0" w:type="dxa"/>
        <w:tblLayout w:type="fixed"/>
        <w:tblCellMar>
          <w:top w:w="28" w:type="dxa"/>
          <w:left w:w="28" w:type="dxa"/>
          <w:bottom w:w="28" w:type="dxa"/>
          <w:right w:w="28" w:type="dxa"/>
        </w:tblCellMar>
      </w:tblPr>
      <w:tblGrid>
        <w:gridCol w:w="433"/>
        <w:gridCol w:w="382"/>
        <w:gridCol w:w="384"/>
        <w:gridCol w:w="109"/>
        <w:gridCol w:w="109"/>
        <w:gridCol w:w="206"/>
        <w:gridCol w:w="206"/>
        <w:gridCol w:w="399"/>
        <w:gridCol w:w="1562"/>
        <w:gridCol w:w="206"/>
        <w:gridCol w:w="109"/>
        <w:gridCol w:w="109"/>
        <w:gridCol w:w="109"/>
        <w:gridCol w:w="211"/>
        <w:gridCol w:w="826"/>
        <w:gridCol w:w="154"/>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119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447,390 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484,093 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74,099 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555,233 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One customer within the Domestic Operations segment accounted for approximately 17% and 15% of consolidated revenues, net for the three months ended March 31, 2025 and 2024, respectively.</w:t>
      </w:r>
    </w:p>
    <w:p>
      <w:pPr>
        <w:pStyle w:val="TextBody"/>
        <w:bidi w:val="0"/>
        <w:spacing w:lineRule="auto" w:line="288" w:before="120" w:after="6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summarizes property and equipment based on asset location: </w:t>
      </w:r>
    </w:p>
    <w:tbl>
      <w:tblPr>
        <w:tblW w:w="5724" w:type="dxa"/>
        <w:jc w:val="left"/>
        <w:tblInd w:w="0" w:type="dxa"/>
        <w:tblLayout w:type="fixed"/>
        <w:tblCellMar>
          <w:top w:w="28" w:type="dxa"/>
          <w:left w:w="28" w:type="dxa"/>
          <w:bottom w:w="28" w:type="dxa"/>
          <w:right w:w="28" w:type="dxa"/>
        </w:tblCellMar>
      </w:tblPr>
      <w:tblGrid>
        <w:gridCol w:w="910"/>
        <w:gridCol w:w="803"/>
        <w:gridCol w:w="806"/>
        <w:gridCol w:w="237"/>
        <w:gridCol w:w="930"/>
        <w:gridCol w:w="122"/>
        <w:gridCol w:w="109"/>
        <w:gridCol w:w="109"/>
        <w:gridCol w:w="109"/>
        <w:gridCol w:w="281"/>
        <w:gridCol w:w="1103"/>
        <w:gridCol w:w="205"/>
      </w:tblGrid>
      <w:tr>
        <w:trPr/>
        <w:tc>
          <w:tcPr>
            <w:tcW w:w="91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 net</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145,010 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143,036 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contains statements that constitute forward-looking information within the meaning of the Private Securities Litigation Reform Act of 1995. In this Management's Discussion and Analysis of Financial Condition and Results of Operations there are statements concerning our future operating results and future financial performance. Words such as "expects," "anticipates," "believes," "estimates," "may," "will," "should," "could," "potential," "continue," "intends," "plans" and similar words and terms used in the discussion of future operating results and future financial performance identify forward-looking statements. You are cautioned that any such forward-looking statements are not guarantees of future performance or results and involve risks and uncertainties and that actual results or developments may differ materially from the forward-looking statements as a result of various factors. Factors that may cause such differences to occur include, but are not limited 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our revenues;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market demand, including changes in viewer consumption patterns, for our programming networks, our subscription streaming services, our programming (including our owned original programming and our film content) and our production services;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demand for advertising inventory and our ability to deliver guaranteed viewer ratings;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highly competitive nature of the cable, telecommunications, streaming and programming industries;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of, and our ability to obtain or produce, desirable content for our programming services, other forms of distribution, including digital and licensing in international markets, as well as our film distribution businesses;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loss of any of our key personnel or artistic talent;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strikes, including those related to the Writers, Directors, and Screen Actors guilds;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security of our program rights and other electronic data;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breaches or failures of our or our vendors’ information technology systems or products, including by cyber-attack, data leakage, unauthorized access or theft;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maintain and renew distribution or affiliation agreements with distributors;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economic and business conditions and industry trends in the countries in which we operate, including fluctuations in inflation rates, recession risk and the impact of tariffs and changes in trade policies and uncertainty regarding the foregoing;</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currency exchange rates and interest rates;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domestic and foreign laws or regulations under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or treaties relating to taxation, or the interpretation thereof, in the United States or in the countries in which we operate;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existing and proposed federal, state and international laws and regulations relating to data protection, privacy and security, including the European Union's General Data Protection Regulation, the California Consumer Privacy Act and other similar comprehensive privacy and security laws that have been or may be enacted in other states;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substantial debt and high leverage;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reduced access to, or inability to access, capital or credit markets, or significant increases in costs to borrow;</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level of our expenses;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our business strategy;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future acquisitions and dispositions of assets;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successfully acquire new businesses and, if acquired, to integrate, and implement our plan with respect to businesses we acquire;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problems we may discover post-closing with the operations, including the internal controls and financial reporting process, of businesses we acquire;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of litigation, arbitration and other proceedings or investigations;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whether pending uncompleted transactions, if any, are completed on the terms and at the times set forth (if at all);</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financial community and rating agency perceptions of our business, operations, financial condition and the industry in which we operate;</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impairment charges related to our goodwill and other intangible assets;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of pandemics or other health emergencies on the economy and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events that are outside our control, such as political unrest in international markets, terrorist attacks, natural disasters and other similar events; and </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the factors described under Item 1A, "Risk Factors" in our 2024 Annual Report on Form 10-K (the "2024 Form 10-K"), as filed with the Securities and Exchange Commission, and Part II, Item 1A, “Risk Factors,” in this Quarterly Report on Form 10-Q for the quarter ended March 31, 2025.</w:t>
      </w:r>
    </w:p>
    <w:p>
      <w:pPr>
        <w:pStyle w:val="TextBody"/>
        <w:bidi w:val="0"/>
        <w:spacing w:lineRule="auto" w:line="288" w:before="0" w:after="6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disclaim any obligation to update or revise the forward-looking statements contained herein, except as otherwise required by applicable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Introduction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or MD&amp;A, is a supplement to and should be read in conjunction with the unaudited condensed consolidated financial statements and notes thereto included elsewhere herein and our 2024 Form 10-K to enhance the understanding of our financial condition, changes in financial condition and results of our operations. Unless the context otherwise requires, all references to "we," "us," "our," "AMC Networks" or the "Company" refer to AMC Networks Inc., together with its subsidiaries. The MD&amp;A is organized as follows:</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Business Overview.</w:t>
      </w:r>
      <w:r>
        <w:rPr>
          <w:color w:val="000000"/>
        </w:rPr>
        <w:t xml:space="preserve"> </w:t>
      </w:r>
      <w:r>
        <w:rPr>
          <w:rFonts w:ascii="Times New Roman;sans-serif" w:hAnsi="Times New Roman;sans-serif"/>
          <w:b w:val="false"/>
          <w:color w:val="000000"/>
          <w:sz w:val="20"/>
        </w:rPr>
        <w:t>This section provides a general description of our business and our operating segments, as well as other matters that we believe are important in understanding our results of operations and financial condition and in anticipating future trends.</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Consolidated Results of Operations.</w:t>
      </w:r>
      <w:r>
        <w:rPr>
          <w:color w:val="000000"/>
        </w:rPr>
        <w:t xml:space="preserve"> </w:t>
      </w:r>
      <w:r>
        <w:rPr>
          <w:rFonts w:ascii="Times New Roman;sans-serif" w:hAnsi="Times New Roman;sans-serif"/>
          <w:b w:val="false"/>
          <w:color w:val="000000"/>
          <w:sz w:val="20"/>
        </w:rPr>
        <w:t>This section provides an analysis of our results of operations for the three months ended March 31, 2025 compared to the three months ended March 31, 2024. Our discussion is presented on both a consolidated and segment basis.</w:t>
      </w:r>
      <w:r>
        <w:rPr>
          <w:color w:val="000000"/>
          <w:shd w:fill="FFFFFF" w:val="clear"/>
        </w:rPr>
        <w:t xml:space="preserve"> </w:t>
      </w:r>
      <w:r>
        <w:rPr>
          <w:rFonts w:ascii="Times New Roman;sans-serif" w:hAnsi="Times New Roman;sans-serif"/>
          <w:b w:val="false"/>
          <w:color w:val="000000"/>
          <w:sz w:val="20"/>
          <w:shd w:fill="FFFFFF" w:val="clear"/>
        </w:rPr>
        <w:t>Our two segments are: (i) Domestic Operations and (ii) International.</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Liquidity and Capital Resources.</w:t>
      </w:r>
      <w:r>
        <w:rPr>
          <w:color w:val="000000"/>
        </w:rPr>
        <w:t xml:space="preserve"> </w:t>
      </w:r>
      <w:r>
        <w:rPr>
          <w:rFonts w:ascii="Times New Roman;sans-serif" w:hAnsi="Times New Roman;sans-serif"/>
          <w:b w:val="false"/>
          <w:color w:val="000000"/>
          <w:sz w:val="20"/>
        </w:rPr>
        <w:t>This section provides a discussion of our financial condition as of March 31, 2025, as well as an analysis of our cash flows for the three months ended March 31, 2025 and 2024. The discussion of our financial condition and liquidity also includes summaries of (i) our primary sources of liquidity and (ii) our contractual obligations that existed at March 31, 2025 as compared to December 31, 2024.</w:t>
      </w:r>
    </w:p>
    <w:p>
      <w:pPr>
        <w:pStyle w:val="TextBody"/>
        <w:bidi w:val="0"/>
        <w:spacing w:lineRule="auto" w:line="288" w:before="120" w:after="120"/>
        <w:ind w:left="0" w:right="0" w:firstLine="450"/>
        <w:jc w:val="both"/>
        <w:rPr/>
      </w:pPr>
      <w:r>
        <w:rPr>
          <w:rFonts w:ascii="Times New Roman;sans-serif" w:hAnsi="Times New Roman;sans-serif"/>
          <w:b w:val="false"/>
          <w:i/>
          <w:color w:val="000000"/>
          <w:sz w:val="20"/>
        </w:rPr>
        <w:t>Critical Accounting Policies and Estimates</w:t>
      </w:r>
      <w:r>
        <w:rPr>
          <w:rFonts w:ascii="Times New Roman;sans-serif" w:hAnsi="Times New Roman;sans-serif"/>
          <w:b w:val="false"/>
          <w:color w:val="000000"/>
          <w:sz w:val="20"/>
        </w:rPr>
        <w:t xml:space="preserve">. This section provides an update, if any, to our significant accounting policies or critical accounting estimates since December 31, 2024. </w:t>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20" w:after="120"/>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Financial Highlights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The tables presented below set forth our consolidated revenues, net, operating income (loss) and adjusted operating income (loss) ("AOI")</w:t>
      </w:r>
      <w:r>
        <w:rPr>
          <w:rFonts w:ascii="Times New Roman;sans-serif" w:hAnsi="Times New Roman;sans-serif"/>
          <w:b w:val="false"/>
          <w:color w:val="000000"/>
          <w:sz w:val="13"/>
        </w:rPr>
        <w:t>1</w:t>
      </w:r>
      <w:r>
        <w:rPr>
          <w:rFonts w:ascii="Times New Roman;sans-serif" w:hAnsi="Times New Roman;sans-serif"/>
          <w:b w:val="false"/>
          <w:color w:val="000000"/>
          <w:sz w:val="20"/>
        </w:rPr>
        <w:t>, for the periods indicated.</w:t>
      </w:r>
    </w:p>
    <w:tbl>
      <w:tblPr>
        <w:tblW w:w="6776" w:type="dxa"/>
        <w:jc w:val="left"/>
        <w:tblInd w:w="0" w:type="dxa"/>
        <w:tblLayout w:type="fixed"/>
        <w:tblCellMar>
          <w:top w:w="28" w:type="dxa"/>
          <w:left w:w="28" w:type="dxa"/>
          <w:bottom w:w="28" w:type="dxa"/>
          <w:right w:w="28" w:type="dxa"/>
        </w:tblCellMar>
      </w:tblPr>
      <w:tblGrid>
        <w:gridCol w:w="883"/>
        <w:gridCol w:w="780"/>
        <w:gridCol w:w="782"/>
        <w:gridCol w:w="109"/>
        <w:gridCol w:w="109"/>
        <w:gridCol w:w="204"/>
        <w:gridCol w:w="204"/>
        <w:gridCol w:w="394"/>
        <w:gridCol w:w="1574"/>
        <w:gridCol w:w="204"/>
        <w:gridCol w:w="109"/>
        <w:gridCol w:w="109"/>
        <w:gridCol w:w="109"/>
        <w:gridCol w:w="211"/>
        <w:gridCol w:w="841"/>
        <w:gridCol w:w="154"/>
      </w:tblGrid>
      <w:tr>
        <w:trPr/>
        <w:tc>
          <w:tcPr>
            <w:tcW w:w="8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33" w:type="dxa"/>
            <w:gridSpan w:val="6"/>
            <w:tcBorders/>
          </w:tcPr>
          <w:p>
            <w:pPr>
              <w:pStyle w:val="TableContents"/>
              <w:bidi w:val="0"/>
              <w:spacing w:before="0" w:after="283"/>
              <w:jc w:val="left"/>
              <w:rPr>
                <w:sz w:val="4"/>
                <w:szCs w:val="4"/>
              </w:rPr>
            </w:pPr>
            <w:r>
              <w:rPr>
                <w:sz w:val="4"/>
                <w:szCs w:val="4"/>
              </w:rPr>
            </w:r>
          </w:p>
        </w:tc>
      </w:tr>
      <w:tr>
        <w:trPr/>
        <w:tc>
          <w:tcPr>
            <w:tcW w:w="2445"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555,233</w:t>
            </w:r>
            <w:r>
              <w:rPr>
                <w:color w:val="000000"/>
              </w:rPr>
              <w:t>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596,461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64,197</w:t>
            </w: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110,178</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9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57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104,485</w:t>
            </w:r>
            <w:r>
              <w:rPr>
                <w:color w:val="000000"/>
              </w:rPr>
              <w:t> </w:t>
            </w:r>
          </w:p>
        </w:tc>
        <w:tc>
          <w:tcPr>
            <w:tcW w:w="20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149,124</w:t>
            </w: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business through the following two operating segments:</w:t>
      </w:r>
    </w:p>
    <w:p>
      <w:pPr>
        <w:pStyle w:val="TextBody"/>
        <w:bidi w:val="0"/>
        <w:spacing w:lineRule="auto" w:line="288" w:before="120" w:after="120"/>
        <w:ind w:left="0" w:right="0" w:hanging="360"/>
        <w:jc w:val="both"/>
        <w:rPr/>
      </w:pPr>
      <w:r>
        <w:rPr>
          <w:color w:val="000000"/>
          <w:shd w:fill="FFFFFF" w:val="clear"/>
        </w:rPr>
        <w:t>•</w:t>
      </w:r>
      <w:r>
        <w:rPr>
          <w:rFonts w:ascii="Times New Roman;sans-serif" w:hAnsi="Times New Roman;sans-serif"/>
          <w:b w:val="false"/>
          <w:i/>
          <w:color w:val="000000"/>
          <w:sz w:val="20"/>
        </w:rPr>
        <w:t>Domestic Operations:</w:t>
      </w:r>
      <w:r>
        <w:rPr>
          <w:color w:val="000000"/>
        </w:rPr>
        <w:t xml:space="preserve"> </w:t>
      </w:r>
      <w:r>
        <w:rPr>
          <w:rFonts w:ascii="Times New Roman;sans-serif" w:hAnsi="Times New Roman;sans-serif"/>
          <w:b w:val="false"/>
          <w:color w:val="000000"/>
          <w:sz w:val="20"/>
        </w:rPr>
        <w:t>Consists of our five programming networks, our streaming services, our AMC Studios operation and our film distribution business. Our programming networks are AMC, We TV, BBC AMERICA, IFC, and SundanceTV. Our streaming services consist of AMC+ and our targeted subscription streaming services (Acorn TV, Shudder, Sundance Now, ALLBLK, and HIDIVE). Our AMC Studios operation produces original programming for our programming services and third parties and also licenses programming worldwide. Our film distribution business includes IFC Films, RLJ Entertainment Films and Shudder. The operating segment also includes AMC Networks Broadcasting &amp; Technology, our technical services business, which primarily services the programming networks.</w:t>
      </w:r>
    </w:p>
    <w:p>
      <w:pPr>
        <w:pStyle w:val="TextBody"/>
        <w:bidi w:val="0"/>
        <w:spacing w:lineRule="auto" w:line="288" w:before="120" w:after="240"/>
        <w:ind w:left="0" w:right="0" w:hanging="360"/>
        <w:jc w:val="both"/>
        <w:rPr/>
      </w:pPr>
      <w:r>
        <w:rPr>
          <w:color w:val="000000"/>
          <w:shd w:fill="FFFFFF" w:val="clear"/>
        </w:rPr>
        <w:t>•</w:t>
      </w:r>
      <w:r>
        <w:rPr>
          <w:rFonts w:ascii="Times New Roman;sans-serif" w:hAnsi="Times New Roman;sans-serif"/>
          <w:b w:val="false"/>
          <w:i/>
          <w:color w:val="000000"/>
          <w:sz w:val="20"/>
        </w:rPr>
        <w:t>International</w:t>
      </w:r>
      <w:r>
        <w:rPr>
          <w:rFonts w:ascii="Times New Roman;sans-serif" w:hAnsi="Times New Roman;sans-serif"/>
          <w:b w:val="false"/>
          <w:color w:val="000000"/>
          <w:sz w:val="20"/>
        </w:rPr>
        <w:t>: Consists of AMC Networks International ("AMCNI"), our international programming businesses consisting of a portfolio of channels distributed around the world.</w:t>
      </w:r>
    </w:p>
    <w:p>
      <w:pPr>
        <w:pStyle w:val="TextBody"/>
        <w:bidi w:val="0"/>
        <w:spacing w:lineRule="auto" w:line="288" w:before="120" w:after="120"/>
        <w:ind w:left="0" w:right="0" w:firstLine="27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Domestic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Domestic Operations segment, we earn revenue principally from: (i) subscription revenues in connection with the distribution of our programming through our programming networks and streaming services, (ii) the sale of advertising, and (iii) the licensing of our original programming to distributors, including the distribution of programming of IFC Films. </w:t>
      </w:r>
    </w:p>
    <w:p>
      <w:pPr>
        <w:pStyle w:val="TextBody"/>
        <w:bidi w:val="0"/>
        <w:spacing w:lineRule="auto" w:line="288" w:before="0" w:after="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Adjusted Operating Income (Loss), is a non-GAAP financial measure. See the "Non-GAAP Financial Measures" section on page 35 for additional information, including our definition and our use of this non-GAAP financial measure, and for a reconciliation to its most comparable GAAP financial measure.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2025, the Company updated the definition of "aggregate paid subscribers" and the definitions of "affiliate revenues" and "streaming revenues". These changes have no effect on the Company's consolidated financial statements or results of operations. The impact of these changes to historical affiliate revenues and streaming revenues is not material. The new definitions are as follows: </w:t>
      </w:r>
    </w:p>
    <w:p>
      <w:pPr>
        <w:pStyle w:val="TextBody"/>
        <w:bidi w:val="0"/>
        <w:spacing w:lineRule="auto" w:line="312" w:before="180" w:after="180"/>
        <w:ind w:left="0" w:right="0" w:firstLine="450"/>
        <w:jc w:val="both"/>
        <w:rPr/>
      </w:pPr>
      <w:r>
        <w:rPr>
          <w:rFonts w:ascii="Times New Roman;sans-serif" w:hAnsi="Times New Roman;sans-serif"/>
          <w:b w:val="false"/>
          <w:i/>
          <w:color w:val="000000"/>
          <w:sz w:val="20"/>
        </w:rPr>
        <w:t>Streaming subscriber (previously "aggregate paid subscriber"):</w:t>
      </w:r>
      <w:r>
        <w:rPr>
          <w:color w:val="000000"/>
        </w:rPr>
        <w:t xml:space="preserve"> </w:t>
      </w:r>
      <w:r>
        <w:rPr>
          <w:rFonts w:ascii="Times New Roman;sans-serif" w:hAnsi="Times New Roman;sans-serif"/>
          <w:b w:val="false"/>
          <w:color w:val="000000"/>
          <w:sz w:val="20"/>
        </w:rPr>
        <w:t xml:space="preserve">A subscriber who registers on an a la carte basis and from whom we receive a fee, for one of our streaming services directly through our direct-to-consumer applications or indirectly through one of our streaming platform arrangements. This definitional change resulted in the exclusion of subscribers from our count who received access to our streaming services from distributors through a video package that also included access to our programming networks. Subscribers in this Quarterly Report on Form 10-Q reflect our updated definition. </w:t>
      </w:r>
    </w:p>
    <w:p>
      <w:pPr>
        <w:pStyle w:val="TextBody"/>
        <w:bidi w:val="0"/>
        <w:spacing w:lineRule="auto" w:line="312" w:before="18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streaming subscribers, presented under both the old definition of "aggregate paid subscriber" and the new definition of "streaming subscriber" as of each date indicated:</w:t>
      </w:r>
    </w:p>
    <w:tbl>
      <w:tblPr>
        <w:tblW w:w="9568" w:type="dxa"/>
        <w:jc w:val="left"/>
        <w:tblInd w:w="0" w:type="dxa"/>
        <w:tblLayout w:type="fixed"/>
        <w:tblCellMar>
          <w:top w:w="28" w:type="dxa"/>
          <w:left w:w="28" w:type="dxa"/>
          <w:bottom w:w="28" w:type="dxa"/>
          <w:right w:w="28" w:type="dxa"/>
        </w:tblCellMar>
      </w:tblPr>
      <w:tblGrid>
        <w:gridCol w:w="760"/>
        <w:gridCol w:w="669"/>
        <w:gridCol w:w="671"/>
        <w:gridCol w:w="499"/>
        <w:gridCol w:w="499"/>
        <w:gridCol w:w="501"/>
        <w:gridCol w:w="109"/>
        <w:gridCol w:w="109"/>
        <w:gridCol w:w="109"/>
        <w:gridCol w:w="284"/>
        <w:gridCol w:w="284"/>
        <w:gridCol w:w="286"/>
        <w:gridCol w:w="109"/>
        <w:gridCol w:w="109"/>
        <w:gridCol w:w="109"/>
        <w:gridCol w:w="239"/>
        <w:gridCol w:w="239"/>
        <w:gridCol w:w="241"/>
        <w:gridCol w:w="109"/>
        <w:gridCol w:w="109"/>
        <w:gridCol w:w="109"/>
        <w:gridCol w:w="514"/>
        <w:gridCol w:w="514"/>
        <w:gridCol w:w="516"/>
        <w:gridCol w:w="109"/>
        <w:gridCol w:w="109"/>
        <w:gridCol w:w="109"/>
        <w:gridCol w:w="452"/>
        <w:gridCol w:w="452"/>
        <w:gridCol w:w="640"/>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As originally reported </w:t>
            </w:r>
            <w:r>
              <w:rPr>
                <w:rFonts w:ascii="Times New Roman;sans-serif" w:hAnsi="Times New Roman;sans-serif"/>
                <w:b w:val="false"/>
                <w:color w:val="000000"/>
                <w:sz w:val="13"/>
              </w:rPr>
              <w:t>(a)</w:t>
            </w:r>
          </w:p>
        </w:tc>
        <w:tc>
          <w:tcPr>
            <w:tcW w:w="14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w:t>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(b)</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Recast </w:t>
            </w:r>
            <w:r>
              <w:rPr>
                <w:rFonts w:ascii="Times New Roman;sans-serif" w:hAnsi="Times New Roman;sans-serif"/>
                <w:b w:val="false"/>
                <w:color w:val="000000"/>
                <w:sz w:val="13"/>
              </w:rPr>
              <w:t>(c)</w:t>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10,417</w:t>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(a) Originally reported as "aggregate paid subscribers". Prior to the first quarter of 2025, a paid subscription was defined as a subscription to a direct-to-consumer service or a subscription received through distributor arrangements, in which we received a fee for the distribution of our streaming services.</w:t>
      </w:r>
    </w:p>
    <w:p>
      <w:pPr>
        <w:pStyle w:val="TextBody"/>
        <w:bidi w:val="0"/>
        <w:spacing w:lineRule="auto" w:line="288"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(b) Primarily consists of Orange (Spain) and Philo customers at the end of the period presented that were provided access to our streaming services as part of video packages that also included access to our programming networks.</w:t>
      </w:r>
    </w:p>
    <w:p>
      <w:pPr>
        <w:pStyle w:val="TextBody"/>
        <w:bidi w:val="0"/>
        <w:spacing w:lineRule="auto" w:line="288" w:before="60" w:after="6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 Under new definition of "streaming subscribers". </w:t>
      </w:r>
    </w:p>
    <w:p>
      <w:pPr>
        <w:pStyle w:val="TextBody"/>
        <w:bidi w:val="0"/>
        <w:spacing w:lineRule="auto" w:line="312" w:before="300" w:after="180"/>
        <w:ind w:left="0" w:right="0" w:firstLine="450"/>
        <w:jc w:val="both"/>
        <w:rPr/>
      </w:pPr>
      <w:r>
        <w:rPr>
          <w:rFonts w:ascii="Times New Roman;sans-serif" w:hAnsi="Times New Roman;sans-serif"/>
          <w:b w:val="false"/>
          <w:i/>
          <w:color w:val="000000"/>
          <w:sz w:val="20"/>
        </w:rPr>
        <w:t>Affiliate revenues:</w:t>
      </w:r>
      <w:r>
        <w:rPr>
          <w:color w:val="000000"/>
        </w:rPr>
        <w:t xml:space="preserve"> </w:t>
      </w:r>
      <w:r>
        <w:rPr>
          <w:rFonts w:ascii="Times New Roman;sans-serif" w:hAnsi="Times New Roman;sans-serif"/>
          <w:b w:val="false"/>
          <w:color w:val="000000"/>
          <w:sz w:val="20"/>
        </w:rPr>
        <w:t>Represents fees received from distributors for the rights to use the Company's programming under multi-year contracts, commonly referred to as "affiliation agreements." Affiliate revenues also include fees received from distributors who provide access to our streaming services to end users through a video package that also includes access to our programming networks. Affiliate revenues are earned from cable and other multichannel video programming distribution platforms, including direct broadcast satellite and platforms operated by telecommunications providers and virtual multichannel video programming distributors.</w:t>
      </w:r>
    </w:p>
    <w:p>
      <w:pPr>
        <w:pStyle w:val="TextBody"/>
        <w:bidi w:val="0"/>
        <w:spacing w:lineRule="auto" w:line="312" w:before="180" w:after="180"/>
        <w:ind w:left="0" w:right="0" w:firstLine="450"/>
        <w:jc w:val="both"/>
        <w:rPr/>
      </w:pPr>
      <w:r>
        <w:rPr>
          <w:rFonts w:ascii="Times New Roman;sans-serif" w:hAnsi="Times New Roman;sans-serif"/>
          <w:b w:val="false"/>
          <w:i/>
          <w:color w:val="000000"/>
          <w:sz w:val="20"/>
        </w:rPr>
        <w:t>Streaming revenues:</w:t>
      </w:r>
      <w:r>
        <w:rPr>
          <w:color w:val="000000"/>
        </w:rPr>
        <w:t xml:space="preserve"> </w:t>
      </w:r>
      <w:r>
        <w:rPr>
          <w:rFonts w:ascii="Times New Roman;sans-serif" w:hAnsi="Times New Roman;sans-serif"/>
          <w:b w:val="false"/>
          <w:color w:val="000000"/>
          <w:sz w:val="20"/>
        </w:rPr>
        <w:t>Represents fees for our streaming services earned from our direct-to-consumer platforms as well as through streaming platform arrangements with companies that sell our streaming services on our behalf.</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subscription revenues for our programming networks are based on a per subscriber fee. The subscription revenues we earn vary from period to period, distributor to distributor and also vary among our programming services, but are generally based on the impact of renewals of distributor agreements and upon the number of each distributor's subscribers who receive our programming, referred to as viewing subscribers. Subscription fees for our services are typically based on a per subscriber fee and are generally paid by distributors and consumers on a monthly basis. In negotiating for additional subscribers or extended carriage, we have agreed, in some instances, to make upfront payments to a distributor which we record as deferred carriage fees and which are amortized as a reduction to revenue over the period of the related affiliation agreement. We also may support the distributors' efforts to market our networks. We believe that these transactions generate a positive return on investment over the contract period.</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affiliation agreements with our distributors, we have the right to sell a specified amount of national advertising time on our programming networks. Our advertising revenues are more variable than subscription revenues because the majority of our advertising is sold on a short-term basis, not under long-term contracts. Our arrangements with advertisers provide for a set number of advertising units to air over a specific period of time at a negotiated price per unit. Additionally, in these advertising sales arrangements, our programming networks generally guarantee specified viewer ratings for their programming. Most of our advertising revenues vary based on the timing of our original programming series and the popularity of our programming as measured by Nielsen.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Content licensing revenue is earned from the licensing of original programming for digital, foreign and home video distribution and is recognized upon availability or distribution by the licensee, and, to a lesser extent, is earned through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distribution of AMC Studios produced series to third parties. Content licensing revenues vary based on the timing of availability of programming to distributors.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contract for and produce high-quality, attractive programming and remain disciplined in our marketing spend in our efforts to acquire and retain higher lifetime value subscribers. As competition for programming increases and alternative distribution technologies continue to emerge and develop in the industry, costs for content acquisition and original programming have increased. There is a concentration of subscribers in the hands of a few distributors, which could create disparate bargaining power between the largest distributors and us by giving those distributors greater leverage in negotiating the price and other terms of affiliation agreements. We also seek to increase our content licensing revenues by expanding the opportunities for licensing our programming through digital distribution platforms, foreign distribution and home video services.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Content expenses, included in technical and operating expenses, represent the largest expenses of the Domestic Operations segment and primarily consist of amortization of program rights, such as those for original programming, feature films and licensed series, as well as participation and residual costs. The other components of technical and operating expenses primarily include distribution and production related costs and program operating costs including cost of delivery, such as origination, transmission, uplink and encryption.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our business depends on original programming, both scripted and unscripted, across all of our programming services. These original series generally result in higher ratings for our networks and higher viewership on our streaming services. Among other things, higher audience ratings drive increased revenues through higher advertising revenues. The timing of exhibition and distribution of original programming varies from period to period, which results in greater variability in our revenues, earnings and cash flows from operating activities. There may be significant changes in the level of our technical and operating expenses due to the level of our content investment spend and the related amortization of content acquisition and/or original programming costs. Program rights that are predominantly monetized as a group are amortized based on projected usage and viewership patterns, typically resulting in an accelerated amortization pattern and, to a lesser extent, program rights that are predominantly monetized individually are amortized based on the individual-film-forecast-computation method.</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Most original series require us to make significant up-front investments. Our programming efforts are not always commercially successful, which has in the past resulted and could in the future result in a write-off of program rights. If events or changes in circumstances indicate that the fair value of program rights predominantly monetized individually or as a group is less than their unamortized cost, the Company will write off the excess to technical and operating expenses in the condensed consolidated statements of income. Program rights with no future programming usefulness are substantively abandoned resulting in the write-off of remaining unamortized cost.</w:t>
      </w:r>
    </w:p>
    <w:p>
      <w:pPr>
        <w:pStyle w:val="TextBody"/>
        <w:bidi w:val="0"/>
        <w:spacing w:lineRule="auto" w:line="288" w:before="120" w:after="120"/>
        <w:ind w:left="0" w:right="0" w:firstLine="27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International</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our International segment, we earn revenue principally from subscription revenue in connection with the international distribution of programming and, to a lesser extent, the sale of advertising from our AMCNI programming networks. Subscription revenue consists of the fees paid by distributors to carry our programming networks. Our subscription revenues are generally based on either a per-subscriber fee or a fixed contractual annual fee, under multi-year affiliation agreements. Subscription revenues are derived from the distribution of our programming networks primarily in Europe, and to a lesser extent, Latin America. </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Content expenses and programming operating costs primarily comprise technical and operating expenses. Content expenses represent the largest expense of the International segment and primarily consist of amortization of acquired content. Program operating costs include costs such as origination, transmission, uplink and encryption of our linear AMCNI channels as well as content hosting and delivery costs at our various on-line content distribution initiatives. Other components of technical and operating expense include costs of dubbing and sub-titling of programs. Our programming efforts are not all commercially successful, which has in the past resulted and could in the future result in a write-off of program rights. If events or changes in circumstances indicate that the fair value of program rights predominantly monetized individually or a group is less than its unamortized cost, the Company will write off the excess to technical and operating expenses in the condensed consolidated statements of income. Program rights with no future programming usefulness are substantively abandoned, resulting in the write-off of remaining unamortized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Impact of Economic Conditions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performance is dependent, to a large extent, on general economic conditions, which can impact, among other things, our ability to manage our businesses effectively and our relative strength and leverage in the marketplace, with both suppliers and customers. Additionally, macroeconomic and geopolitical risks, particularly high inflation and interest rates, as well as recently announced or implemented tariffs and changes to the U.S.'s and other countries' trade policies, and uncertainty regarding further changes to any of the foregoing, may adversely impact our results of operations, cash flows and financial position or our ability to refinance our indebtedness on terms favorable to us, or at all.</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Capital and credit market disruptions, as well as other events such as pandemics or other health emergencies, inflation, tariffs and changes to the U.S.'s and other countries' trade policies, international conflict and recession, have in the past caused and could in the future cause market volatility and economic downturns, which have led and may lead to lower demand for our products, such as lower demand for television advertising and a decrease in the number of subscribers receiving our programming services. Events such as these have in the past adversely impacted, and may in the future adversely impact, our results of operations, cash flows and financial position.</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Consolidated Results of Operations</w:t>
      </w:r>
    </w:p>
    <w:p>
      <w:pPr>
        <w:pStyle w:val="TextBody"/>
        <w:bidi w:val="0"/>
        <w:spacing w:lineRule="auto" w:line="26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amounts presented and discussed below represent 100% of each operating segment's revenues, net and expenses. Where we have management control of an entity, we consolidate 100% of such entity in our condensed consolidated statements of income notwithstanding that a third-party owns an interest, which may be significant, in such entity. The noncontrolling owner's interest in the operating results of consolidated subsidiaries are reflected in net income attributable to noncontrolling interests in our condensed consolidated statements of income.</w:t>
      </w:r>
    </w:p>
    <w:p>
      <w:pPr>
        <w:pStyle w:val="TextBody"/>
        <w:bidi w:val="0"/>
        <w:spacing w:before="0" w:after="0"/>
        <w:ind w:left="0" w:right="0" w:firstLine="450"/>
        <w:jc w:val="both"/>
        <w:rPr/>
      </w:pPr>
      <w:r>
        <w:rPr/>
      </w:r>
    </w:p>
    <w:p>
      <w:pPr>
        <w:pStyle w:val="TextBody"/>
        <w:bidi w:val="0"/>
        <w:spacing w:lineRule="auto" w:line="288" w:before="0" w:after="0"/>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Three Months Ended March 31, 2025 and 2024</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consolidated results of operations for the periods indicated.</w:t>
      </w:r>
    </w:p>
    <w:tbl>
      <w:tblPr>
        <w:tblW w:w="10205" w:type="dxa"/>
        <w:jc w:val="left"/>
        <w:tblInd w:w="0" w:type="dxa"/>
        <w:tblLayout w:type="fixed"/>
        <w:tblCellMar>
          <w:top w:w="28" w:type="dxa"/>
          <w:left w:w="28" w:type="dxa"/>
          <w:bottom w:w="28" w:type="dxa"/>
          <w:right w:w="28" w:type="dxa"/>
        </w:tblCellMar>
      </w:tblPr>
      <w:tblGrid>
        <w:gridCol w:w="1917"/>
        <w:gridCol w:w="1594"/>
        <w:gridCol w:w="1522"/>
        <w:gridCol w:w="141"/>
        <w:gridCol w:w="141"/>
        <w:gridCol w:w="185"/>
        <w:gridCol w:w="185"/>
        <w:gridCol w:w="185"/>
        <w:gridCol w:w="135"/>
        <w:gridCol w:w="262"/>
        <w:gridCol w:w="1026"/>
        <w:gridCol w:w="135"/>
        <w:gridCol w:w="109"/>
        <w:gridCol w:w="109"/>
        <w:gridCol w:w="109"/>
        <w:gridCol w:w="211"/>
        <w:gridCol w:w="826"/>
        <w:gridCol w:w="109"/>
        <w:gridCol w:w="109"/>
        <w:gridCol w:w="109"/>
        <w:gridCol w:w="109"/>
        <w:gridCol w:w="275"/>
        <w:gridCol w:w="278"/>
        <w:gridCol w:w="424"/>
      </w:tblGrid>
      <w:tr>
        <w:trPr/>
        <w:tc>
          <w:tcPr>
            <w:tcW w:w="1917"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777" w:type="dxa"/>
            <w:gridSpan w:val="12"/>
            <w:tcBorders/>
          </w:tcPr>
          <w:p>
            <w:pPr>
              <w:pStyle w:val="TableContents"/>
              <w:bidi w:val="0"/>
              <w:spacing w:before="0" w:after="283"/>
              <w:jc w:val="left"/>
              <w:rPr>
                <w:sz w:val="4"/>
                <w:szCs w:val="4"/>
              </w:rPr>
            </w:pPr>
            <w:r>
              <w:rPr>
                <w:sz w:val="4"/>
                <w:szCs w:val="4"/>
              </w:rPr>
            </w:r>
          </w:p>
        </w:tc>
      </w:tr>
      <w:tr>
        <w:trPr/>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358,075 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141,856 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555,233 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(excluding depreciation and amortization)</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267,346 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197,975 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491,036 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 net</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(27,089)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before income taxes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(14,955)</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including noncontrolling interests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AMC Networks' stockholders</w:t>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w:t>
            </w:r>
          </w:p>
        </w:tc>
        <w:tc>
          <w:tcPr>
            <w:tcW w:w="4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870"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n/m - Absolute percentages greater than 100% and comparisons between positive and negative values or zero values are considered not meaningful.</w:t>
            </w:r>
          </w:p>
        </w:tc>
        <w:tc>
          <w:tcPr>
            <w:tcW w:w="4335" w:type="dxa"/>
            <w:gridSpan w:val="16"/>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 xml:space="preserve">creased 2.8% in our Domestic Operations segment due to a decline in affiliate revenues primarily due to basic subscriber declines, partially offset by an increase in streaming revenues. </w:t>
      </w: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creased 12.1% in our International segment primarily due to the non-renewal of a distribution agreement in Spain in the fourth quarter of 2024. We expect the linear subscriber declines to continue, consistent with the declines across the cable ecosystem.</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14.7% in our Domestic Operations segment primarily due to linear ratings declines. Advertising revenues increased 5.0% in our International segment due to increased ratings and advertising growth in the United Kingdom, including digital and advanced advertising growth, partially offset by lower advertising revenues across our other European markets. We expect advertising revenue to continue to decline as the advertising market gravitates toward other distribution platforms.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Content licensing and other revenues decreased</w:t>
      </w:r>
      <w:r>
        <w:rPr>
          <w:color w:val="000000"/>
        </w:rPr>
        <w:t xml:space="preserve"> </w:t>
      </w:r>
      <w:r>
        <w:rPr>
          <w:rFonts w:ascii="Times New Roman;sans-serif" w:hAnsi="Times New Roman;sans-serif"/>
          <w:b w:val="false"/>
          <w:color w:val="000000"/>
          <w:sz w:val="20"/>
        </w:rPr>
        <w:t xml:space="preserve">13.1% in our Domestic Operations segment primarily due to the availability of deliveries in the period, including the prior year beneficial impact associated with the sale of our rights and interests to </w:t>
      </w:r>
      <w:r>
        <w:rPr>
          <w:rFonts w:ascii="Times New Roman;sans-serif" w:hAnsi="Times New Roman;sans-serif"/>
          <w:b w:val="false"/>
          <w:i/>
          <w:color w:val="000000"/>
          <w:sz w:val="20"/>
        </w:rPr>
        <w:t xml:space="preserve">Killing Eve </w:t>
      </w:r>
      <w:r>
        <w:rPr>
          <w:rFonts w:ascii="Times New Roman;sans-serif" w:hAnsi="Times New Roman;sans-serif"/>
          <w:b w:val="false"/>
          <w:color w:val="000000"/>
          <w:sz w:val="20"/>
        </w:rPr>
        <w:t>in the first quarter of 2024. We expect content licensing revenues to vary in 2025 based on the timing and availability of our programming to distributors.</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technical and operating expenses are primarily content expenses, which include the amortization of program rights, such as those for original programming, feature films and licensed series, and participation and residual costs. Technical and operating expenses also include other direct programming costs, such as distribution and production related costs and program delivery costs, such as transmission, encryption, hosting, and formatting.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significant changes in the level of our technical and operating expenses due to original programming costs and/or content acquisition costs. As competition for programming increases, costs for content acquisition and original programming are expected to increase.</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decreased 2.9% in our Domestic Operations segment primarily due to lower program rights amortization. Technical and operating expenses (excluding depreciation and amortization) increased 4.4% in our International segment primarily due to higher content expenses, primarily driven by increased program investment.</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selling, general and administrative expenses primarily include sales, marketing, research and advertising expenses, employee related costs and costs of non-production facilities.</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and may continue to be significant changes in the level of our selling, general and administrative expenses due to the timing of promotions and marketing of original programming series. </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7.4% in our Domestic Operations segment primarily due to higher employee related costs and higher marketing expenses. Selling, general and administrative expenses decreased 12.6% in our International segment primarily due to a decrease in corporate overhead costs allocated to AMCNI and lower selling expenses, including commissions, partially offset by higher marketing expenses.</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excluding share-based compensation, also consist of unallocated executive management and administrative support services, such as executive salaries and benefits costs, costs of maintaining corporate headquarters, facilities and common support functions. Unallocated corporate overhead costs increased 11.4% to $29.3 million primarily due to higher employee related costs, including higher bonus and severance expenses.</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Restructuring and other related charges</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shd w:fill="FFFFFF" w:val="clear"/>
        </w:rPr>
        <w:t xml:space="preserve">Restructuring and other related charges were </w:t>
      </w:r>
      <w:r>
        <w:rPr>
          <w:rFonts w:ascii="Times New Roman;sans-serif" w:hAnsi="Times New Roman;sans-serif"/>
          <w:b w:val="false"/>
          <w:color w:val="000000"/>
          <w:sz w:val="20"/>
        </w:rPr>
        <w:t>$4.8 million</w:t>
      </w:r>
      <w:r>
        <w:rPr>
          <w:color w:val="000000"/>
          <w:shd w:fill="FFFFFF" w:val="clear"/>
        </w:rPr>
        <w:t xml:space="preserve"> </w:t>
      </w:r>
      <w:r>
        <w:rPr>
          <w:rFonts w:ascii="Times New Roman;sans-serif" w:hAnsi="Times New Roman;sans-serif"/>
          <w:b w:val="false"/>
          <w:color w:val="000000"/>
          <w:sz w:val="20"/>
          <w:shd w:fill="FFFFFF" w:val="clear"/>
        </w:rPr>
        <w:t>for t</w:t>
      </w:r>
      <w:r>
        <w:rPr>
          <w:rFonts w:ascii="Times New Roman;sans-serif" w:hAnsi="Times New Roman;sans-serif"/>
          <w:b w:val="false"/>
          <w:color w:val="000000"/>
          <w:sz w:val="20"/>
        </w:rPr>
        <w:t xml:space="preserve">he three months ended March 31, 2025, primarily related to the planned wind-down of a U.K. joint venture in our International segment. Additionally, we commenced a restructuring plan related to our International segment (the “AMCNI Plan”) designed to achieve cost reductions and streamline operations in Southern Europe, including channel re-branding and a reduction of workforce. </w:t>
      </w:r>
      <w:r>
        <w:rPr>
          <w:rFonts w:ascii="Times New Roman;sans-serif" w:hAnsi="Times New Roman;sans-serif"/>
          <w:b w:val="false"/>
          <w:color w:val="000000"/>
          <w:sz w:val="20"/>
          <w:shd w:fill="FFFFFF" w:val="clear"/>
        </w:rPr>
        <w:t>The Company estimates it will incur approximately $5.0 million of additional restructuring charges in connection with the AMCNI Plan, which is expected to be substantially completed by the end of 2025.</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shd w:fill="FFFFFF" w:val="clear"/>
        </w:rPr>
        <w:t xml:space="preserve">There were no restructuring and other related charges for the three months ended </w:t>
      </w:r>
      <w:r>
        <w:rPr>
          <w:rFonts w:ascii="Times New Roman;sans-serif" w:hAnsi="Times New Roman;sans-serif"/>
          <w:b w:val="false"/>
          <w:color w:val="000000"/>
          <w:sz w:val="20"/>
        </w:rPr>
        <w:t>March 31, 2024.</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Operating income</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operating income was primarily attributable to a $41.2 million decrease in revenues,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expense</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expense was primarily due to an increase in average interest rates associated with the April 2024 issuance of the Company's 10.25% Senior Secured Notes due 2029 to refinance the Company's 4.75% Senior Notes due 2025, partially offset by the impact of a lower outstanding balance under our Term Loan A Facility.</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Interest income</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interest income was primarily attributable to lower interest income recognized in connection with our long-term content licensing receivables. </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Miscellaneous, net </w:t>
      </w:r>
    </w:p>
    <w:p>
      <w:pPr>
        <w:pStyle w:val="TextBody"/>
        <w:bidi w:val="0"/>
        <w:spacing w:lineRule="auto" w:line="276"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miscellaneous, net was primarily related to the impact of foreign currency fluctuations and higher net earnings of equity method investees.</w:t>
      </w:r>
    </w:p>
    <w:p>
      <w:pPr>
        <w:pStyle w:val="TextBody"/>
        <w:bidi w:val="0"/>
        <w:spacing w:lineRule="auto" w:line="268" w:before="24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Income tax expense</w:t>
      </w:r>
    </w:p>
    <w:p>
      <w:pPr>
        <w:pStyle w:val="TextBody"/>
        <w:bidi w:val="0"/>
        <w:spacing w:lineRule="auto" w:line="26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and 2024, income tax expense was $15.0 million and $23.6 million, respectively, representing an effective rate of 40% and 29%, respectively, as compared to the federal statutory rate of 21%. The effective rate differed from the federal statutory rate in both periods primarily due to state and local income tax expense, tax expense related to non-deductible compensation, tax expense for shortfalls related to share-based compensation and tax expense for an increase in the valuation allowance for foreign tax credits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Segment Results of Operations</w:t>
      </w:r>
    </w:p>
    <w:p>
      <w:pPr>
        <w:pStyle w:val="TextBody"/>
        <w:bidi w:val="0"/>
        <w:spacing w:lineRule="auto" w:line="276"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segment operating results are presented based on how we assess operating performance and internally report financial information. We use segment adjusted operating income as the measure of profit or loss for our operating segments. See the "Non-GAAP Financial Measures" section below for our definition of Adjusted Operating Income and a reconciliation from Operating Income to Adjusted Operating Income on a consolidated basis. The segment financial information set forth below, including the discussion related to individual line items, does not reflect inter-segment eliminations unless specifically indicated.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Domestic Operations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Domestic Operations segment results for the periods indicated.</w:t>
      </w:r>
    </w:p>
    <w:tbl>
      <w:tblPr>
        <w:tblW w:w="10205" w:type="dxa"/>
        <w:jc w:val="left"/>
        <w:tblInd w:w="0" w:type="dxa"/>
        <w:tblLayout w:type="fixed"/>
        <w:tblCellMar>
          <w:top w:w="28" w:type="dxa"/>
          <w:left w:w="28" w:type="dxa"/>
          <w:bottom w:w="28" w:type="dxa"/>
          <w:right w:w="28" w:type="dxa"/>
        </w:tblCellMar>
      </w:tblPr>
      <w:tblGrid>
        <w:gridCol w:w="1688"/>
        <w:gridCol w:w="1359"/>
        <w:gridCol w:w="1293"/>
        <w:gridCol w:w="114"/>
        <w:gridCol w:w="114"/>
        <w:gridCol w:w="330"/>
        <w:gridCol w:w="330"/>
        <w:gridCol w:w="330"/>
        <w:gridCol w:w="306"/>
        <w:gridCol w:w="308"/>
        <w:gridCol w:w="211"/>
        <w:gridCol w:w="826"/>
        <w:gridCol w:w="109"/>
        <w:gridCol w:w="109"/>
        <w:gridCol w:w="109"/>
        <w:gridCol w:w="109"/>
        <w:gridCol w:w="211"/>
        <w:gridCol w:w="826"/>
        <w:gridCol w:w="109"/>
        <w:gridCol w:w="109"/>
        <w:gridCol w:w="109"/>
        <w:gridCol w:w="109"/>
        <w:gridCol w:w="109"/>
        <w:gridCol w:w="276"/>
        <w:gridCol w:w="279"/>
        <w:gridCol w:w="423"/>
      </w:tblGrid>
      <w:tr>
        <w:trPr/>
        <w:tc>
          <w:tcPr>
            <w:tcW w:w="168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43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4033" w:type="dxa"/>
            <w:gridSpan w:val="16"/>
            <w:tcBorders/>
          </w:tcPr>
          <w:p>
            <w:pPr>
              <w:pStyle w:val="TableContents"/>
              <w:bidi w:val="0"/>
              <w:spacing w:before="0" w:after="283"/>
              <w:jc w:val="left"/>
              <w:rPr>
                <w:sz w:val="4"/>
                <w:szCs w:val="4"/>
              </w:rPr>
            </w:pPr>
            <w:r>
              <w:rPr>
                <w:sz w:val="4"/>
                <w:szCs w:val="4"/>
              </w:rPr>
            </w:r>
          </w:p>
        </w:tc>
      </w:tr>
      <w:tr>
        <w:trPr/>
        <w:tc>
          <w:tcPr>
            <w:tcW w:w="4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Technical and operating expenses (excluding depreciation and amortization)</w:t>
            </w:r>
            <w:r>
              <w:rPr>
                <w:rFonts w:ascii="Times New Roman;sans-serif" w:hAnsi="Times New Roman;sans-serif"/>
                <w:b w:val="false"/>
                <w:color w:val="000000"/>
                <w:sz w:val="13"/>
              </w:rPr>
              <w:t>(a)</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(b)</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Majority-owned equity investees AOI</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60.2 </w:t>
            </w:r>
          </w:p>
        </w:tc>
        <w:tc>
          <w:tcPr>
            <w:tcW w:w="4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558"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Technical and operating expenses exclude cloud computing amortization</w:t>
            </w:r>
          </w:p>
        </w:tc>
        <w:tc>
          <w:tcPr>
            <w:tcW w:w="4647" w:type="dxa"/>
            <w:gridSpan w:val="18"/>
            <w:tcBorders/>
          </w:tcPr>
          <w:p>
            <w:pPr>
              <w:pStyle w:val="TableContents"/>
              <w:bidi w:val="0"/>
              <w:spacing w:before="0" w:after="283"/>
              <w:jc w:val="left"/>
              <w:rPr>
                <w:sz w:val="4"/>
                <w:szCs w:val="4"/>
              </w:rPr>
            </w:pPr>
            <w:r>
              <w:rPr>
                <w:sz w:val="4"/>
                <w:szCs w:val="4"/>
              </w:rPr>
            </w:r>
          </w:p>
        </w:tc>
      </w:tr>
      <w:tr>
        <w:trPr/>
        <w:tc>
          <w:tcPr>
            <w:tcW w:w="5558"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 Selling, general and administrative expenses exclude share-based compensation expenses and cloud computing amortization</w:t>
            </w:r>
          </w:p>
        </w:tc>
        <w:tc>
          <w:tcPr>
            <w:tcW w:w="4647"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Subscription revenues</w:t>
      </w:r>
      <w:r>
        <w:rPr>
          <w:color w:val="000000"/>
        </w:rPr>
        <w:t xml:space="preserve"> </w:t>
      </w:r>
      <w:r>
        <w:rPr>
          <w:rFonts w:ascii="Times New Roman;sans-serif" w:hAnsi="Times New Roman;sans-serif"/>
          <w:b w:val="false"/>
          <w:color w:val="000000"/>
          <w:sz w:val="20"/>
        </w:rPr>
        <w:t>decreased due to an 11.9% decline in affiliate revenues, partially offset by an 8.3% increase in streaming revenues. Affiliate revenues decreased primarily due to basic subscriber declines and, to a lesser extent, contractual rate decreases in connection with renewals. Streaming revenues increased primarily due to the impact of price increases across our services.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Revenues related to the Company's streaming services were $157.1 million and $145.1 million for the three months ended March 31, 2025 and 2024, respectively. Streaming subscribers were 10.2 million at March 31, 2025, the same level as March 31, 2024, and a reduction compared to 10.4 million streaming subscribers at December 31, 2024.</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Advertising revenues decreased primarily due to linear ratings declines.</w:t>
      </w:r>
    </w:p>
    <w:p>
      <w:pPr>
        <w:pStyle w:val="TextBody"/>
        <w:bidi w:val="0"/>
        <w:spacing w:lineRule="auto" w:line="288" w:before="120" w:after="180"/>
        <w:ind w:left="0" w:right="0" w:firstLine="450"/>
        <w:jc w:val="both"/>
        <w:rPr/>
      </w:pPr>
      <w:r>
        <w:rPr>
          <w:rFonts w:ascii="Times New Roman;sans-serif" w:hAnsi="Times New Roman;sans-serif"/>
          <w:b w:val="false"/>
          <w:color w:val="000000"/>
          <w:sz w:val="20"/>
          <w:shd w:fill="FFFFFF" w:val="clear"/>
        </w:rPr>
        <w:t>Content licensing and other revenues</w:t>
      </w:r>
      <w:r>
        <w:rPr>
          <w:color w:val="000000"/>
        </w:rPr>
        <w:t xml:space="preserve"> </w:t>
      </w:r>
      <w:r>
        <w:rPr>
          <w:rFonts w:ascii="Times New Roman;sans-serif" w:hAnsi="Times New Roman;sans-serif"/>
          <w:b w:val="false"/>
          <w:color w:val="000000"/>
          <w:sz w:val="20"/>
        </w:rPr>
        <w:t xml:space="preserve">decreased due to the availability of deliveries in the period, including the prior year beneficial impact associated with the sale of our rights and interests to </w:t>
      </w:r>
      <w:r>
        <w:rPr>
          <w:rFonts w:ascii="Times New Roman;sans-serif" w:hAnsi="Times New Roman;sans-serif"/>
          <w:b w:val="false"/>
          <w:i/>
          <w:color w:val="000000"/>
          <w:sz w:val="20"/>
        </w:rPr>
        <w:t xml:space="preserve">Killing Eve </w:t>
      </w:r>
      <w:r>
        <w:rPr>
          <w:rFonts w:ascii="Times New Roman;sans-serif" w:hAnsi="Times New Roman;sans-serif"/>
          <w:b w:val="false"/>
          <w:color w:val="000000"/>
          <w:sz w:val="20"/>
        </w:rPr>
        <w:t>in the first quarter of 2024.</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88"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Technical and operating expenses (excluding depreciation and amortization) decreased primarily due to lower program rights amortization. </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88"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primarily due to higher employee related costs and higher marketing expenses driven by increased paid media spend for AMC+ and Acorn.</w:t>
      </w:r>
    </w:p>
    <w:p>
      <w:pPr>
        <w:pStyle w:val="TextBody"/>
        <w:bidi w:val="0"/>
        <w:spacing w:lineRule="auto" w:line="28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attributable to the continued revenue headwinds in our linear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120"/>
        <w:jc w:val="both"/>
        <w:rPr>
          <w:rFonts w:ascii="Times New Roman;sans-serif" w:hAnsi="Times New Roman;sans-serif"/>
          <w:b/>
          <w:color w:val="000000"/>
          <w:sz w:val="20"/>
        </w:rPr>
      </w:pPr>
      <w:r>
        <w:rPr>
          <w:rFonts w:ascii="Times New Roman;sans-serif" w:hAnsi="Times New Roman;sans-serif"/>
          <w:b/>
          <w:color w:val="000000"/>
          <w:sz w:val="20"/>
        </w:rPr>
        <w:t>International</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International segment results for the periods indicated.</w:t>
      </w:r>
    </w:p>
    <w:tbl>
      <w:tblPr>
        <w:tblW w:w="10205" w:type="dxa"/>
        <w:jc w:val="left"/>
        <w:tblInd w:w="0" w:type="dxa"/>
        <w:tblLayout w:type="fixed"/>
        <w:tblCellMar>
          <w:top w:w="28" w:type="dxa"/>
          <w:left w:w="28" w:type="dxa"/>
          <w:bottom w:w="28" w:type="dxa"/>
          <w:right w:w="28" w:type="dxa"/>
        </w:tblCellMar>
      </w:tblPr>
      <w:tblGrid>
        <w:gridCol w:w="1656"/>
        <w:gridCol w:w="1411"/>
        <w:gridCol w:w="1361"/>
        <w:gridCol w:w="109"/>
        <w:gridCol w:w="109"/>
        <w:gridCol w:w="345"/>
        <w:gridCol w:w="345"/>
        <w:gridCol w:w="345"/>
        <w:gridCol w:w="345"/>
        <w:gridCol w:w="347"/>
        <w:gridCol w:w="211"/>
        <w:gridCol w:w="721"/>
        <w:gridCol w:w="109"/>
        <w:gridCol w:w="109"/>
        <w:gridCol w:w="109"/>
        <w:gridCol w:w="109"/>
        <w:gridCol w:w="211"/>
        <w:gridCol w:w="721"/>
        <w:gridCol w:w="109"/>
        <w:gridCol w:w="109"/>
        <w:gridCol w:w="109"/>
        <w:gridCol w:w="109"/>
        <w:gridCol w:w="109"/>
        <w:gridCol w:w="281"/>
        <w:gridCol w:w="281"/>
        <w:gridCol w:w="425"/>
      </w:tblGrid>
      <w:tr>
        <w:trPr/>
        <w:tc>
          <w:tcPr>
            <w:tcW w:w="16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832" w:type="dxa"/>
            <w:gridSpan w:val="16"/>
            <w:tcBorders/>
          </w:tcPr>
          <w:p>
            <w:pPr>
              <w:pStyle w:val="TableContents"/>
              <w:bidi w:val="0"/>
              <w:spacing w:before="0" w:after="283"/>
              <w:jc w:val="left"/>
              <w:rPr>
                <w:sz w:val="4"/>
                <w:szCs w:val="4"/>
              </w:rPr>
            </w:pPr>
            <w:r>
              <w:rPr>
                <w:sz w:val="4"/>
                <w:szCs w:val="4"/>
              </w:rPr>
            </w:r>
          </w:p>
        </w:tc>
      </w:tr>
      <w:tr>
        <w:trPr/>
        <w:tc>
          <w:tcPr>
            <w:tcW w:w="4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Subscription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licensing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Selling, general and administrative expenses</w:t>
            </w:r>
            <w:r>
              <w:rPr>
                <w:rFonts w:ascii="Times New Roman;sans-serif" w:hAnsi="Times New Roman;sans-serif"/>
                <w:b w:val="false"/>
                <w:color w:val="000000"/>
                <w:sz w:val="13"/>
              </w:rPr>
              <w: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44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681"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 Selling, general and administrative expenses exclude share-based compensation expenses</w:t>
            </w:r>
          </w:p>
        </w:tc>
        <w:tc>
          <w:tcPr>
            <w:tcW w:w="4524"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Revenues, net</w:t>
      </w:r>
    </w:p>
    <w:p>
      <w:pPr>
        <w:pStyle w:val="TextBody"/>
        <w:bidi w:val="0"/>
        <w:spacing w:lineRule="auto" w:line="268" w:before="120" w:after="120"/>
        <w:ind w:left="0" w:right="0" w:firstLine="450"/>
        <w:jc w:val="both"/>
        <w:rPr/>
      </w:pPr>
      <w:r>
        <w:rPr>
          <w:rFonts w:ascii="Times New Roman;sans-serif" w:hAnsi="Times New Roman;sans-serif"/>
          <w:b w:val="false"/>
          <w:color w:val="000000"/>
          <w:sz w:val="20"/>
          <w:shd w:fill="FFFFFF" w:val="clear"/>
        </w:rPr>
        <w:t>Subscription revenues de</w:t>
      </w:r>
      <w:r>
        <w:rPr>
          <w:rFonts w:ascii="Times New Roman;sans-serif" w:hAnsi="Times New Roman;sans-serif"/>
          <w:b w:val="false"/>
          <w:color w:val="000000"/>
          <w:sz w:val="20"/>
        </w:rPr>
        <w:t>creased primarily due to the non-renewal of a distribution agreement in Spain in the fourth quarter of 2024.</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Advertising revenues increased due to increased ratings and advertising growth in the United Kingdom, including digital and advanced advertising growth, partially offset by lower advertising revenues across our other European markets. </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Technical and operating expenses (excluding depreciation and amortization)</w:t>
      </w:r>
    </w:p>
    <w:p>
      <w:pPr>
        <w:pStyle w:val="TextBody"/>
        <w:bidi w:val="0"/>
        <w:spacing w:lineRule="auto" w:line="276"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Technical and operating expenses (excluding depreciation and amortization) increased primarily due to higher content expenses, primarily driven by increased program investment.</w:t>
      </w:r>
    </w:p>
    <w:p>
      <w:pPr>
        <w:pStyle w:val="TextBody"/>
        <w:bidi w:val="0"/>
        <w:spacing w:lineRule="auto" w:line="268"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Selling, general and administrative expenses</w:t>
      </w:r>
    </w:p>
    <w:p>
      <w:pPr>
        <w:pStyle w:val="TextBody"/>
        <w:bidi w:val="0"/>
        <w:spacing w:lineRule="auto" w:line="288"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primarily due to a decrease in corporate overhead costs allocated to AMCNI and lower selling expenses, including commissions, partially offset by higher marketing expenses.</w:t>
      </w:r>
    </w:p>
    <w:p>
      <w:pPr>
        <w:pStyle w:val="TextBody"/>
        <w:bidi w:val="0"/>
        <w:spacing w:lineRule="auto" w:line="276" w:before="120" w:after="12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Segment adjusted operating income</w:t>
      </w:r>
    </w:p>
    <w:p>
      <w:pPr>
        <w:pStyle w:val="TextBody"/>
        <w:bidi w:val="0"/>
        <w:spacing w:lineRule="auto" w:line="276"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segment adjusted operating income was primarily due to the impact of the non-renewal of a distribution agreement in Spain in the fourth quarter of 2024.</w:t>
      </w:r>
    </w:p>
    <w:p>
      <w:pPr>
        <w:pStyle w:val="TextBody"/>
        <w:bidi w:val="0"/>
        <w:spacing w:before="12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typically generate positive net cash flow from operating activities. However, each of our programming businesses has substantial programming acquisition and production expenditure requirements.</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cash and cash equivalents balance of $870.2 million included approximately $121.4 million held by foreign subsidiaries. Of this amount, approximately $8.0 million is expected to be repatriated to the United States with the remaining amount continuing to be reinvested in foreign operations. Tax expense related to the expected repatriation amount has been accrued in prior periods and we do not expect to incur any significant, additional taxes related to the remaining balance.</w:t>
      </w:r>
    </w:p>
    <w:p>
      <w:pPr>
        <w:pStyle w:val="TextBody"/>
        <w:bidi w:val="0"/>
        <w:spacing w:lineRule="auto" w:line="288"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 of cash typically includes cash flow from operations. Sources of cash also include amounts available under our revolving credit facility and, subject to market conditions, access to capital and credit markets. The revolving credit facility was not drawn upon at March 31, 2025. The total undrawn revolver commitment is available to be drawn for our general corporate purposes. Although we currently believe that amounts available under our revolving credit facility will be available when and if needed, we can provide no assurance that access to such funds will not be impacted by adverse conditions in the financial markets. The obligations of the financial institutions under our revolving credit facility are several and not joint and, as a result, a funding default by one or more institutions does not need to be made up by the others. As a public company, we may have access to capital and credit markets, although adverse conditions in the financial markets have in the past impacted, and are expected in the future to impact, access to those markets.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a combination of cash-on-hand, cash generated from operating activities, availability under our revolving credit facility and our accounts receivable monetization program, borrowings under additional financing facilities and proceeds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the issuance of new debt, will provide sufficient liquidity to service the principal and interest payments on our indebtedness, along with our other funding and investment requirements over the next twelve months and over the longer term. However, we do not expect to generate sufficient cash from operations to repay the entirety of the outstanding balances of our debt at the applicable maturity dates. As a result, we will be dependent upon our ability to access the capital and credit markets in order to repay, refinance, repurchase through privately negotiated transactions, open market repurchases, tender offers or otherwise or redeem the outstanding balances of our indebtedness.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credit agreement (as amended the "Credit Agreement") generally requires AMC Networks Inc. and its restricted subsidiaries on a consolidated basis to comply with a maximum total net leverage ratio of 5.75:1.00 from April 9, 2024 through March 31, 2026, after which the maximum total net leverage ratio changes to 5.50:1.00. As of March 31, 2025, the total net leverage ratio was approximately 4.34:1.00. In addition, the Credit Agreement requires a minimum interest coverage ratio of 2.00:1.00 for AMC Networks Inc. and its restricted subsidiaries on a consolidated basis until September 30, 2026, after which the minimum interest coverage ratio changes to 2.25:1.00. As of March 31, 2025, the interest coverage ratio was approximately 2.64:1.00. All borrowings under the Credit Agreement are subject to the satisfaction of customary conditions, including the absence of a default and accuracy of representations and warranties.</w:t>
      </w:r>
    </w:p>
    <w:p>
      <w:pPr>
        <w:pStyle w:val="TextBody"/>
        <w:bidi w:val="0"/>
        <w:spacing w:lineRule="auto" w:line="288" w:before="12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AMC Networks was in compliance with all of its debt covenants as of March 31, 2025.</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raise significant amounts of funding to repay our outstanding debt obligations at their respective maturity dates would adversely affect our business. In such a circumstance, we would need to take other actions including selling assets, seeking strategic investments from third parties or reducing other discretionary uses of cash. For information relating to our outstanding debt obligations, refer to Item 7, "Management's Discussion and Analysis of Financial Condition and Results of Operations - Debt Financing Agreements" of our 2024 Form 10-K. In addition, economic or market disruptions could lead to lower demand for our services, such as loss of subscribers and lower levels of advertising. These events would adversely impact our results of operations, cash flows and financial position.</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2025, the Company repurchased $31.6 million principal amount of its 4.25% Senior Notes due February 2029 through open market repurchases, at a discount of $9.3 million, and retired the repurchased notes. In May 2025, the Company voluntarily prepaid $20.0 million of borrowings under the Term Loan A Facility.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authorized a program to repurchase up to $1.5 billion of our outstanding shares of Class A Common Stock (the "Stock Repurchase Program"). The Stock Repurchase Program has no pre-established termination date and may be suspended or discontinued at any time. For the three months ended March 31, 2025, we did not repurchase any of our Class A Common Stock. As of March 31, 2025, we had $135.3 million of authorization remaining for repurchase under the Stock Repurchase Program.</w:t>
      </w:r>
    </w:p>
    <w:p>
      <w:pPr>
        <w:pStyle w:val="TextBody"/>
        <w:bidi w:val="0"/>
        <w:spacing w:lineRule="auto" w:line="288" w:before="120" w:after="120"/>
        <w:ind w:left="0" w:right="0" w:firstLine="450"/>
        <w:jc w:val="both"/>
        <w:rPr>
          <w:rFonts w:ascii="Times New Roman;sans-serif" w:hAnsi="Times New Roman;sans-serif"/>
          <w:b/>
          <w:color w:val="000000"/>
          <w:sz w:val="20"/>
        </w:rPr>
      </w:pPr>
      <w:r>
        <w:rPr>
          <w:rFonts w:ascii="Times New Roman;sans-serif" w:hAnsi="Times New Roman;sans-serif"/>
          <w:b/>
          <w:color w:val="000000"/>
          <w:sz w:val="20"/>
        </w:rPr>
        <w:t>Cash Flow Discussion</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cash flows provided by (used in) operating, investing and financing activities for the periods indicated:</w:t>
      </w:r>
    </w:p>
    <w:tbl>
      <w:tblPr>
        <w:tblW w:w="7449" w:type="dxa"/>
        <w:jc w:val="left"/>
        <w:tblInd w:w="0" w:type="dxa"/>
        <w:tblLayout w:type="fixed"/>
        <w:tblCellMar>
          <w:top w:w="28" w:type="dxa"/>
          <w:left w:w="28" w:type="dxa"/>
          <w:bottom w:w="28" w:type="dxa"/>
          <w:right w:w="28" w:type="dxa"/>
        </w:tblCellMar>
      </w:tblPr>
      <w:tblGrid>
        <w:gridCol w:w="1729"/>
        <w:gridCol w:w="1526"/>
        <w:gridCol w:w="1530"/>
        <w:gridCol w:w="211"/>
        <w:gridCol w:w="826"/>
        <w:gridCol w:w="109"/>
        <w:gridCol w:w="109"/>
        <w:gridCol w:w="109"/>
        <w:gridCol w:w="109"/>
        <w:gridCol w:w="211"/>
        <w:gridCol w:w="82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85"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 from operations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Net cash provided by operating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amounted to </w:t>
      </w:r>
      <w:r>
        <w:rPr>
          <w:rFonts w:ascii="Times New Roman;sans-serif" w:hAnsi="Times New Roman;sans-serif"/>
          <w:b w:val="false"/>
          <w:color w:val="000000"/>
          <w:sz w:val="20"/>
        </w:rPr>
        <w:t>$108.8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$150.9 million</w:t>
      </w:r>
      <w:r>
        <w:rPr>
          <w:rFonts w:ascii="Times New Roman;sans-serif" w:hAnsi="Times New Roman;sans-serif"/>
          <w:b w:val="false"/>
          <w:color w:val="000000"/>
          <w:sz w:val="20"/>
          <w:shd w:fill="FFFFFF" w:val="clear"/>
        </w:rPr>
        <w:t xml:space="preserve">, respectively.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2025, net cash provided by operating activities primarily resulted from $241.1 million of net income before amortization of program rights, depreciation and amortization, and other non-cash items, partially offset by payments for program rights of $169.6 million. Changes in all other assets and liabilities resulted in a net cash inflow of $37.3 million.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provided by operating activities primarily resulted from $294.8 million of net income before amortization of program rights, depreciation and amortization, and other non-cash items, partially offset by payments for program rights of $193.0 million. Changes in all other assets and liabilities resulted in a net cash inflow of $49.1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Net cash used in investing activities </w:t>
      </w:r>
      <w:r>
        <w:rPr>
          <w:rFonts w:ascii="Times New Roman;sans-serif" w:hAnsi="Times New Roman;sans-serif"/>
          <w:b w:val="false"/>
          <w:color w:val="000000"/>
          <w:sz w:val="20"/>
        </w:rPr>
        <w:t>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amounted to </w:t>
      </w:r>
      <w:r>
        <w:rPr>
          <w:rFonts w:ascii="Times New Roman;sans-serif" w:hAnsi="Times New Roman;sans-serif"/>
          <w:b w:val="false"/>
          <w:color w:val="000000"/>
          <w:sz w:val="20"/>
        </w:rPr>
        <w:t>$14.6 million and $2.8 million, respectively, and primarily consisted of capital expenditures.</w:t>
      </w:r>
    </w:p>
    <w:p>
      <w:pPr>
        <w:pStyle w:val="TextBody"/>
        <w:bidi w:val="0"/>
        <w:spacing w:lineRule="auto" w:line="288" w:before="12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Net cash used in financing activities f</w:t>
      </w:r>
      <w:r>
        <w:rPr>
          <w:rFonts w:ascii="Times New Roman;sans-serif" w:hAnsi="Times New Roman;sans-serif"/>
          <w:b w:val="false"/>
          <w:color w:val="000000"/>
          <w:sz w:val="20"/>
          <w:shd w:fill="FFFFFF" w:val="clear"/>
        </w:rPr>
        <w:t xml:space="preserve">or the </w:t>
      </w:r>
      <w:r>
        <w:rPr>
          <w:rFonts w:ascii="Times New Roman;sans-serif" w:hAnsi="Times New Roman;sans-serif"/>
          <w:b w:val="false"/>
          <w:color w:val="000000"/>
          <w:sz w:val="20"/>
        </w:rPr>
        <w:t>three months ended March 31, 2025</w:t>
      </w:r>
      <w:r>
        <w:rPr>
          <w:color w:val="000000"/>
          <w:shd w:fill="FFFFFF" w:val="clear"/>
        </w:rPr>
        <w:t xml:space="preserve"> </w:t>
      </w:r>
      <w:r>
        <w:rPr>
          <w:rFonts w:ascii="Times New Roman;sans-serif" w:hAnsi="Times New Roman;sans-serif"/>
          <w:b w:val="false"/>
          <w:color w:val="000000"/>
          <w:sz w:val="20"/>
          <w:shd w:fill="FFFFFF" w:val="clear"/>
        </w:rPr>
        <w:t xml:space="preserve">and 2024 amounted to </w:t>
      </w:r>
      <w:r>
        <w:rPr>
          <w:rFonts w:ascii="Times New Roman;sans-serif" w:hAnsi="Times New Roman;sans-serif"/>
          <w:b w:val="false"/>
          <w:color w:val="000000"/>
          <w:sz w:val="20"/>
        </w:rPr>
        <w:t>$13.0 million and $23.1 million, respectively.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net cash used in financing activities primarily related to principal payments on the Term Loan A Facility of $8.1 million and taxes paid in lieu of shares issued for equity-based compensation of $3.7 million.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net cash used in financing activities primarily consisted of principal payments on the Term Loan A Facility of $16.9 million and taxes paid in lieu of shares issued for equity-based compensation of $4.0 million.</w:t>
      </w:r>
    </w:p>
    <w:p>
      <w:pPr>
        <w:pStyle w:val="TextBody"/>
        <w:bidi w:val="0"/>
        <w:spacing w:lineRule="auto" w:line="276"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our contractual obligations not reflected on the condensed consolidated balance sheets decreased $34.5 million, as compared to December 31, 2024, to $560.8 million. The decrease was primarily related to payments for program rights.</w:t>
      </w:r>
    </w:p>
    <w:p>
      <w:pPr>
        <w:pStyle w:val="TextBody"/>
        <w:bidi w:val="0"/>
        <w:spacing w:lineRule="auto" w:line="288" w:before="120" w:after="120"/>
        <w:ind w:left="0" w:right="0" w:firstLine="495"/>
        <w:jc w:val="both"/>
        <w:rPr>
          <w:rFonts w:ascii="Times New Roman;sans-serif" w:hAnsi="Times New Roman;sans-serif"/>
          <w:b/>
          <w:color w:val="000000"/>
          <w:sz w:val="20"/>
        </w:rPr>
      </w:pPr>
      <w:r>
        <w:rPr>
          <w:rFonts w:ascii="Times New Roman;sans-serif" w:hAnsi="Times New Roman;sans-serif"/>
          <w:b/>
          <w:color w:val="000000"/>
          <w:sz w:val="20"/>
        </w:rPr>
        <w:t>Supplemental Guarantor Financial Information</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description of the terms and conditions of the guarantees with respect to the notes outstanding as of March 31, 2025 for which AMC Networks is the issuer. </w:t>
      </w:r>
    </w:p>
    <w:p>
      <w:pPr>
        <w:pStyle w:val="TextBody"/>
        <w:bidi w:val="0"/>
        <w:spacing w:lineRule="auto" w:line="288" w:before="12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Note Guarantees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Debt of AMC Networks as of March 31, 2025 included $875.0 million of 10.25% Senior Secured Notes due 2029, $985.0 million of 4.25% Senior Notes due 2029, and $143.8 million of 4.25% Convertible Senior Notes due 2029 (collectively, the “notes”). The notes were issued by AMC Networks and are unconditionally guaranteed, jointly and severally, on an unsecured basis, by each of AMC Networks’ existing and future domestic restricted subsidiaries, subject to certain exceptions (each, a “Guarantor Subsidiary,” and collectively, the “Guarantor Subsidiaries”). The obligations of each Guarantor Subsidiary under its note guarantee are limited as necessary to prevent such note guarantee from constituting a fraudulent conveyance under applicable law. A guarantee of the notes by a Guarantor Subsidiary is subject to release in the following circumstances: (i) any sale or other disposition of all of the capital stock of a Guarantor Subsidiary to a person that is not (either before or after giving effect to such transaction) a restricted subsidiary, in compliance with the terms of the applicable indenture; (ii) the designation of a restricted subsidiary as an “Unrestricted Subsidiary” under the applicable indenture; or (iii) the release or discharge of the guarantee (including the guarantee under the AMC Networks’ credit agreement) which resulted in the creation of the note guarantee (provided that such Guarantor Subsidiary does not have any preferred stock outstanding at such time that is not held by AMC Networks or another Guarantor Subsidiary).</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subsidiaries of AMC Networks do not and will not guarantee the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summarized financial information specified in Rule 1-02(bb)(1) of Regulation S-X for AMC Networks and each Guarantor Subsidiary. The summarized financial information has been prepared in accordance with Rule 13-01 of Regulation S-X.</w:t>
      </w:r>
    </w:p>
    <w:p>
      <w:pPr>
        <w:pStyle w:val="TextBody"/>
        <w:bidi w:val="0"/>
        <w:spacing w:lineRule="auto" w:line="288" w:before="120" w:after="120"/>
        <w:ind w:left="0" w:right="0" w:firstLine="450"/>
        <w:jc w:val="both"/>
        <w:rPr>
          <w:rFonts w:ascii="Times New Roman;sans-serif" w:hAnsi="Times New Roman;sans-serif"/>
          <w:b w:val="false"/>
          <w:i/>
          <w:color w:val="000000"/>
          <w:sz w:val="20"/>
        </w:rPr>
      </w:pPr>
      <w:r>
        <w:rPr>
          <w:rFonts w:ascii="Times New Roman;sans-serif" w:hAnsi="Times New Roman;sans-serif"/>
          <w:b w:val="false"/>
          <w:i/>
          <w:color w:val="000000"/>
          <w:sz w:val="20"/>
        </w:rPr>
        <w:t>Summarized Financial Information</w:t>
      </w:r>
    </w:p>
    <w:tbl>
      <w:tblPr>
        <w:tblW w:w="10205" w:type="dxa"/>
        <w:jc w:val="left"/>
        <w:tblInd w:w="0" w:type="dxa"/>
        <w:tblLayout w:type="fixed"/>
        <w:tblCellMar>
          <w:top w:w="28" w:type="dxa"/>
          <w:left w:w="28" w:type="dxa"/>
          <w:bottom w:w="28" w:type="dxa"/>
          <w:right w:w="28" w:type="dxa"/>
        </w:tblCellMar>
      </w:tblPr>
      <w:tblGrid>
        <w:gridCol w:w="862"/>
        <w:gridCol w:w="757"/>
        <w:gridCol w:w="760"/>
        <w:gridCol w:w="287"/>
        <w:gridCol w:w="987"/>
        <w:gridCol w:w="147"/>
        <w:gridCol w:w="128"/>
        <w:gridCol w:w="128"/>
        <w:gridCol w:w="128"/>
        <w:gridCol w:w="352"/>
        <w:gridCol w:w="1382"/>
        <w:gridCol w:w="181"/>
        <w:gridCol w:w="109"/>
        <w:gridCol w:w="109"/>
        <w:gridCol w:w="109"/>
        <w:gridCol w:w="287"/>
        <w:gridCol w:w="987"/>
        <w:gridCol w:w="148"/>
        <w:gridCol w:w="128"/>
        <w:gridCol w:w="128"/>
        <w:gridCol w:w="128"/>
        <w:gridCol w:w="346"/>
        <w:gridCol w:w="1362"/>
        <w:gridCol w:w="265"/>
      </w:tblGrid>
      <w:tr>
        <w:trPr/>
        <w:tc>
          <w:tcPr>
            <w:tcW w:w="86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Statement</w:t>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7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379"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424,106 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363,273 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347,277 </w:t>
            </w:r>
          </w:p>
        </w:tc>
        <w:tc>
          <w:tcPr>
            <w:tcW w:w="2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63,487 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76,829 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29,845 </w:t>
            </w:r>
          </w:p>
        </w:tc>
        <w:tc>
          <w:tcPr>
            <w:tcW w:w="14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74,732 </w:t>
            </w:r>
          </w:p>
        </w:tc>
        <w:tc>
          <w:tcPr>
            <w:tcW w:w="181"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63,503 </w:t>
            </w:r>
          </w:p>
        </w:tc>
        <w:tc>
          <w:tcPr>
            <w:tcW w:w="14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100,171 </w:t>
            </w:r>
          </w:p>
        </w:tc>
        <w:tc>
          <w:tcPr>
            <w:tcW w:w="265"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96,145 </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934"/>
        <w:gridCol w:w="818"/>
        <w:gridCol w:w="818"/>
        <w:gridCol w:w="287"/>
        <w:gridCol w:w="977"/>
        <w:gridCol w:w="147"/>
        <w:gridCol w:w="109"/>
        <w:gridCol w:w="109"/>
        <w:gridCol w:w="109"/>
        <w:gridCol w:w="384"/>
        <w:gridCol w:w="1307"/>
        <w:gridCol w:w="198"/>
        <w:gridCol w:w="109"/>
        <w:gridCol w:w="109"/>
        <w:gridCol w:w="109"/>
        <w:gridCol w:w="287"/>
        <w:gridCol w:w="977"/>
        <w:gridCol w:w="147"/>
        <w:gridCol w:w="109"/>
        <w:gridCol w:w="109"/>
        <w:gridCol w:w="109"/>
        <w:gridCol w:w="375"/>
        <w:gridCol w:w="1283"/>
        <w:gridCol w:w="285"/>
      </w:tblGrid>
      <w:tr>
        <w:trPr/>
        <w:tc>
          <w:tcPr>
            <w:tcW w:w="934"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w:t>
            </w:r>
          </w:p>
        </w:tc>
        <w:tc>
          <w:tcPr>
            <w:tcW w:w="3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2024</w:t>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Parent Company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 Subsidiaries</w:t>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from subsidiaries</w:t>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82,342 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1,438,287 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1,386,554 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3,453,904 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2,644,261 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3,467,276 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2,718,427 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 and equity:</w:t>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due to subsidiaries</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80,983 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210,954 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473,637 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168,903 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473,418 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2,362,813 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2,474,505 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228,778 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describe our significant accounting policies in Note 2 to the Company's Consolidated Financial Statements included in our 2024 Form 10-K. There have been no significant changes in our significant accounting policies since December 31, 2024.</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discuss our critical accounting estimates in Item 7, "Management's Discussion and Analysis of Financial Condition and Results of Operations," in our 2024 Form 10-K. There have been no significant changes in our critical accounting estimates since December 31, 2024.</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Internally, we use AOI and Free Cash Flow as the most important indicators of our business performance, and evaluate management's effectiveness with specific reference to these indicators.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segment performance based on operating segment AOI. We define AOI, which is a financial measure that is not calculated in accordance with generally accepted accounting principles ("GAAP"), as operating income (loss) before share-based compensation expenses or benefit, depreciation and amortization, impairment and other charges (including gains or losses on sales or dispositions of businesses), restructuring and other related charges, cloud computing amortization and including the Company’s proportionate share of adjusted operating income (loss) from majority-owned equity method investees. From time to time, we may exclude the impact of certain events, gains, losses or other charges (such as significant legal settlements) from AOI that affect our operating performance. </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AOI is an appropriate measure for evaluating the operating performance on both an operating segment and consolidated basis. AOI and similar measures with similar titles are common performance measures used by investors, analysts and peers to compare performance in the industry. AOI should be viewed as a supplement to and not a substitute for operating income (loss), net income (loss), cash flows from operating activities and other measures of performance and/or liquidity presented in accordance with GAAP. Since AOI is not a measure of performance calculated in accordance with GAAP, this measure may not be comparable to similar measures with similar titles used by other companies.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operating income to AOI for the periods indicated:</w:t>
      </w:r>
    </w:p>
    <w:tbl>
      <w:tblPr>
        <w:tblW w:w="6835" w:type="dxa"/>
        <w:jc w:val="left"/>
        <w:tblInd w:w="0" w:type="dxa"/>
        <w:tblLayout w:type="fixed"/>
        <w:tblCellMar>
          <w:top w:w="28" w:type="dxa"/>
          <w:left w:w="28" w:type="dxa"/>
          <w:bottom w:w="28" w:type="dxa"/>
          <w:right w:w="28" w:type="dxa"/>
        </w:tblCellMar>
      </w:tblPr>
      <w:tblGrid>
        <w:gridCol w:w="1194"/>
        <w:gridCol w:w="1049"/>
        <w:gridCol w:w="1056"/>
        <w:gridCol w:w="109"/>
        <w:gridCol w:w="109"/>
        <w:gridCol w:w="109"/>
        <w:gridCol w:w="109"/>
        <w:gridCol w:w="109"/>
        <w:gridCol w:w="109"/>
        <w:gridCol w:w="109"/>
        <w:gridCol w:w="109"/>
        <w:gridCol w:w="211"/>
        <w:gridCol w:w="826"/>
        <w:gridCol w:w="109"/>
        <w:gridCol w:w="109"/>
        <w:gridCol w:w="109"/>
        <w:gridCol w:w="109"/>
        <w:gridCol w:w="211"/>
        <w:gridCol w:w="826"/>
        <w:gridCol w:w="154"/>
      </w:tblGrid>
      <w:tr>
        <w:trPr/>
        <w:tc>
          <w:tcPr>
            <w:tcW w:w="11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other related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Cloud computing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Majority owned equity investees AOI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We define Free Cash Flow, which is a non-GAAP financial measure, as net cash provided by operating activities less capital expenditures, all of which are reported in our Consolidated Statement of Cash Flows. </w:t>
      </w:r>
      <w:r>
        <w:rPr>
          <w:rFonts w:ascii="Times New Roman;sans-serif" w:hAnsi="Times New Roman;sans-serif"/>
          <w:b w:val="false"/>
          <w:color w:val="000000"/>
          <w:sz w:val="20"/>
          <w:shd w:fill="FFFFFF" w:val="clear"/>
        </w:rPr>
        <w:t xml:space="preserve">We believe the most comparable GAAP financial measure of our liquidity is net cash provided by operating activities. We believe that Free Cash Flow is useful as an indicator of our overall liquidity, as the amount of Free Cash Flow generated in any period is representative of cash that is available for debt repayment, investment, and other discretionary and non-discretionary cash uses. We also believe that Free Cash Flow is one of several benchmarks used by analysts and investors who follow the industry for comparison of our liquidity </w:t>
      </w:r>
      <w:r>
        <w:rPr>
          <w:rFonts w:ascii="Times New Roman;sans-serif" w:hAnsi="Times New Roman;sans-serif"/>
          <w:b w:val="false"/>
          <w:color w:val="000000"/>
          <w:sz w:val="20"/>
        </w:rPr>
        <w:t xml:space="preserve">with other companies in our industry, although our measure of Free Cash Flow may not be directly comparable to similar measures reported by other companies. </w:t>
      </w:r>
    </w:p>
    <w:p>
      <w:pPr>
        <w:pStyle w:val="TextBody"/>
        <w:bidi w:val="0"/>
        <w:spacing w:lineRule="auto" w:line="336" w:before="120" w:after="120"/>
        <w:ind w:left="0" w:right="0" w:firstLine="450"/>
        <w:jc w:val="both"/>
        <w:rPr/>
      </w:pPr>
      <w:r>
        <w:rPr>
          <w:rFonts w:ascii="Times New Roman;sans-serif" w:hAnsi="Times New Roman;sans-serif"/>
          <w:b w:val="false"/>
          <w:color w:val="000000"/>
          <w:sz w:val="20"/>
        </w:rPr>
        <w:t>The following is a reconciliation of</w:t>
      </w:r>
      <w:r>
        <w:rPr>
          <w:color w:val="000000"/>
          <w:shd w:fill="FFFFFF" w:val="clear"/>
        </w:rPr>
        <w:t xml:space="preserve"> </w:t>
      </w:r>
      <w:r>
        <w:rPr>
          <w:rFonts w:ascii="Times New Roman;sans-serif" w:hAnsi="Times New Roman;sans-serif"/>
          <w:b w:val="false"/>
          <w:color w:val="000000"/>
          <w:sz w:val="20"/>
          <w:shd w:fill="FFFFFF" w:val="clear"/>
        </w:rPr>
        <w:t>net cash provided by operating activities</w:t>
      </w:r>
      <w:r>
        <w:rPr>
          <w:color w:val="000000"/>
        </w:rPr>
        <w:t xml:space="preserve"> </w:t>
      </w:r>
      <w:r>
        <w:rPr>
          <w:rFonts w:ascii="Times New Roman;sans-serif" w:hAnsi="Times New Roman;sans-serif"/>
          <w:b w:val="false"/>
          <w:color w:val="000000"/>
          <w:sz w:val="20"/>
        </w:rPr>
        <w:t>to Free Cash Flow for the periods indicated:</w:t>
      </w:r>
    </w:p>
    <w:tbl>
      <w:tblPr>
        <w:tblW w:w="6455" w:type="dxa"/>
        <w:jc w:val="left"/>
        <w:tblInd w:w="0" w:type="dxa"/>
        <w:tblLayout w:type="fixed"/>
        <w:tblCellMar>
          <w:top w:w="28" w:type="dxa"/>
          <w:left w:w="28" w:type="dxa"/>
          <w:bottom w:w="28" w:type="dxa"/>
          <w:right w:w="28" w:type="dxa"/>
        </w:tblCellMar>
      </w:tblPr>
      <w:tblGrid>
        <w:gridCol w:w="1254"/>
        <w:gridCol w:w="1101"/>
        <w:gridCol w:w="1109"/>
        <w:gridCol w:w="109"/>
        <w:gridCol w:w="109"/>
        <w:gridCol w:w="109"/>
        <w:gridCol w:w="211"/>
        <w:gridCol w:w="826"/>
        <w:gridCol w:w="109"/>
        <w:gridCol w:w="109"/>
        <w:gridCol w:w="109"/>
        <w:gridCol w:w="109"/>
        <w:gridCol w:w="211"/>
        <w:gridCol w:w="82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12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tbl>
      <w:tblPr>
        <w:tblW w:w="6337" w:type="dxa"/>
        <w:jc w:val="left"/>
        <w:tblInd w:w="0" w:type="dxa"/>
        <w:tblLayout w:type="fixed"/>
        <w:tblCellMar>
          <w:top w:w="28" w:type="dxa"/>
          <w:left w:w="28" w:type="dxa"/>
          <w:bottom w:w="28" w:type="dxa"/>
          <w:right w:w="28" w:type="dxa"/>
        </w:tblCellMar>
      </w:tblPr>
      <w:tblGrid>
        <w:gridCol w:w="1227"/>
        <w:gridCol w:w="1079"/>
        <w:gridCol w:w="1084"/>
        <w:gridCol w:w="109"/>
        <w:gridCol w:w="109"/>
        <w:gridCol w:w="109"/>
        <w:gridCol w:w="231"/>
        <w:gridCol w:w="757"/>
        <w:gridCol w:w="119"/>
        <w:gridCol w:w="119"/>
        <w:gridCol w:w="119"/>
        <w:gridCol w:w="119"/>
        <w:gridCol w:w="231"/>
        <w:gridCol w:w="757"/>
        <w:gridCol w:w="168"/>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Supplemental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3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35"/>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initiatives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(5,751)</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Fair Value of Debt</w:t>
      </w:r>
    </w:p>
    <w:p>
      <w:pPr>
        <w:pStyle w:val="TextBody"/>
        <w:bidi w:val="0"/>
        <w:spacing w:lineRule="auto" w:line="288" w:before="120" w:after="120"/>
        <w:ind w:left="0" w:right="0" w:firstLine="495"/>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Based on the level of interest rates prevailing at March 31, 2025, the carrying value of our fixed rate debt of $1.98 billion was more than its fair value of $1.76 billion by $213.9 million. The fair value of these financial instruments is estimated based on reference to quoted market prices for these or comparable securities. A hypothetical 100 basis point decrease in interest rates prevailing at March 31, 2025 would increase the estimated fair value of our fixed rate debt by $23.2 million to $1.79 billion.</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Interest Rate Risk</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$2.4 billion of debt outstanding (excluding finance leases), of which $357.5 million is outstanding under our loan facility and is subject to variable interest rates. A hypothetical 100 basis point increase in interest rates prevailing at March 31, 2025 would increase our annual interest expense by $3.6 million. The interest rate paid on approximately 85% of our debt (excluding finance leases) as of March 31, 2025 is fixed.</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Managing our Foreign Currency Exchange Rate Risk</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We are exposed to foreign currency risk to the extent that we enter into transactions denominated in currencies other than our subsidiaries' respective functional currencies (non-functional currency risk), such as affiliation agreements, programming contracts, certain trade receivables and accounts payable (including intercompany amounts) that are denominated in a currency other than the applicable functional currency. Changes in exchange rates with respect to amounts recorded in our condensed consolidated balance sheets related to these items will result in unrealized (based upon period-end exchange rates) or realized foreign currency transaction gains and losses upon settlement of the transactions. Moreover, to the extent that our revenue, costs and expenses are denominated in currencies other than our respective functional currencies, we will experience fluctuations in our revenue, costs and expenses solely</w:t>
      </w:r>
      <w:r>
        <w:rPr>
          <w:color w:val="000000"/>
          <w:shd w:fill="FFFFFF" w:val="clear"/>
        </w:rPr>
        <w:t xml:space="preserve"> </w:t>
      </w:r>
      <w:r>
        <w:rPr>
          <w:rFonts w:ascii="Times New Roman;sans-serif" w:hAnsi="Times New Roman;sans-serif"/>
          <w:b w:val="false"/>
          <w:color w:val="000000"/>
          <w:sz w:val="20"/>
          <w:shd w:fill="FFFFFF" w:val="clear"/>
        </w:rPr>
        <w:t xml:space="preserve">as a result of changes in foreign currency exchange rates. </w:t>
      </w:r>
    </w:p>
    <w:p>
      <w:pPr>
        <w:pStyle w:val="TextBody"/>
        <w:bidi w:val="0"/>
        <w:spacing w:lineRule="auto" w:line="288" w:before="120" w:after="120"/>
        <w:ind w:left="0" w:right="0" w:firstLine="45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manage foreign currency exchange rate risk, we enter into foreign currency contracts from time to time with financial institutions to limit our exposure to fluctuations in foreign currency exchange rates. We do not enter into foreign currency contracts for speculative or trading purposes.</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shd w:fill="FFFFFF" w:val="clear"/>
        </w:rPr>
        <w:t xml:space="preserve">The Company recognized gains (losses) of $3.8 million and $(2.7) million </w:t>
      </w:r>
      <w:r>
        <w:rPr>
          <w:rFonts w:ascii="Times New Roman;sans-serif" w:hAnsi="Times New Roman;sans-serif"/>
          <w:b w:val="false"/>
          <w:color w:val="000000"/>
          <w:sz w:val="20"/>
        </w:rPr>
        <w:t>for the three months ended March 31, 2025 and 2024, respectively, related to foreign currency transactions. Such amounts are included in miscellaneous, net in the condensed consolidated statements of income.</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We also are exposed to fluctuations of the U.S. dollar (our reporting currency) against the currencies of our operating subsidiaries when their respective financial statements are translated into U.S. dollars for inclusion in our condensed consolidated financial statements. Cumulative translation adjustments are recorded in accumulated other comprehensive income (loss) as a separate component of equity. Any increase (decrease) in the value of the U.S. dollar against any foreign currency that is the functional currency of one of our operating subsidiaries will cause us to experience unrealized foreign currency translation losses (gains) with respect to amounts already invested in such foreign currencies. Accordingly, we may experience a negative impact on our comprehensive income (loss) and equity with respect to our holdings solely as a result of changes in foreign currency exchange rates.</w:t>
      </w:r>
    </w:p>
    <w:p>
      <w:pPr>
        <w:pStyle w:val="TextBody"/>
        <w:bidi w:val="0"/>
        <w:spacing w:before="120" w:after="12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72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An evaluation was carried out under the supervision and with the participation of the Company's management, including our principal executive officer (our Chief Executive Officer) and our principal financial officer (our Chief Financial Officer), of the effectiveness of the design and operation of our disclosure controls and procedures (as defined in Rules 13a-15(e) and 15d-15(e) under the Securities Exchange Act of 1934, as amended). Based upon that evaluation as of March 31, 2025, the Company's principal executive officer (our Chief Executive Officer) and principal financial officer (our Chief Financial Officer) concluded that the Company's disclosure controls and procedures are effective.</w:t>
      </w:r>
    </w:p>
    <w:p>
      <w:pPr>
        <w:pStyle w:val="TextBody"/>
        <w:bidi w:val="0"/>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12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there were no changes in the Company's internal control over financial reporting that have materially affected, or are reasonably likely to materially affect, the Company's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00" w:after="1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14, Commitments and Contingencies to the condensed consolidated financial statements included in this Quarterly Report on Form 10-Q for a description of our legal proceedings. </w:t>
      </w:r>
    </w:p>
    <w:p>
      <w:pPr>
        <w:pStyle w:val="TextBody"/>
        <w:bidi w:val="0"/>
        <w:spacing w:before="100" w:after="10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120"/>
        <w:ind w:left="0" w:right="0" w:firstLine="360"/>
        <w:jc w:val="both"/>
        <w:rPr/>
      </w:pPr>
      <w:r>
        <w:rPr>
          <w:rFonts w:ascii="Times New Roman;sans-serif" w:hAnsi="Times New Roman;sans-serif"/>
          <w:b w:val="false"/>
          <w:color w:val="000000"/>
          <w:sz w:val="20"/>
        </w:rPr>
        <w:t xml:space="preserve">The risk factors discussed in </w:t>
      </w:r>
      <w:r>
        <w:rPr>
          <w:rFonts w:ascii="Times New Roman;sans-serif" w:hAnsi="Times New Roman;sans-serif"/>
          <w:b w:val="false"/>
          <w:i/>
          <w:color w:val="000000"/>
          <w:sz w:val="20"/>
        </w:rPr>
        <w:t>Item 1A. Risk Factors</w:t>
      </w:r>
      <w:r>
        <w:rPr>
          <w:color w:val="000000"/>
        </w:rPr>
        <w:t xml:space="preserve"> </w:t>
      </w:r>
      <w:r>
        <w:rPr>
          <w:rFonts w:ascii="Times New Roman;sans-serif" w:hAnsi="Times New Roman;sans-serif"/>
          <w:b w:val="false"/>
          <w:color w:val="000000"/>
          <w:sz w:val="20"/>
        </w:rPr>
        <w:t xml:space="preserve">of the Company’s Annual Report on Form 10-K for the year ended December 31, 2024 have not materially changed except as set forth below. </w:t>
      </w:r>
    </w:p>
    <w:p>
      <w:pPr>
        <w:pStyle w:val="TextBody"/>
        <w:bidi w:val="0"/>
        <w:spacing w:lineRule="auto" w:line="288" w:before="120" w:after="120"/>
        <w:ind w:left="0" w:right="0" w:firstLine="360"/>
        <w:jc w:val="both"/>
        <w:rPr>
          <w:rFonts w:ascii="Times New Roman;sans-serif" w:hAnsi="Times New Roman;sans-serif"/>
          <w:b/>
          <w:i/>
          <w:color w:val="000000"/>
          <w:sz w:val="20"/>
        </w:rPr>
      </w:pPr>
      <w:r>
        <w:rPr>
          <w:rFonts w:ascii="Times New Roman;sans-serif" w:hAnsi="Times New Roman;sans-serif"/>
          <w:b/>
          <w:i/>
          <w:color w:val="000000"/>
          <w:sz w:val="20"/>
        </w:rPr>
        <w:t xml:space="preserve">The Trump administration has introduced tariffs that impact a number of industries, including announcing an intention to impose tariffs on movies produced outside the United States. Such tariffs, if imposed, and similar tariffs imposed by other governments, could have a material adverse effect on our financial condition and results of operations. </w:t>
      </w:r>
    </w:p>
    <w:p>
      <w:pPr>
        <w:pStyle w:val="TextBody"/>
        <w:bidi w:val="0"/>
        <w:spacing w:lineRule="auto" w:line="288" w:before="1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Trump administration has introduced tariffs that impact a number of industries, including announcing an intention to impose tariffs on movies produced outside the United States. The U.S. tariff environment remains highly dynamic and views on tariffs and how tariffs would be imposed are evolving. Tariffs charged by other countries, included retaliatory tariffs, also are expected to evolve. As a result, we cannot predict the breadth of tariffs and related costs that will ultimately impact the Company, but if tariffs are imposed on production of content, including films and series, such costs could be substantial and have a material adverse effect on our financial condition, results of operations and cash flows, and our expected financial results. Based on the ultimate scope, nature and duration of any tariffs implemented, we may take various mitigating actions, such as making changes to our content production plans, which may not fully offset the impact of tariffs. We may also need to make material changes to how and where we produce and source programming, which could require significant changes to production schedules and locales, including access to local production tax credits, any of which could be material. </w:t>
      </w:r>
    </w:p>
    <w:p>
      <w:pPr>
        <w:pStyle w:val="TextBody"/>
        <w:bidi w:val="0"/>
        <w:spacing w:before="12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81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authorized a $1.5 billion Stock Repurchase Program. The authorization of up to $500 million was announced on March 7, 2016, an additional authorization of $500 million was announced on June 7, 2017, and an additional authorization of $500 million was announced on June 13, 2018. The Stock Repurchase Program has no pre-established termination date and may be suspended or discontinued at any time.</w:t>
      </w:r>
    </w:p>
    <w:p>
      <w:pPr>
        <w:pStyle w:val="TextBody"/>
        <w:bidi w:val="0"/>
        <w:spacing w:lineRule="auto" w:line="288" w:before="120" w:after="120"/>
        <w:ind w:left="0" w:right="0" w:firstLine="450"/>
        <w:jc w:val="both"/>
        <w:rPr/>
      </w:pPr>
      <w:r>
        <w:rPr>
          <w:rFonts w:ascii="Times New Roman;sans-serif" w:hAnsi="Times New Roman;sans-serif"/>
          <w:b w:val="false"/>
          <w:color w:val="000000"/>
          <w:sz w:val="20"/>
        </w:rPr>
        <w:t xml:space="preserve">For the three months ended March 31, 2025, the Company did not repurchase any shares of its Class A Common Stock. As of March 31, 2025, the Company had </w:t>
      </w:r>
      <w:r>
        <w:rPr>
          <w:rFonts w:ascii="Times New Roman;sans-serif" w:hAnsi="Times New Roman;sans-serif"/>
          <w:b w:val="false"/>
          <w:color w:val="000000"/>
          <w:sz w:val="20"/>
          <w:shd w:fill="FFFFFF" w:val="clear"/>
        </w:rPr>
        <w:t>$135.3 million</w:t>
      </w:r>
      <w:r>
        <w:rPr>
          <w:color w:val="000000"/>
        </w:rPr>
        <w:t xml:space="preserve"> </w:t>
      </w:r>
      <w:r>
        <w:rPr>
          <w:rFonts w:ascii="Times New Roman;sans-serif" w:hAnsi="Times New Roman;sans-serif"/>
          <w:b w:val="false"/>
          <w:color w:val="000000"/>
          <w:sz w:val="20"/>
        </w:rPr>
        <w:t xml:space="preserve">of authorization remaining for repurchase under the Stock Repurchase Program. </w:t>
      </w:r>
    </w:p>
    <w:p>
      <w:pPr>
        <w:pStyle w:val="TextBody"/>
        <w:bidi w:val="0"/>
        <w:spacing w:before="120" w:after="120"/>
        <w:ind w:left="0" w:right="0" w:firstLine="495"/>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2a1b9929bd44206a13bcbc22ba81b00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before="120" w:after="12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ind w:left="0" w:right="0" w:hanging="720"/>
        <w:jc w:val="left"/>
        <w:rPr/>
      </w:pPr>
      <w:r>
        <w:rPr>
          <w:rFonts w:ascii="Times New Roman;sans-serif" w:hAnsi="Times New Roman;sans-serif"/>
          <w:b/>
          <w:color w:val="000000"/>
          <w:sz w:val="20"/>
        </w:rPr>
        <w:t>(a)</w:t>
      </w:r>
      <w:r>
        <w:rPr>
          <w:rFonts w:ascii="Times New Roman;sans-serif" w:hAnsi="Times New Roman;sans-serif"/>
          <w:b w:val="false"/>
          <w:color w:val="000000"/>
          <w:sz w:val="20"/>
        </w:rPr>
        <w:t>Index to Exhibits.</w:t>
      </w:r>
    </w:p>
    <w:tbl>
      <w:tblPr>
        <w:tblW w:w="10205" w:type="dxa"/>
        <w:jc w:val="left"/>
        <w:tblInd w:w="0" w:type="dxa"/>
        <w:tblLayout w:type="fixed"/>
        <w:tblCellMar>
          <w:top w:w="28" w:type="dxa"/>
          <w:left w:w="28" w:type="dxa"/>
          <w:bottom w:w="28" w:type="dxa"/>
          <w:right w:w="28" w:type="dxa"/>
        </w:tblCellMar>
      </w:tblPr>
      <w:tblGrid>
        <w:gridCol w:w="291"/>
        <w:gridCol w:w="257"/>
        <w:gridCol w:w="259"/>
        <w:gridCol w:w="109"/>
        <w:gridCol w:w="109"/>
        <w:gridCol w:w="109"/>
        <w:gridCol w:w="2895"/>
        <w:gridCol w:w="2546"/>
        <w:gridCol w:w="3630"/>
      </w:tblGrid>
      <w:tr>
        <w:trPr/>
        <w:tc>
          <w:tcPr>
            <w:tcW w:w="29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8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3312025xex101.htm">
              <w:r>
                <w:rPr>
                  <w:rStyle w:val="InternetLink"/>
                  <w:rFonts w:ascii="Times New Roman;sans-serif" w:hAnsi="Times New Roman;sans-serif"/>
                  <w:b w:val="false"/>
                  <w:color w:val="0000FF"/>
                  <w:sz w:val="20"/>
                  <w:u w:val="single"/>
                </w:rPr>
                <w:t>Employment Agreement, dated November 12, 2024, by and between AMC Networks Inc. and Salvatore Romanello.</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3312025xex22.htm">
              <w:r>
                <w:rPr>
                  <w:rStyle w:val="InternetLink"/>
                  <w:rFonts w:ascii="Times New Roman;sans-serif" w:hAnsi="Times New Roman;sans-serif"/>
                  <w:b w:val="false"/>
                  <w:color w:val="000080"/>
                  <w:sz w:val="20"/>
                  <w:u w:val="single"/>
                </w:rPr>
                <w:t>Guarantor Subsidiaries of the Registran</w:t>
              </w:r>
            </w:hyperlink>
            <w:hyperlink w:anchor="amcx-3312025xex22.htm">
              <w:r>
                <w:rPr>
                  <w:rStyle w:val="InternetLink"/>
                  <w:rFonts w:ascii="Times New Roman;sans-serif" w:hAnsi="Times New Roman;sans-serif"/>
                  <w:b w:val="false"/>
                  <w:color w:val="000080"/>
                  <w:sz w:val="20"/>
                  <w:u w:val="single"/>
                </w:rPr>
                <w:t>t.</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3312025xex311.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3312025xex312.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32</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mcx-3312025xex32.htm">
              <w:r>
                <w:rPr>
                  <w:rStyle w:val="InternetLink"/>
                  <w:rFonts w:ascii="Times New Roman;sans-serif" w:hAnsi="Times New Roman;sans-serif"/>
                  <w:b w:val="false"/>
                  <w:color w:val="0000FF"/>
                  <w:sz w:val="20"/>
                  <w:u w:val="single"/>
                </w:rPr>
                <w:t>Certifications of Chief Executive Officer and Chief Financial Officer pursuant to Section 906 of the Sarbanes-Oxley Act of 2002, 18 U.S.C. Section 1350.</w:t>
              </w:r>
            </w:hyperlink>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1" w:type="dxa"/>
            <w:gridSpan w:val="3"/>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Inline XBRL document.</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 These exhibits shall not be deemed “filed” for purposes of Section 18 of the Securities Exchange Act of 1934, or otherwise subject to the liability of that Section. Such exhibits shall not be deemed incorporated into any filing under the Securities Act of 1933 or the Securities Exchange Act of 1934.</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both"/>
        <w:rPr>
          <w:color w:val="000000"/>
        </w:rPr>
      </w:pPr>
      <w:r>
        <w:rPr>
          <w:color w:val="000000"/>
        </w:rPr>
        <w:t> </w:t>
      </w:r>
    </w:p>
    <w:tbl>
      <w:tblPr>
        <w:tblW w:w="706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356"/>
        <w:gridCol w:w="1356"/>
        <w:gridCol w:w="192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AMC Networks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J. Sherin III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480" w:after="283"/>
        <w:jc w:val="center"/>
        <w:rPr/>
      </w:pPr>
      <w:r>
        <w:rPr/>
        <w:drawing>
          <wp:inline distT="0" distB="0" distL="0" distR="0">
            <wp:extent cx="4543425" cy="952500"/>
            <wp:effectExtent l="0" t="0" r="0" b="0"/>
            <wp:docPr id="4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 descr=""/>
                    <pic:cNvPicPr>
                      <a:picLocks noChangeAspect="1" noChangeArrowheads="1"/>
                    </pic:cNvPicPr>
                  </pic:nvPicPr>
                  <pic:blipFill>
                    <a:blip r:embed="rId2"/>
                    <a:stretch>
                      <a:fillRect/>
                    </a:stretch>
                  </pic:blipFill>
                  <pic:spPr bwMode="auto">
                    <a:xfrm>
                      <a:off x="0" y="0"/>
                      <a:ext cx="4543425" cy="952500"/>
                    </a:xfrm>
                    <a:prstGeom prst="rect">
                      <a:avLst/>
                    </a:prstGeom>
                  </pic:spPr>
                </pic:pic>
              </a:graphicData>
            </a:graphic>
          </wp:inline>
        </w:drawing>
      </w:r>
    </w:p>
    <w:p>
      <w:pPr>
        <w:pStyle w:val="TextBody"/>
        <w:bidi w:val="0"/>
        <w:spacing w:lineRule="auto" w:line="288" w:before="480" w:after="283"/>
        <w:jc w:val="left"/>
        <w:rPr>
          <w:color w:val="000000"/>
        </w:rPr>
      </w:pPr>
      <w:r>
        <w:rPr>
          <w:color w:val="000000"/>
        </w:rPr>
        <w:t>                                </w:t>
      </w:r>
      <w:r>
        <w:rPr>
          <w:rFonts w:ascii="Times New Roman;sans-serif" w:hAnsi="Times New Roman;sans-serif"/>
          <w:b w:val="false"/>
          <w:color w:val="000000"/>
          <w:sz w:val="24"/>
        </w:rPr>
        <w:t>November 12,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Salvatore Romanello</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AMC Networks Inc. </w:t>
        <w:br/>
        <w:t xml:space="preserve">11 Penn Plaza </w:t>
        <w:br/>
        <w:t xml:space="preserve">New York, NY 10001 </w:t>
      </w:r>
    </w:p>
    <w:p>
      <w:pPr>
        <w:pStyle w:val="TextBody"/>
        <w:bidi w:val="0"/>
        <w:spacing w:lineRule="auto" w:line="288" w:before="240" w:after="283"/>
        <w:ind w:left="0" w:right="0" w:firstLine="720"/>
        <w:jc w:val="left"/>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Employment Agreement</w: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Dear Sal:</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This letter agreement (the “</w:t>
      </w:r>
      <w:r>
        <w:rPr>
          <w:rFonts w:ascii="Times New Roman;sans-serif" w:hAnsi="Times New Roman;sans-serif"/>
          <w:b w:val="false"/>
          <w:i/>
          <w:color w:val="000000"/>
          <w:sz w:val="24"/>
        </w:rPr>
        <w:t>Agreement</w:t>
      </w:r>
      <w:r>
        <w:rPr>
          <w:color w:val="000000"/>
        </w:rPr>
        <w:t>”</w:t>
      </w:r>
      <w:r>
        <w:rPr>
          <w:rFonts w:ascii="Times New Roman;sans-serif" w:hAnsi="Times New Roman;sans-serif"/>
          <w:b w:val="false"/>
          <w:color w:val="000000"/>
          <w:sz w:val="24"/>
        </w:rPr>
        <w:t>), effective as of the date of the last signature below (the “</w:t>
      </w:r>
      <w:r>
        <w:rPr>
          <w:rFonts w:ascii="Times New Roman;sans-serif" w:hAnsi="Times New Roman;sans-serif"/>
          <w:b w:val="false"/>
          <w:i/>
          <w:color w:val="000000"/>
          <w:sz w:val="24"/>
          <w:u w:val="single"/>
        </w:rPr>
        <w:t>Effective Date</w:t>
      </w:r>
      <w:r>
        <w:rPr>
          <w:color w:val="000000"/>
        </w:rPr>
        <w:t>”</w:t>
      </w:r>
      <w:r>
        <w:rPr>
          <w:rFonts w:ascii="Times New Roman;sans-serif" w:hAnsi="Times New Roman;sans-serif"/>
          <w:b w:val="false"/>
          <w:color w:val="000000"/>
          <w:sz w:val="24"/>
        </w:rPr>
        <w:t>), will confirm the terms of your employment by AMC Networks Inc.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as an at will employee, which shall commence on December 10, 2024, or such earlier or later date as the parties may agree (the “</w:t>
      </w:r>
      <w:r>
        <w:rPr>
          <w:rFonts w:ascii="Times New Roman;sans-serif" w:hAnsi="Times New Roman;sans-serif"/>
          <w:b w:val="false"/>
          <w:i/>
          <w:color w:val="000000"/>
          <w:sz w:val="24"/>
          <w:u w:val="single"/>
        </w:rPr>
        <w:t>Commencement Date</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Beginning on the Commencement Date, your title will be Executive Vice President and General Counsel and you will report to the Chief Executive Officer of the Company (the “</w:t>
      </w:r>
      <w:r>
        <w:rPr>
          <w:rFonts w:ascii="Times New Roman;sans-serif" w:hAnsi="Times New Roman;sans-serif"/>
          <w:b w:val="false"/>
          <w:i/>
          <w:color w:val="000000"/>
          <w:sz w:val="24"/>
        </w:rPr>
        <w:t>CEO</w:t>
      </w:r>
      <w:r>
        <w:rPr>
          <w:color w:val="000000"/>
        </w:rPr>
        <w: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or the Chairman of the Board of Directors of the Company (the “</w:t>
      </w:r>
      <w:r>
        <w:rPr>
          <w:rFonts w:ascii="Times New Roman;sans-serif" w:hAnsi="Times New Roman;sans-serif"/>
          <w:b w:val="false"/>
          <w:i/>
          <w:color w:val="000000"/>
          <w:sz w:val="24"/>
        </w:rPr>
        <w:t>Board</w:t>
      </w:r>
      <w:r>
        <w:rPr>
          <w:color w:val="000000"/>
        </w:rPr>
        <w:t>”</w:t>
      </w:r>
      <w:r>
        <w:rPr>
          <w:rFonts w:ascii="Times New Roman;sans-serif" w:hAnsi="Times New Roman;sans-serif"/>
          <w:b w:val="false"/>
          <w:color w:val="000000"/>
          <w:sz w:val="24"/>
        </w:rPr>
        <w:t xml:space="preserve">). This Agreement will supersede and replace any and all other discussions, understandings or arrangements regarding the subject matter herein. </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The term of this Agreement (the “</w:t>
      </w:r>
      <w:r>
        <w:rPr>
          <w:rFonts w:ascii="Times New Roman;sans-serif" w:hAnsi="Times New Roman;sans-serif"/>
          <w:b w:val="false"/>
          <w:i/>
          <w:color w:val="000000"/>
          <w:sz w:val="24"/>
        </w:rPr>
        <w:t>Term</w:t>
      </w:r>
      <w:r>
        <w:rPr>
          <w:color w:val="000000"/>
        </w:rPr>
        <w:t>”</w:t>
      </w:r>
      <w:r>
        <w:rPr>
          <w:rFonts w:ascii="Times New Roman;sans-serif" w:hAnsi="Times New Roman;sans-serif"/>
          <w:b w:val="false"/>
          <w:color w:val="000000"/>
          <w:sz w:val="24"/>
        </w:rPr>
        <w:t>) shall commence as of the Effective Date and shall automatically expire on December 31, 2027 (the “</w:t>
      </w:r>
      <w:r>
        <w:rPr>
          <w:rFonts w:ascii="Times New Roman;sans-serif" w:hAnsi="Times New Roman;sans-serif"/>
          <w:b w:val="false"/>
          <w:i/>
          <w:color w:val="000000"/>
          <w:sz w:val="24"/>
        </w:rPr>
        <w:t>Expiration Date</w:t>
      </w:r>
      <w:r>
        <w:rPr>
          <w:color w:val="000000"/>
        </w:rPr>
        <w:t>”</w:t>
      </w:r>
      <w:r>
        <w:rPr>
          <w:rFonts w:ascii="Times New Roman;sans-serif" w:hAnsi="Times New Roman;sans-serif"/>
          <w:b w:val="false"/>
          <w:color w:val="000000"/>
          <w:sz w:val="24"/>
        </w:rPr>
        <w: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You agree to devote substantially all of your business time and attention to the business and affairs of the Company and to perform your duties in a diligent, competent and skillful manner and in accordance with applicable law. Notwithstanding the foregoing, nothing herein shall preclude you from (i) serving as a member of the board of directors or advisory board (or their equivalents in the case of a non-corporate entity) of up to two non-competing businesses upon consent of the CEO (not to be unreasonably withheld),</w:t>
      </w:r>
      <w:r>
        <w:rPr>
          <w:color w:val="000000"/>
        </w:rPr>
        <w:t xml:space="preserve"> </w:t>
      </w:r>
      <w:r>
        <w:rPr>
          <w:rFonts w:ascii="Times New Roman;sans-serif" w:hAnsi="Times New Roman;sans-serif"/>
          <w:b w:val="false"/>
          <w:color w:val="000000"/>
          <w:sz w:val="24"/>
        </w:rPr>
        <w:t xml:space="preserve">(ii) engaging in charitable activities and community affairs, and (iii) managing your personal investments and affairs;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that the activities set out in clauses (i), (ii) and (iii) shall be limited by you so as not to materially interfere, individually or in the aggregate, with the performance of your duties and responsibilities hereunder, including compliance with the covenants set forth in </w:t>
      </w:r>
      <w:r>
        <w:rPr>
          <w:rFonts w:ascii="Times New Roman;sans-serif" w:hAnsi="Times New Roman;sans-serif"/>
          <w:b w:val="false"/>
          <w:i/>
          <w:color w:val="000000"/>
          <w:sz w:val="24"/>
        </w:rPr>
        <w:t>Annex I</w:t>
      </w:r>
      <w:r>
        <w:rPr>
          <w:rFonts w:ascii="Times New Roman;sans-serif" w:hAnsi="Times New Roman;sans-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Beginning on the Commencement Date, your annual base salary will be a minimum of $800,000, subject to periodic review by the Compensation Committee of the Board of Directors of the Company (the “</w:t>
      </w:r>
      <w:r>
        <w:rPr>
          <w:rFonts w:ascii="Times New Roman;sans-serif" w:hAnsi="Times New Roman;sans-serif"/>
          <w:b w:val="false"/>
          <w:i/>
          <w:color w:val="000000"/>
          <w:sz w:val="24"/>
        </w:rPr>
        <w:t>Compensation Committee</w:t>
      </w:r>
      <w:r>
        <w:rPr>
          <w:color w:val="000000"/>
        </w:rPr>
        <w:t>”</w:t>
      </w:r>
      <w:r>
        <w:rPr>
          <w:rFonts w:ascii="Times New Roman;sans-serif" w:hAnsi="Times New Roman;sans-serif"/>
          <w:b w:val="false"/>
          <w:color w:val="000000"/>
          <w:sz w:val="24"/>
        </w:rPr>
        <w:t xml:space="preserve">).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Beginning with your performance with respect to the 2025 calendar year, you will also participate in our discretionary annual incentive bonus program with an annual target bonus opportunity equal to one hundred percent (100%) of actual salary dollars earned during the year. Bonus payments depend on a number of factors including Company, unit and individual performance. However, the decision of whether or not to pay a bonus, and the amount of that bonus, if any, will be made by the Board. Except as otherwise provided herein, in order to receive a bonus, you must be employed by the Company at the time bonuses are being paid. Notwithstanding the foregoing, if your employment with the Company ends on the Expiration Date, you shall be paid your bonus for the fiscal year ending December 31, 2027, which bonus shall be payable to you if and when such bonuses are generally paid to similarly situated employees and be subject to Company performance for the applicable fiscal year as determined by the Company in its sole discretion, and may be subject to further adjustment for your individual performance.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Your annual base salary and annual bonus target (as each may be increased from time to time in the Board’s discretion) will not be reduced during the term of this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You will also participate, subject to your continued employment by the Company and actual grant by the Board, in its discretion, in such long-term equity and other incentive programs as are made available in the future to similarly situated executives at the Company. Beginning in 2025, it is expected that such awards will consist of annual grants of cash and/or equity awards with an annual aggregate target value of not less than $800,000, as determined by the Board. Any such awards would be subject to actual grant to you by the Board in its discretion pursuant to the applicable plan documents and would be subject to terms and conditions established by the Compensation Committee, in its discretion that would be detailed in separate agreements you will receive after any award is actually made;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such terms and conditions shall be consistent with the terms and conditions of the grant agreements received by similarly situated executives (subject to any more favorable terms set forth in this agreement including those set forth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 xml:space="preserve">attached hereto);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that for the purposes of this provision, the CEO shall not be deemed a “similarly situated executive.”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In addition, following the Effective Date you will be entitled to a one-time signing bonus in the amount of $600,000, less lawful withholdings (the “</w:t>
      </w:r>
      <w:r>
        <w:rPr>
          <w:rFonts w:ascii="Times New Roman;sans-serif" w:hAnsi="Times New Roman;sans-serif"/>
          <w:b w:val="false"/>
          <w:i/>
          <w:color w:val="000000"/>
          <w:sz w:val="24"/>
        </w:rPr>
        <w:t>Sign-On Bonus</w:t>
      </w:r>
      <w:r>
        <w:rPr>
          <w:color w:val="000000"/>
        </w:rPr>
        <w:t>”</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 </w:t>
      </w:r>
      <w:r>
        <w:rPr>
          <w:rFonts w:ascii="Times New Roman;sans-serif" w:hAnsi="Times New Roman;sans-serif"/>
          <w:b w:val="false"/>
          <w:color w:val="000000"/>
          <w:sz w:val="24"/>
        </w:rPr>
        <w:t xml:space="preserve">Subject to your continued employment through the relevant payment date, the Sign-On Bonus will be payable to you in a lump sum within 60 days of the Commencement Date, but in no event prior to January 1, 2025. Additionally, to assist in your relocation, the Company agrees to reimburse you for up to $30,000 in relocation expenses (the “Relocation Reimbursement”), upon your submission of appropriate receipts or documentation, as reasonably requested by the Company. If at any time prior to the first anniversary of the Commencement Date your employment with the Company terminates as a result of (i) your voluntary resignation (other than for “Good </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- 2 -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Reason” (as defined below)), or (b) an involuntary termination by the Company for “Cause” (as defined below), then you shall immediately refund to the Company the gross amount of the Sign-On Bonus and Relocation Reimbursement.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In addition, you have been approved by the Board to receive a one-time special award of restricted stock units with a value, at the time of grant, of $400,000 (the “</w:t>
      </w:r>
      <w:r>
        <w:rPr>
          <w:rFonts w:ascii="Times New Roman;sans-serif" w:hAnsi="Times New Roman;sans-serif"/>
          <w:b w:val="false"/>
          <w:i/>
          <w:color w:val="000000"/>
          <w:sz w:val="24"/>
        </w:rPr>
        <w:t>One-Time Equity Award</w:t>
      </w:r>
      <w:r>
        <w:rPr>
          <w:color w:val="000000"/>
        </w:rPr>
        <w:t>”</w:t>
      </w:r>
      <w:r>
        <w:rPr>
          <w:rFonts w:ascii="Times New Roman;sans-serif" w:hAnsi="Times New Roman;sans-serif"/>
          <w:b w:val="false"/>
          <w:color w:val="000000"/>
          <w:sz w:val="24"/>
        </w:rPr>
        <w:t xml:space="preserve">), which shall vest, in full, on December 10, 2025. The One-Time Equity Award will be subject to the terms of the applicable plan documents as well as the terms and conditions established by the Compensation Committee in its discretion as detailed in the applicable grant agreement. </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will be eligible to participate in our standard benefits program at the levels that are made available to similarly situated executives at the Company. Participation in our benefits program is subject to meeting the relevant eligibility requirements, payment of the required premiums, and the terms of the plans themselves. You will be entitled to four (4) weeks’ vacation per year, to be accrued and used in accordance with Company policy. You will also be entitled to reimbursement of business expenses upon submission of appropriate documentation in accordance with Company policy.</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Effective as of the Effective Date, you and the Company agree to be bound by the additional covenants and provisions applicable to each that are set forth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which Annex shall be deemed to be a part of this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If your employment with the Company is terminated after the Effective Date and prior to the expiration of the Term (1) by the Company or (2) by you for “</w:t>
      </w:r>
      <w:r>
        <w:rPr>
          <w:rFonts w:ascii="Times New Roman;sans-serif" w:hAnsi="Times New Roman;sans-serif"/>
          <w:b w:val="false"/>
          <w:i/>
          <w:color w:val="000000"/>
          <w:sz w:val="24"/>
        </w:rPr>
        <w:t>Good Reason</w:t>
      </w:r>
      <w:r>
        <w:rPr>
          <w:rFonts w:ascii="Times New Roman;sans-serif" w:hAnsi="Times New Roman;sans-serif"/>
          <w:b w:val="false"/>
          <w:color w:val="000000"/>
          <w:sz w:val="24"/>
        </w:rPr>
        <w:t>,” and at the time of such termination under clauses (1) or (2) “</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does not exist, then, subject to your execution and the effectiveness of a severance agreement satisfactory to the Company, which severance agreement shall include, without limitation, a full and complete general release in favor of the Company and its affiliates (subject to customary carve-outs), and their respective directors and officers, as well as your agreement to non-competition (limited to one year), non-solicitation, non-disparagement, confidentiality and further cooperation obligations and restrictions substantially in the form set forth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(the “</w:t>
      </w:r>
      <w:r>
        <w:rPr>
          <w:rFonts w:ascii="Times New Roman;sans-serif" w:hAnsi="Times New Roman;sans-serif"/>
          <w:b w:val="false"/>
          <w:i/>
          <w:color w:val="000000"/>
          <w:sz w:val="24"/>
        </w:rPr>
        <w:t>Severance Agreement</w:t>
      </w:r>
      <w:r>
        <w:rPr>
          <w:color w:val="000000"/>
        </w:rPr>
        <w:t>”</w:t>
      </w:r>
      <w:r>
        <w:rPr>
          <w:rFonts w:ascii="Times New Roman;sans-serif" w:hAnsi="Times New Roman;sans-serif"/>
          <w:b w:val="false"/>
          <w:color w:val="000000"/>
          <w:sz w:val="24"/>
        </w:rPr>
        <w:t>), the Company will provide you with the following:</w:t>
      </w:r>
    </w:p>
    <w:p>
      <w:pPr>
        <w:pStyle w:val="TextBody"/>
        <w:bidi w:val="0"/>
        <w:spacing w:lineRule="auto" w:line="288" w:before="240" w:after="283"/>
        <w:ind w:left="0" w:right="0" w:hanging="720"/>
        <w:jc w:val="both"/>
        <w:rPr/>
      </w:pPr>
      <w:r>
        <w:rPr>
          <w:rFonts w:ascii="Times New Roman;sans-serif" w:hAnsi="Times New Roman;sans-serif"/>
          <w:b w:val="false"/>
          <w:color w:val="000000"/>
          <w:sz w:val="24"/>
        </w:rPr>
        <w:t>(1)    Severance in an amount to be determined by the Board (the “</w:t>
      </w:r>
      <w:r>
        <w:rPr>
          <w:rFonts w:ascii="Times New Roman;sans-serif" w:hAnsi="Times New Roman;sans-serif"/>
          <w:b w:val="false"/>
          <w:i/>
          <w:color w:val="000000"/>
          <w:sz w:val="24"/>
        </w:rPr>
        <w:t>Severance Amount</w:t>
      </w:r>
      <w:r>
        <w:rPr>
          <w:color w:val="000000"/>
        </w:rPr>
        <w:t>”</w:t>
      </w:r>
      <w:r>
        <w:rPr>
          <w:rFonts w:ascii="Times New Roman;sans-serif" w:hAnsi="Times New Roman;sans-serif"/>
          <w:b w:val="false"/>
          <w:color w:val="000000"/>
          <w:sz w:val="24"/>
        </w:rPr>
        <w:t>), but in no event less than two (2) times the sum of your annual base salary plus your target annual bonus, each as in effect at the time your employment terminates (or, if your employment terminates prior to the Commencement Date, the annual base salary and target bonus that would be in effect on the Commencement Date). Sixty percent (60%) of the Severance Amount (the “</w:t>
      </w:r>
      <w:r>
        <w:rPr>
          <w:rFonts w:ascii="Times New Roman;sans-serif" w:hAnsi="Times New Roman;sans-serif"/>
          <w:b w:val="false"/>
          <w:i/>
          <w:color w:val="000000"/>
          <w:sz w:val="24"/>
        </w:rPr>
        <w:t>First Payment</w:t>
      </w:r>
      <w:r>
        <w:rPr>
          <w:color w:val="000000"/>
        </w:rPr>
        <w:t>”</w:t>
      </w:r>
      <w:r>
        <w:rPr>
          <w:rFonts w:ascii="Times New Roman;sans-serif" w:hAnsi="Times New Roman;sans-serif"/>
          <w:b w:val="false"/>
          <w:color w:val="000000"/>
          <w:sz w:val="24"/>
        </w:rPr>
        <w:t>) will be payable to you on the six-month anniversary of the date your employment so terminates (the “</w:t>
      </w:r>
      <w:r>
        <w:rPr>
          <w:rFonts w:ascii="Times New Roman;sans-serif" w:hAnsi="Times New Roman;sans-serif"/>
          <w:b w:val="false"/>
          <w:i/>
          <w:color w:val="000000"/>
          <w:sz w:val="24"/>
        </w:rPr>
        <w:t>Termination Date</w:t>
      </w:r>
      <w:r>
        <w:rPr>
          <w:color w:val="000000"/>
        </w:rPr>
        <w:t>”</w:t>
      </w:r>
      <w:r>
        <w:rPr>
          <w:rFonts w:ascii="Times New Roman;sans-serif" w:hAnsi="Times New Roman;sans-serif"/>
          <w:b w:val="false"/>
          <w:color w:val="000000"/>
          <w:sz w:val="24"/>
        </w:rPr>
        <w:t xml:space="preserve">) and the remaining forty percent (40%) of the Severance Amount will be payable to you on the twelve-month anniversary of the Termination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maximum portion of the First Payment that is exempt from Section 409A (as defined below) will be payable to you on or before the seventy-fifth (75) day following the date your employment so terminates;</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- 3 -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720"/>
        <w:jc w:val="both"/>
        <w:rPr/>
      </w:pPr>
      <w:r>
        <w:rPr>
          <w:rFonts w:ascii="Times New Roman;sans-serif" w:hAnsi="Times New Roman;sans-serif"/>
          <w:b w:val="false"/>
          <w:color w:val="000000"/>
          <w:sz w:val="24"/>
        </w:rPr>
        <w:t xml:space="preserve">(2)    A prorated bonus based on the amount of your base salary earned by you during the fiscal year through the Termination Date,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bonus, if any, will be payable to you if and when such bonuses are generally paid to similarly situated employees and will be based on your then current annual target bonus as well as Company performance as determined by the Compensation Committee in its discretion, but without adjustment for your individual performance; which shall be paid on the first regular Company payroll date on or after the Termination Date;</w:t>
      </w:r>
    </w:p>
    <w:p>
      <w:pPr>
        <w:pStyle w:val="TextBody"/>
        <w:bidi w:val="0"/>
        <w:spacing w:lineRule="auto" w:line="288" w:before="240" w:after="283"/>
        <w:ind w:left="0" w:right="0" w:hanging="720"/>
        <w:jc w:val="both"/>
        <w:rPr/>
      </w:pPr>
      <w:r>
        <w:rPr>
          <w:rFonts w:ascii="Times New Roman;sans-serif" w:hAnsi="Times New Roman;sans-serif"/>
          <w:b w:val="false"/>
          <w:color w:val="000000"/>
          <w:sz w:val="24"/>
        </w:rPr>
        <w:t xml:space="preserve">(3)    If, as of the Termination Date, annual bonuses had not yet generally been paid to similarly situated employees with respect to the prior fiscal year, a bonus based on the amount of your base salary actually paid to you during such prior fiscal year,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such bonus, if any, will be payable to you if and when such bonuses are generally paid to similarly situated employees and will be based on your annual target bonus that was in effect with respect to such prior fiscal year as well as Company performance as determined by the Compensation Committee in its discretion, and may be subject to further adjustment for your individual performance; and</w:t>
      </w:r>
    </w:p>
    <w:p>
      <w:pPr>
        <w:pStyle w:val="TextBody"/>
        <w:bidi w:val="0"/>
        <w:spacing w:lineRule="auto" w:line="288" w:before="240" w:after="283"/>
        <w:ind w:left="0" w:right="0" w:hanging="720"/>
        <w:jc w:val="both"/>
        <w:rPr/>
      </w:pPr>
      <w:r>
        <w:rPr>
          <w:rFonts w:ascii="Times New Roman;sans-serif" w:hAnsi="Times New Roman;sans-serif"/>
          <w:b w:val="false"/>
          <w:color w:val="000000"/>
          <w:sz w:val="24"/>
        </w:rPr>
        <w:t>(4)    (i)    </w:t>
      </w:r>
      <w:r>
        <w:rPr>
          <w:rFonts w:ascii="Times New Roman;sans-serif" w:hAnsi="Times New Roman;sans-serif"/>
          <w:b w:val="false"/>
          <w:i/>
          <w:color w:val="000000"/>
          <w:sz w:val="24"/>
        </w:rPr>
        <w:t xml:space="preserve">Time-Vested Restricted Stock and Restricted Stock Unit Awards (including restricted stock unit awards that are subject to achievement of a performance condition and restricted stock unit awards that have no performance conditions). </w:t>
      </w:r>
      <w:r>
        <w:rPr>
          <w:rFonts w:ascii="Times New Roman;sans-serif" w:hAnsi="Times New Roman;sans-serif"/>
          <w:b w:val="false"/>
          <w:color w:val="000000"/>
          <w:sz w:val="24"/>
        </w:rPr>
        <w:t xml:space="preserve">Each of your outstanding restricted stock or restricted stock units awards granted to you under the plans of the Company, including, without limitation, the One-Time Equity Award, shall continue to vest in accordance with their original vesting schedule irrespective of the termination of the term hereof and payments or deliveries with respect to your restricted stock and restricted stock units shall be made on the original vesting date(s) (or, in the case of restricted stock units, on the original distribution date(s));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however, that at the time of your termination from employment, the Company shall withhold and settle a portion of each of your outstanding restricted stock and restricted stock unit awards in an amount sufficient to fund the minimum amount of statutory tax withholding requirements (including federal, state and local income and employment tax withholding required due to such awards being “vested” for tax purposes) resulting from the recognition of income in respect of each such outstanding restricted stock or restricted stock unit award, and make a payroll tax contribution in such amount on your behalf;</w:t>
      </w:r>
    </w:p>
    <w:p>
      <w:pPr>
        <w:pStyle w:val="TextBody"/>
        <w:bidi w:val="0"/>
        <w:spacing w:lineRule="auto" w:line="288" w:before="240" w:after="283"/>
        <w:jc w:val="left"/>
        <w:rPr/>
      </w:pPr>
      <w:r>
        <w:rPr>
          <w:rFonts w:ascii="Times New Roman;sans-serif" w:hAnsi="Times New Roman;sans-serif"/>
          <w:b w:val="false"/>
          <w:color w:val="000000"/>
          <w:sz w:val="24"/>
        </w:rPr>
        <w:t>(ii)    </w:t>
      </w:r>
      <w:r>
        <w:rPr>
          <w:rFonts w:ascii="Times New Roman;sans-serif" w:hAnsi="Times New Roman;sans-serif"/>
          <w:b w:val="false"/>
          <w:i/>
          <w:color w:val="000000"/>
          <w:sz w:val="24"/>
        </w:rPr>
        <w:t>Performance-Based Restricted Stock Unit Awards</w:t>
      </w:r>
      <w:r>
        <w:rPr>
          <w:rFonts w:ascii="Times New Roman;sans-serif" w:hAnsi="Times New Roman;sans-serif"/>
          <w:b w:val="false"/>
          <w:color w:val="000000"/>
          <w:sz w:val="24"/>
        </w:rPr>
        <w:t>. Each of your outstanding performance-based restricted stock unit (“</w:t>
      </w:r>
      <w:r>
        <w:rPr>
          <w:rFonts w:ascii="Times New Roman;sans-serif" w:hAnsi="Times New Roman;sans-serif"/>
          <w:b w:val="false"/>
          <w:i/>
          <w:color w:val="000000"/>
          <w:sz w:val="24"/>
        </w:rPr>
        <w:t>PRSUs</w:t>
      </w:r>
      <w:r>
        <w:rPr>
          <w:color w:val="000000"/>
        </w:rPr>
        <w:t>”</w:t>
      </w:r>
      <w:r>
        <w:rPr>
          <w:rFonts w:ascii="Times New Roman;sans-serif" w:hAnsi="Times New Roman;sans-serif"/>
          <w:b w:val="false"/>
          <w:color w:val="000000"/>
          <w:sz w:val="24"/>
        </w:rPr>
        <w:t xml:space="preserve">) awards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applicable performance objectives are not satisfied then any such PRSUs will be forfeited;</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- 4 -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val="false"/>
          <w:color w:val="000000"/>
          <w:sz w:val="24"/>
        </w:rPr>
        <w:t>(iii)    Each of your outstanding long-term cash performance awards (“</w:t>
      </w:r>
      <w:r>
        <w:rPr>
          <w:rFonts w:ascii="Times New Roman;sans-serif" w:hAnsi="Times New Roman;sans-serif"/>
          <w:b w:val="false"/>
          <w:i/>
          <w:color w:val="000000"/>
          <w:sz w:val="24"/>
        </w:rPr>
        <w:t>CPAs</w:t>
      </w:r>
      <w:r>
        <w:rPr>
          <w:color w:val="000000"/>
        </w:rPr>
        <w:t>”</w:t>
      </w:r>
      <w:r>
        <w:rPr>
          <w:rFonts w:ascii="Times New Roman;sans-serif" w:hAnsi="Times New Roman;sans-serif"/>
          <w:b w:val="false"/>
          <w:color w:val="000000"/>
          <w:sz w:val="24"/>
        </w:rPr>
        <w:t xml:space="preserve">) granted under the plans of the Company, if any, shall immediately vest in full and shall be payable to you at the same time as such awards are paid to active employees of the Company and the payment amount of such award shall be to the same extent that other similarly situated executives receive payment for such awards as determined by the Compensation Committee (subject to the satisfaction of any applicable performance objectives);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applicable performance objectives are not satisfied then any such CPAs will be forfeited; and</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(iv)    Each of your outstanding stock options and stock appreciation awards under the plans of the Company, if any, shall continue to vest in accordance with their original vesting schedule irrespective of the termination of the term hereof and you shall have the right to exercise each of those options and stock appreciation awards for the remainder of the term of such option or award.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you die after a termination of your employment that is subject to the above, your estate or beneficiaries will be provided any remaining benefits and rights under the above sections (1) through (4).</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Except as otherwise set forth herein, in connection with any termination of your employment, your then outstanding equity and cash incentive awards shall be treated in accordance with their terms and, other than as provided in this Agreement, you shall not be eligible for severance benefits under any other plan, program or policy of the Company. Nothing in this Agreement is intended to limit any more favorable rights that you may be entitled to under your equity and cash incentive award agreements, including, without limitation, your rights in the event of a termination of your employment, a “Going Private Transaction” or a “Change of Control” (as those terms are defined in the applicable award agreement).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If you cease to be an employee of the Company prior to the Expiration Date as a result of your death or your physical or mental disability, and at such time Cause does not exist then, subject (other than in the case of death) to your execution and delivery, within 60 days after the date of termination of your employment, and non-revocation (within any applicable revocation period) of the Severance Agreement, you or your estate or beneficiary shall be provided with the benefits and rights set forth in Sections (2) and (3) above, and each of your outstanding equity, cash incentive, stock option, and stock appreciation awards granted under the plans of the Company shall immediately vest in full, whether or not subject to performance criteria and shall be payable on the 90th day after the termination of your employment;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that if any such award is subject to any performance criteria, then (i) if the measurement period for such performance criteria has not yet been fully completed, then the payment amount shall be at the target amount for such award and (ii) if the measurement period for such performance criteria has already been fully completed, then the payment of such award shall be at the same time and to the extent that other similarly situated executives receive payment as determined by the Compensation Committee (subject to satisfaction of the applicable performance criteria).</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does not constitute a guarantee of employment or benefits for any definite period. Your employment may be terminated by you or the Company at any time, with </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- 5 -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or without notice, liability (subject to the terms of this Agreement) or cause. With the exception of the provisions that, by their term, survive your death, this Agreement shall automatically terminate upon your death.</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If and to the extent that any payment or benefit hereunder, or any plan, award or arrangement of the Company or its affiliates, is determined by the Company to constitute “non-qualified deferred compensation” subject to Section 409A and is payable to you by reason of your termination of employment, then (a) such payment or benefit shall be made or provided to you only upon a “separation from service” as defined for purposes of Section 409A under applicable regulations and (b) if you are a “specified employee” (within the meaning of Section 409A and as determined by the Company), such payment or benefit shall not be made or provided before the date that is six months after the date of your separation from service (or your earlier death). Any amount not paid or benefit not provided in respect of the six-month period specified in the preceding sentence will be paid to you in a lump sum or provided to you as soon as practicable after the expiration of such six-month period. Each payment or benefit hereunder shall be treated as a separate payment for purposes of Section 409A to the extent Section 409A applies to such payments or benefits.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To the extent you are entitled to any expense reimbursement from the Company that is subject to Section 409A, (i) the amount of any such expenses eligible for reimbursement in one calendar year shall not affect the expenses eligible for reimbursement in any other taxable year (except under any lifetime limit applicable to expenses for medical care), (ii) in no event shall any such expense be reimbursed after the last day of the calendar year following the calendar year in which you incurred such expense, and (iii) in no event shall any right to reimbursement be subject to liquidation or exchange for another benefit.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may withhold from any payment due to you hereunder any taxes that are required to be withheld under any law, rule or regulation. If any payment otherwise due to you hereunder would result in the imposition of the excise tax imposed by Section 4999 of the Internal Revenue Code, the Company will instead pay you either (i) such amount or (ii) the maximum amount that could be paid to you without the imposition of the excise tax, depending on whichever amount results in your receiving the greater amount of after-tax proceeds (as reasonably determined by the Company). In the event that any such payment or benefits payable to you hereunder would be reduced because of the imposition of such excise tax, then such reduction will be determined in a manner which has the least economic cost to you and, to the extent the economic cost is equivalent, such payments or benefits will be reduced in the inverse order of when the payments or benefits would have been made to you (i.e., later payments will be reduced first) until the reduction specified is achieved.</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intent of the parties is that payments and benefits under this Agreement comply with Section 409A and applicable guidance issued thereunder or comply with an exemption from the application of Section 409A and, accordingly, all provisions of this Agreement shall be construed in a manner consistent with the requirements for avoiding taxes or penalties under Section 409A. Neither party shall take any action to accelerate or delay the </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- 6 -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payment of any monies and/or provision of any benefits that are subject to Section 409A in any manner that would not be in compliance with Section 409A.</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hereby agrees that it shall indemnify and hold you harmless to the fullest extent provided in Article VIII of the Company’s By-Laws and on terms no less favorable as those applicable to other similarly situated executives of the Company. To the extent that the Company maintains officers’ and directors’ liability insurance, you will be covered under such policy subject to the exclusions and limitations set forth therein. The provisions of this Paragraph shall survive the expiration or termination of your employment and/or this Agreement as well as your execution of the Severance Agreement as provided for herein.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hereby represent to the Company that you are not subject to any contract, arrangement, agreement, policy or understanding, including any restrictive covenants obligations owed to any third-party (other than customary confidentiality restrictions imposed by your prior employer), that would in any way prevent, restrict or limit your ability to enter into and perform your obligations under this Agreement.</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Agreement is personal to you and without the prior written consent of the Company shall not be assignable by you otherwise than by will or the laws of descent and distribution. This Agreement shall inure to the benefit of, and be enforceable by, your legal representatives. This Agreement shall inure to the benefit of, and be binding upon, the Company and its successors and assigns. </w:t>
      </w:r>
    </w:p>
    <w:p>
      <w:pPr>
        <w:pStyle w:val="TextBody"/>
        <w:bidi w:val="0"/>
        <w:spacing w:lineRule="auto" w:line="288" w:before="24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To the extent permitted by law, you hereby waive any and all rights to a jury trial with respect to any claim arising out of or in any way connected with or related to this Agreement, your employment by the Company or the termination of your employment with the Company.</w:t>
      </w:r>
    </w:p>
    <w:p>
      <w:pPr>
        <w:pStyle w:val="TextBody"/>
        <w:bidi w:val="0"/>
        <w:spacing w:lineRule="auto" w:line="288" w:before="240" w:after="240"/>
        <w:ind w:left="0" w:right="0" w:firstLine="1440"/>
        <w:jc w:val="both"/>
        <w:rPr>
          <w:rFonts w:ascii="Times New Roman;sans-serif" w:hAnsi="Times New Roman;sans-serif"/>
          <w:b/>
          <w:color w:val="000000"/>
          <w:sz w:val="24"/>
        </w:rPr>
      </w:pPr>
      <w:r>
        <w:rPr>
          <w:rFonts w:ascii="Times New Roman;sans-serif" w:hAnsi="Times New Roman;sans-serif"/>
          <w:b/>
          <w:color w:val="000000"/>
          <w:sz w:val="24"/>
        </w:rPr>
        <w:t>This Agreement will be governed by and construed in accordance with the law of the State of New York applicable to contracts made and to be performed entirely within that State.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and the Company hereby irrevocably submit to the jurisdiction of the courts of the State of New York and the federal courts of the United States of America located in the State of New York solely in respect of the interpretation and enforcement of the provisions of this Agreement, and you and the Company hereby waive, and agree not to assert, as a defense that you are not subject thereto or that the venue thereof may not be appropriate.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and the Company hereby agree that mailing of notice, process or other papers in connection with any such action or proceeding in any manner as may be permitted by law shall be valid and sufficient service thereof if delivered to you at your address set forth above or to the Company at 11 Penn Plaza, New York, New York 10001, respectively, or to such other address as you or the Company may later designate in writing for the receipt of such notices.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not be amended or modified otherwise than by a written agreement executed by the parties hereto or their respective successors and legal representatives.</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- 7 -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may be executed in counterparts, each of which shall be deemed to be an original, and all of which together shall constitute one and the same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The invalidity or unenforceability of any provision of this Agreement shall not affect the validity or enforceability of any other provision of this Agreement. If any provision of this Agreement is held by any court of competent jurisdiction to be illegal, invalid, void or unenforceable, such provision shall be deemed modified, amended and narrowed to the extent necessary to render the same legal, valid and enforceable, and the other remaining provisions of this Agreement shall not be affected but shall remain in full force and effect.</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Capitalized terms used in this Agreement, including in </w:t>
      </w:r>
      <w:r>
        <w:rPr>
          <w:rFonts w:ascii="Times New Roman;sans-serif" w:hAnsi="Times New Roman;sans-serif"/>
          <w:b w:val="false"/>
          <w:i/>
          <w:color w:val="000000"/>
          <w:sz w:val="24"/>
        </w:rPr>
        <w:t>Annex I</w:t>
      </w:r>
      <w:r>
        <w:rPr>
          <w:color w:val="000000"/>
        </w:rPr>
        <w:t xml:space="preserve"> </w:t>
      </w:r>
      <w:r>
        <w:rPr>
          <w:rFonts w:ascii="Times New Roman;sans-serif" w:hAnsi="Times New Roman;sans-serif"/>
          <w:b w:val="false"/>
          <w:color w:val="000000"/>
          <w:sz w:val="24"/>
        </w:rPr>
        <w:t>attached hereto, shall have the meanings set forth below:</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i/>
          <w:color w:val="000000"/>
          <w:sz w:val="24"/>
        </w:rPr>
        <w:t>Cause</w:t>
      </w:r>
      <w:r>
        <w:rPr>
          <w:color w:val="000000"/>
        </w:rPr>
        <w:t xml:space="preserve">” </w:t>
      </w:r>
      <w:r>
        <w:rPr>
          <w:rFonts w:ascii="Times New Roman;sans-serif" w:hAnsi="Times New Roman;sans-serif"/>
          <w:b w:val="false"/>
          <w:color w:val="000000"/>
          <w:sz w:val="24"/>
        </w:rPr>
        <w:t xml:space="preserve">means your (i) commission of an act of fraud, embezzlement, misappropriation, willful misconduct, gross negligence or breach of fiduciary duty against the Company or an affiliate thereof, or (ii) commission of any act or omission that results in a conviction, plea of no contest, plea of </w:t>
      </w:r>
      <w:r>
        <w:rPr>
          <w:rFonts w:ascii="Times New Roman;sans-serif" w:hAnsi="Times New Roman;sans-serif"/>
          <w:b w:val="false"/>
          <w:i/>
          <w:color w:val="000000"/>
          <w:sz w:val="24"/>
        </w:rPr>
        <w:t>nolo contendere</w:t>
      </w:r>
      <w:r>
        <w:rPr>
          <w:rFonts w:ascii="Times New Roman;sans-serif" w:hAnsi="Times New Roman;sans-serif"/>
          <w:b w:val="false"/>
          <w:color w:val="000000"/>
          <w:sz w:val="24"/>
        </w:rPr>
        <w:t>, or imposition of unadjudicated probation for, in each case, any crime involving moral turpitude or any felony.</w:t>
      </w:r>
    </w:p>
    <w:p>
      <w:pPr>
        <w:pStyle w:val="TextBody"/>
        <w:bidi w:val="0"/>
        <w:spacing w:lineRule="auto" w:line="288" w:before="240" w:after="240"/>
        <w:ind w:left="0" w:right="0" w:firstLine="1440"/>
        <w:jc w:val="both"/>
        <w:rPr/>
      </w:pPr>
      <w:r>
        <w:rPr>
          <w:color w:val="000000"/>
        </w:rPr>
        <w:t>“</w:t>
      </w:r>
      <w:r>
        <w:rPr>
          <w:rFonts w:ascii="Times New Roman;sans-serif" w:hAnsi="Times New Roman;sans-serif"/>
          <w:b w:val="false"/>
          <w:i/>
          <w:color w:val="000000"/>
          <w:sz w:val="24"/>
        </w:rPr>
        <w:t>Good Reason</w:t>
      </w:r>
      <w:r>
        <w:rPr>
          <w:color w:val="000000"/>
        </w:rPr>
        <w:t xml:space="preserve">” </w:t>
      </w:r>
      <w:r>
        <w:rPr>
          <w:rFonts w:ascii="Times New Roman;sans-serif" w:hAnsi="Times New Roman;sans-serif"/>
          <w:b w:val="false"/>
          <w:color w:val="000000"/>
          <w:sz w:val="24"/>
        </w:rPr>
        <w:t xml:space="preserve">means that (1) without your consent, (A) your base salary or annual bonus target (as each may be increased from time to time in the Compensation Committee’s discretion) is reduced, (B) your title is diminished, (C) you report to someone other than the CEO or the Chairman of the Board, (D) your responsibilities as in effect immediately after the Commencement Date are thereafter materially diminished, (E) the Company materially breaches its obligations to you under this Agreement or, (F) the Company requires that your principal office be located more than fifty (50) miles from Manhattan, (2) you have given the Company written notice, referring specifically to this letter and definition, that you do not consent to such action, (3) the Company has not corrected such action within 30 days of receiving such notice, </w:t>
      </w:r>
      <w:r>
        <w:rPr>
          <w:rFonts w:ascii="Times New Roman;sans-serif" w:hAnsi="Times New Roman;sans-serif"/>
          <w:b w:val="false"/>
          <w:color w:val="000000"/>
          <w:sz w:val="24"/>
          <w:u w:val="single"/>
        </w:rPr>
        <w:t>and</w:t>
      </w:r>
      <w:r>
        <w:rPr>
          <w:color w:val="000000"/>
        </w:rPr>
        <w:t xml:space="preserve"> </w:t>
      </w:r>
      <w:r>
        <w:rPr>
          <w:rFonts w:ascii="Times New Roman;sans-serif" w:hAnsi="Times New Roman;sans-serif"/>
          <w:b w:val="false"/>
          <w:color w:val="000000"/>
          <w:sz w:val="24"/>
        </w:rPr>
        <w:t>(4) you voluntarily terminate your employment with the Company within 90 days following the happening of the action described in subsection (1) above.</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 is the parties’ intention that this Agreement not be construed more strictly with regard to you or the Company. This Agreement reflects the entire understanding and agreement of you and the Company with respect to the subject matter hereof and supersedes all prior understandings and agreements.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- 8 -</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AMC NETWORKS INC. </w:t>
      </w:r>
    </w:p>
    <w:p>
      <w:pPr>
        <w:pStyle w:val="TextBody"/>
        <w:bidi w:val="0"/>
        <w:spacing w:before="24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Kristin Dolan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Kristin Dolan</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Executive Officer</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November 12, 2024</w:t>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ACCEPTED AND AGREED: </w:t>
      </w:r>
    </w:p>
    <w:p>
      <w:pPr>
        <w:pStyle w:val="TextBody"/>
        <w:bidi w:val="0"/>
        <w:spacing w:before="240" w:after="283"/>
        <w:jc w:val="left"/>
        <w:rPr/>
      </w:pPr>
      <w:r>
        <w:rPr/>
      </w:r>
    </w:p>
    <w:p>
      <w:pPr>
        <w:pStyle w:val="TextBody"/>
        <w:bidi w:val="0"/>
        <w:spacing w:lineRule="auto" w:line="288" w:before="240" w:after="283"/>
        <w:jc w:val="left"/>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Salvatore Romanello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Name: Salvatore Romanello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November 12,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- 9 -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i/>
          <w:color w:val="000000"/>
          <w:sz w:val="24"/>
        </w:rPr>
      </w:pPr>
      <w:r>
        <w:rPr>
          <w:rFonts w:ascii="Times New Roman;sans-serif" w:hAnsi="Times New Roman;sans-serif"/>
          <w:b/>
          <w:i/>
          <w:color w:val="000000"/>
          <w:sz w:val="24"/>
        </w:rPr>
        <w:t>ANNEX I</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This Annex constitutes part of the Agreement, dated November 12, 2024, by and between Salvatore Romanello (“</w:t>
      </w:r>
      <w:r>
        <w:rPr>
          <w:rFonts w:ascii="Times New Roman;sans-serif" w:hAnsi="Times New Roman;sans-serif"/>
          <w:b w:val="false"/>
          <w:i/>
          <w:color w:val="000000"/>
          <w:sz w:val="24"/>
        </w:rPr>
        <w:t>You</w:t>
      </w:r>
      <w:r>
        <w:rPr>
          <w:color w:val="000000"/>
        </w:rPr>
        <w:t>”</w:t>
      </w:r>
      <w:r>
        <w:rPr>
          <w:rFonts w:ascii="Times New Roman;sans-serif" w:hAnsi="Times New Roman;sans-serif"/>
          <w:b w:val="false"/>
          <w:color w:val="000000"/>
          <w:sz w:val="24"/>
        </w:rPr>
        <w:t>) and AMC Networks Inc. (the “</w:t>
      </w:r>
      <w:r>
        <w:rPr>
          <w:rFonts w:ascii="Times New Roman;sans-serif" w:hAnsi="Times New Roman;sans-serif"/>
          <w:b w:val="false"/>
          <w:i/>
          <w:color w:val="000000"/>
          <w:sz w:val="24"/>
        </w:rPr>
        <w:t>Company</w:t>
      </w:r>
      <w:r>
        <w:rPr>
          <w:color w:val="000000"/>
        </w:rPr>
        <w:t>”</w:t>
      </w:r>
      <w:r>
        <w:rPr>
          <w:rFonts w:ascii="Times New Roman;sans-serif" w:hAnsi="Times New Roman;sans-serif"/>
          <w:b w:val="false"/>
          <w:color w:val="000000"/>
          <w:sz w:val="24"/>
        </w:rPr>
        <w:t>). Terms defined in the Agreement shall have the same meanings in this Annex.</w:t>
      </w:r>
    </w:p>
    <w:p>
      <w:pPr>
        <w:pStyle w:val="TextBody"/>
        <w:bidi w:val="0"/>
        <w:spacing w:lineRule="auto" w:line="288"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agree to comply with the following covenants in addition to those set forth in the Agreement.</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1.    Confidentiality</w:t>
      </w:r>
    </w:p>
    <w:p>
      <w:pPr>
        <w:pStyle w:val="TextBody"/>
        <w:bidi w:val="0"/>
        <w:spacing w:lineRule="auto" w:line="288" w:before="240" w:after="283"/>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Agreement</w:t>
      </w:r>
      <w:r>
        <w:rPr>
          <w:rFonts w:ascii="Times New Roman;sans-serif" w:hAnsi="Times New Roman;sans-serif"/>
          <w:b w:val="false"/>
          <w:color w:val="000000"/>
          <w:sz w:val="24"/>
        </w:rPr>
        <w:t xml:space="preserve">. You agree to keep the existence and terms of this Agreement confidential (unless it is made public by the Company)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(1) you are authorized to make any disclosure required of you by any federal, state or local laws or judicial proceedings, after providing the Company with prior written notice and an opportunity to respond to such disclosure (unless such notice is prohibited by law), (2) you may disclose this Agreement to your attorneys and advisers, (3) you and your representatives and agents may disclose to any and all persons, without limitation of any kind, the tax treatment and tax structure of this Agreement and all materials of any kind (including opinions or other tax analyses) that are provided to you relating to such tax treatment or structure, and (4) you may disclose this Agreement in connection with any action by you to enforce or defend your rights under this Agreement.</w:t>
      </w:r>
    </w:p>
    <w:p>
      <w:pPr>
        <w:pStyle w:val="TextBody"/>
        <w:bidi w:val="0"/>
        <w:spacing w:lineRule="auto" w:line="288" w:before="240" w:after="283"/>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Confidential and Proprietary Information</w:t>
      </w:r>
      <w:r>
        <w:rPr>
          <w:rFonts w:ascii="Times New Roman;sans-serif" w:hAnsi="Times New Roman;sans-serif"/>
          <w:b w:val="false"/>
          <w:color w:val="000000"/>
          <w:sz w:val="24"/>
        </w:rPr>
        <w:t xml:space="preserve">. You agree to retain in strict confidence and not use for any purpose whatsoever or divulge, disseminate, copy, disclose to any third party, or otherwise use any </w:t>
      </w:r>
      <w:r>
        <w:rPr>
          <w:rFonts w:ascii="Times New Roman;sans-serif" w:hAnsi="Times New Roman;sans-serif"/>
          <w:b w:val="false"/>
          <w:i/>
          <w:color w:val="000000"/>
          <w:sz w:val="24"/>
        </w:rPr>
        <w:t>Confidential Information</w:t>
      </w:r>
      <w:r>
        <w:rPr>
          <w:rFonts w:ascii="Times New Roman;sans-serif" w:hAnsi="Times New Roman;sans-serif"/>
          <w:b w:val="false"/>
          <w:color w:val="000000"/>
          <w:sz w:val="24"/>
        </w:rPr>
        <w:t>, other than for legitimate business purposes of the Company and its affiliates. As used herein, “</w:t>
      </w:r>
      <w:r>
        <w:rPr>
          <w:rFonts w:ascii="Times New Roman;sans-serif" w:hAnsi="Times New Roman;sans-serif"/>
          <w:b w:val="false"/>
          <w:i/>
          <w:color w:val="000000"/>
          <w:sz w:val="24"/>
        </w:rPr>
        <w:t>Confidential Information</w:t>
      </w:r>
      <w:r>
        <w:rPr>
          <w:color w:val="000000"/>
        </w:rPr>
        <w:t xml:space="preserve">” </w:t>
      </w:r>
      <w:r>
        <w:rPr>
          <w:rFonts w:ascii="Times New Roman;sans-serif" w:hAnsi="Times New Roman;sans-serif"/>
          <w:b w:val="false"/>
          <w:color w:val="000000"/>
          <w:sz w:val="24"/>
        </w:rPr>
        <w:t>means any non-public information of a confidential, proprietary, commercially sensitive or personal nature of, or regarding, the Company or any of its affiliates or any director, officer or member of senior management of any of the foregoing (collectively “</w:t>
      </w:r>
      <w:r>
        <w:rPr>
          <w:rFonts w:ascii="Times New Roman;sans-serif" w:hAnsi="Times New Roman;sans-serif"/>
          <w:b w:val="false"/>
          <w:i/>
          <w:color w:val="000000"/>
          <w:sz w:val="24"/>
        </w:rPr>
        <w:t>Covered Parties</w:t>
      </w:r>
      <w:r>
        <w:rPr>
          <w:color w:val="000000"/>
        </w:rPr>
        <w:t>”</w:t>
      </w:r>
      <w:r>
        <w:rPr>
          <w:rFonts w:ascii="Times New Roman;sans-serif" w:hAnsi="Times New Roman;sans-serif"/>
          <w:b w:val="false"/>
          <w:color w:val="000000"/>
          <w:sz w:val="24"/>
        </w:rPr>
        <w:t>). The term Confidential Information includes information in written, digital, oral or any other format and includes, but is not limited to (i) information designated or treated as confidential, (ii) budgets, plans, forecasts or other financial or accounting data; (iii) subscriber, customer, guest, fan vendor or shareholder lists or data; (iv) technical or strategic information regarding the Covered Parties’ cable, data, television production, programming, advertising, sports, entertainment, film production, theatrical, motion picture exhibition or other businesses, (v) advertising, business, programming, sales or marketing tactics and strategies; (vi) policies, practices, procedures or techniques, (vii) trade secrets or other intellectual property; (viii) information, theories or strategies relating to litigation, arbitration, mediation, investigations or matters relating to governmental authorities; (ix) terms of agreements with third parties and third party trade secrets, (x) information regarding employees, players, coaches, agents, talent, consultants, advisors or representatives, including their compensation or other human resources policies and procedures and (xi) any other information the disclosure of which may have an adverse effect on the Covered Parties’ business reputation, operations or competitive position, reputation or standing in the community.</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145"/>
                <wp:effectExtent l="0" t="0" r="0" b="0"/>
                <wp:wrapNone/>
                <wp:docPr id="52" name="Frame51"/>
                <a:graphic xmlns:a="http://schemas.openxmlformats.org/drawingml/2006/main">
                  <a:graphicData uri="http://schemas.microsoft.com/office/word/2010/wordprocessingShape">
                    <wps:wsp>
                      <wps:cNvSpPr txBox="1"/>
                      <wps:spPr>
                        <a:xfrm>
                          <a:off x="0" y="0"/>
                          <a:ext cx="6480175" cy="5251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r>
                              <w:br w:type="page"/>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4883-6143-3894 v.9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- 10 -</w:t>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4883-6143-3894 v.9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color w:val="000000"/>
          <w:sz w:val="24"/>
          <w:u w:val="single"/>
        </w:rPr>
        <w:t>Exception for Disclosure Pursuant to Law</w:t>
      </w:r>
      <w:r>
        <w:rPr>
          <w:rFonts w:ascii="Times New Roman;sans-serif" w:hAnsi="Times New Roman;sans-serif"/>
          <w:b w:val="false"/>
          <w:color w:val="000000"/>
          <w:sz w:val="24"/>
        </w:rPr>
        <w:t>. Notwithstanding the foregoing, the obligations set forth in subsection (b) above, other than with respect to subscriber or customer information, shall not apply to Confidential Information that is:</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1)    already in the public domain;</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2)    disclosed to you by a third party with the right to disclose it in good faith; or</w:t>
      </w:r>
    </w:p>
    <w:p>
      <w:pPr>
        <w:pStyle w:val="TextBody"/>
        <w:bidi w:val="0"/>
        <w:spacing w:lineRule="auto" w:line="288" w:before="240" w:after="283"/>
        <w:ind w:left="0" w:right="0" w:hanging="720"/>
        <w:jc w:val="left"/>
        <w:rPr>
          <w:rFonts w:ascii="Times New Roman;sans-serif" w:hAnsi="Times New Roman;sans-serif"/>
          <w:b w:val="false"/>
          <w:color w:val="000000"/>
          <w:sz w:val="24"/>
        </w:rPr>
      </w:pPr>
      <w:r>
        <w:rPr>
          <w:rFonts w:ascii="Times New Roman;sans-serif" w:hAnsi="Times New Roman;sans-serif"/>
          <w:b w:val="false"/>
          <w:color w:val="000000"/>
          <w:sz w:val="24"/>
        </w:rPr>
        <w:t>3)    specifically exempted in writing by the applicable Covered Party from the applicability of this Agreement.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in this Agreement or otherwise, nothing shall limit your rights under applicable law to provide truthful information to any governmental entity or to file a charge with or participate in an investigation conducted by any governmental entity.</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are hereby notified that the immunity provisions in Section 1833 of title 18 of the United States Code provide that an individual cannot be held criminally or civilly liable under any federal or state trade secret law for any disclosure of a trade secret that is made (1) in confidence to federal, state or local government officials, either directly or indirectly, or to an attorney, and is solely for the purpose of reporting or investigating a suspected violation of the law, (2) under seal in a complaint or other document filed in a lawsuit or other proceeding, or (3) to your attorney in connection with a lawsuit for retaliation for reporting a suspected violation of law (and the trade secret may be used in the court proceedings for such lawsuit) as long as any document containing the trade secret is filed under seal and the trade secret is not disclosed except pursuant to court order.</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2.    Non-Compete</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You acknowledge that due to your executive position in the Company and your knowledge of Confidential Information, your employment by or affiliation with certain businesses would be detrimental to the Company or any of its direct or indirect subsidiaries. You agree that, without the prior written consent of the Company and to the extent permissible under applicable rules of professional responsibility, you will not represent, become employed by, consult to, advise in any manner or have any material interest, directly or indirectly, in any Competitive Entity (as defined below). A “</w:t>
      </w:r>
      <w:r>
        <w:rPr>
          <w:rFonts w:ascii="Times New Roman;sans-serif" w:hAnsi="Times New Roman;sans-serif"/>
          <w:b w:val="false"/>
          <w:i/>
          <w:color w:val="000000"/>
          <w:sz w:val="24"/>
        </w:rPr>
        <w:t>Competitive Entity</w:t>
      </w:r>
      <w:r>
        <w:rPr>
          <w:color w:val="000000"/>
        </w:rPr>
        <w:t xml:space="preserve">” </w:t>
      </w:r>
      <w:r>
        <w:rPr>
          <w:rFonts w:ascii="Times New Roman;sans-serif" w:hAnsi="Times New Roman;sans-serif"/>
          <w:b w:val="false"/>
          <w:color w:val="000000"/>
          <w:sz w:val="24"/>
        </w:rPr>
        <w:t xml:space="preserve">shall mean any person, entity or business that (i) competes with any of the Company’s or any of its affiliates’ programming or other existing businesses, nationally or regionally; or (ii) directly competes with any other business of the Company or one of its subsidiaries that produced greater than 10% of the Company’s revenues in the calendar year immediately preceding the year in which the determination is made. Ownership of not more than 1% of the outstanding stock of any publicly traded company shall not, by itself, be a violation of this paragraph. This agreement not to compete will expire on the first anniversary of the date on which your employment with the Company has terminated if such termination occurs prior to the Expiration Date.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- 11 -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avoidance of doubt, this agreement not to compete will expire on the Expiration Date if the termination of your employment with the Company occurs on the Expiration Date.</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3.    Additional Understandings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You agree, for yourself and others acting on your behalf, that you (and they) have not disparaged and will not disparage, make negative statements about or act in any manner which is intended to or does damage to the good will of, or the business or personal reputations of the Company, any of its affiliates or any of their respective incumbent or former officers, directors, agents, consultants, employees, successors and assigns.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This agreement in no way restricts or prevents you from providing truthful testimony concerning the Company or its affiliates (i) as required by court order or other legal process;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you afford the Company written notice and an opportunity to respond prior to such disclosure; or (ii) in proceedings to enforce or defend your rights under this agreement or any other written agreement between you and the Company or its affiliates.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In addition, you agree that the Company is the owner of all rights, title and interest in and to all documents, tapes, videos, designs, plans, formulas, models, processes, computer programs, inventions (whether patentable or not), schematics, music, lyrics, programming ideas and other technical, business, financial, advertising, sales, marketing, customer, programming or product development plans, forecasts, strategies, information and materials (in any medium whatsoever) developed or prepared by you or with your cooperation during the course of your employment by the Company (the “</w:t>
      </w:r>
      <w:r>
        <w:rPr>
          <w:rFonts w:ascii="Times New Roman;sans-serif" w:hAnsi="Times New Roman;sans-serif"/>
          <w:b w:val="false"/>
          <w:i/>
          <w:color w:val="000000"/>
          <w:sz w:val="24"/>
        </w:rPr>
        <w:t>Materials</w:t>
      </w:r>
      <w:r>
        <w:rPr>
          <w:color w:val="000000"/>
        </w:rPr>
        <w:t>”</w:t>
      </w:r>
      <w:r>
        <w:rPr>
          <w:rFonts w:ascii="Times New Roman;sans-serif" w:hAnsi="Times New Roman;sans-serif"/>
          <w:b w:val="false"/>
          <w:color w:val="000000"/>
          <w:sz w:val="24"/>
        </w:rPr>
        <w:t>). The Company will have the sole and exclusive authority to use the Materials in any manner that it deems appropriate, in perpetuity, without additional payment to you.</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4.    Further Cooperation</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date of termination of your employment with the Company, you will no longer provide any regular services to the Company or represent yourself as a Company agent. If, however, the Company so requests, you agree to cooperate fully with the Company in connection with any matter with which you were involved prior to such employment termination, or in any litigation or administrative proceedings or appeals (including any preparation therefore) where the Company believes that your personal knowledge, attendance or participation could be beneficial to the Company or its affiliates. This cooperation includes, without limitation, participation on behalf of the Company and/or its affiliates in any litigation, administrative or similar proceeding, including providing truthful testimony. The Company will pay you for your services rendered under this provision at a rate of $4,000.00 per day for each day or part thereof, within 30 days of the approval of the invoice thereof.</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will provide you with reasonable notice in connection with any cooperation it requires in accordance with this section and will take reasonable steps to schedule your cooperation in any such matters so as not to materially interfere with your other professional and personal commitments. The Company will reimburse you for any reasonable out-of-pocket expenses you reasonably incur in connection with the cooperation you provide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- 12 -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hereunder as soon as practicable after you present appropriate documentation evidencing such expenses. You agree to provide the Company with an estimate of any such expense before it is incurred.</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5.    No Hire or Solicit</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Throughout your employment and until one year after the termination of your employment, you agree not to hire, seek to hire, or cause any person or entity to hire or seek to hire (without the prior written consent of the Company), directly or indirectly (whether for your own interest or any other person or entity’s interest) any employee of the Company or any of its affiliates.</w:t>
      </w:r>
    </w:p>
    <w:p>
      <w:pPr>
        <w:pStyle w:val="TextBody"/>
        <w:bidi w:val="0"/>
        <w:spacing w:lineRule="auto" w:line="288" w:before="24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This restriction does not apply to any employee who was discharged by the Company or any of its affiliates. In addition, this restriction will not prevent you from providing references.</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6.    Acknowledgments</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You acknowledge that the restrictions contained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in light of the nature of the Company’s business and your position and responsibilities, are reasonable and necessary to protect the legitimate interests of the Company. You acknowledge that the Company has no adequate remedy at law and would be irreparably harmed if you breach or threaten to breach any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and therefore agree that the Company shall be entitled to injunctive relief to prevent any breach or threatened breach of any of the provisions and to specific performance of the terms of each of such provisions in addition to any other legal or equitable remedy it may have. You further agree that you will not, in any equity proceeding relating to the enforcement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raise the defense that the Company has an adequate remedy at law. Nothing in this </w:t>
      </w:r>
      <w:r>
        <w:rPr>
          <w:rFonts w:ascii="Times New Roman;sans-serif" w:hAnsi="Times New Roman;sans-serif"/>
          <w:b w:val="false"/>
          <w:i/>
          <w:color w:val="000000"/>
          <w:sz w:val="24"/>
        </w:rPr>
        <w:t>Annex</w:t>
      </w:r>
      <w:r>
        <w:rPr>
          <w:color w:val="000000"/>
        </w:rPr>
        <w:t xml:space="preserve"> </w:t>
      </w:r>
      <w:r>
        <w:rPr>
          <w:rFonts w:ascii="Times New Roman;sans-serif" w:hAnsi="Times New Roman;sans-serif"/>
          <w:b w:val="false"/>
          <w:color w:val="000000"/>
          <w:sz w:val="24"/>
        </w:rPr>
        <w:t xml:space="preserve">shall be construed as prohibiting the Company from pursuing any other remedies at law or in equity that it may have or any other rights that it may have under any other agreement. If it is determined that any of the provisions of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or any part thereof, is unenforceable because of the duration or scope (geographic or otherwise) of such provision, it is the intention of the parties that the duration or scope of such provision, as the case may be, shall be reduced so that such provision becomes enforceable and, in its reduced form, such provision shall then be enforceable and shall be enforced. Notwithstanding anything to the contrary contained in this Agreement, in the event you violate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 xml:space="preserve">, then, in addition to all other rights and remedies available to the Company, the Company shall have no further obligation to pay you any severance benefits or to provide you with any other rights or benefits to which you would have been entitled pursuant to this Agreement had you not breached the covenants and agreements set forth in this </w:t>
      </w:r>
      <w:r>
        <w:rPr>
          <w:rFonts w:ascii="Times New Roman;sans-serif" w:hAnsi="Times New Roman;sans-serif"/>
          <w:b w:val="false"/>
          <w:i/>
          <w:color w:val="000000"/>
          <w:sz w:val="24"/>
        </w:rPr>
        <w:t>Annex</w:t>
      </w:r>
      <w:r>
        <w:rPr>
          <w:rFonts w:ascii="Times New Roman;sans-serif" w:hAnsi="Times New Roman;sans-serif"/>
          <w:b w:val="false"/>
          <w:color w:val="000000"/>
          <w:sz w:val="24"/>
        </w:rPr>
        <w:t>.</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7.    Survival</w:t>
      </w:r>
    </w:p>
    <w:p>
      <w:pPr>
        <w:pStyle w:val="TextBody"/>
        <w:bidi w:val="0"/>
        <w:spacing w:lineRule="auto" w:line="288" w:before="240" w:after="240"/>
        <w:ind w:left="0" w:right="0" w:firstLine="1440"/>
        <w:jc w:val="both"/>
        <w:rPr/>
      </w:pPr>
      <w:r>
        <w:rPr>
          <w:rFonts w:ascii="Times New Roman;sans-serif" w:hAnsi="Times New Roman;sans-serif"/>
          <w:b w:val="false"/>
          <w:color w:val="000000"/>
          <w:sz w:val="24"/>
        </w:rPr>
        <w:t xml:space="preserve">The covenants and agreement set forth in this </w:t>
      </w:r>
      <w:r>
        <w:rPr>
          <w:rFonts w:ascii="Times New Roman;sans-serif" w:hAnsi="Times New Roman;sans-serif"/>
          <w:b w:val="false"/>
          <w:i/>
          <w:color w:val="000000"/>
          <w:sz w:val="24"/>
        </w:rPr>
        <w:t>Annex</w:t>
      </w:r>
      <w:r>
        <w:rPr>
          <w:color w:val="000000"/>
        </w:rPr>
        <w:t xml:space="preserve"> </w:t>
      </w:r>
      <w:r>
        <w:rPr>
          <w:rFonts w:ascii="Times New Roman;sans-serif" w:hAnsi="Times New Roman;sans-serif"/>
          <w:b w:val="false"/>
          <w:color w:val="000000"/>
          <w:sz w:val="24"/>
        </w:rPr>
        <w:t>shall survive any termination or expiration of this Agreement and any termination of your employment with the Company, in accordance with their respective terms.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1" w:before="0" w:after="200"/>
        <w:jc w:val="right"/>
        <w:rPr>
          <w:rFonts w:ascii="Times New Roman;sans-serif" w:hAnsi="Times New Roman;sans-serif"/>
          <w:b w:val="false"/>
          <w:color w:val="000000"/>
          <w:sz w:val="20"/>
        </w:rPr>
      </w:pPr>
      <w:r>
        <w:rPr>
          <w:rFonts w:ascii="Times New Roman;sans-serif" w:hAnsi="Times New Roman;sans-serif"/>
          <w:b w:val="false"/>
          <w:color w:val="000000"/>
          <w:sz w:val="20"/>
        </w:rPr>
        <w:t>Exhibit 22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- 13 -</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center"/>
        <w:rPr>
          <w:rFonts w:ascii="Times New Roman;sans-serif" w:hAnsi="Times New Roman;sans-serif"/>
          <w:b/>
          <w:color w:val="000000"/>
          <w:sz w:val="20"/>
        </w:rPr>
      </w:pPr>
      <w:r>
        <w:rPr>
          <w:rFonts w:ascii="Times New Roman;sans-serif" w:hAnsi="Times New Roman;sans-serif"/>
          <w:b/>
          <w:color w:val="000000"/>
          <w:sz w:val="20"/>
        </w:rPr>
        <w:t>List of Guarantor Subsidiaries</w:t>
      </w:r>
    </w:p>
    <w:p>
      <w:pPr>
        <w:pStyle w:val="TextBody"/>
        <w:bidi w:val="0"/>
        <w:spacing w:lineRule="auto" w:line="288" w:before="60" w:after="6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following subsidiaries of AMC Networks Inc. guarantee the notes issued by AMC Networks Inc.</w:t>
      </w:r>
    </w:p>
    <w:tbl>
      <w:tblPr>
        <w:tblW w:w="6042" w:type="dxa"/>
        <w:jc w:val="left"/>
        <w:tblInd w:w="0" w:type="dxa"/>
        <w:tblLayout w:type="fixed"/>
        <w:tblCellMar>
          <w:top w:w="28" w:type="dxa"/>
          <w:left w:w="28" w:type="dxa"/>
          <w:bottom w:w="28" w:type="dxa"/>
          <w:right w:w="28" w:type="dxa"/>
        </w:tblCellMar>
      </w:tblPr>
      <w:tblGrid>
        <w:gridCol w:w="1301"/>
        <w:gridCol w:w="1146"/>
        <w:gridCol w:w="1153"/>
        <w:gridCol w:w="109"/>
        <w:gridCol w:w="109"/>
        <w:gridCol w:w="109"/>
        <w:gridCol w:w="619"/>
        <w:gridCol w:w="619"/>
        <w:gridCol w:w="877"/>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36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2nd Party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61st Street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Across the River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Aesir Media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Film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Games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 Entertainment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Broadcasting &amp;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York</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International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Networks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New Video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Plus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Premiere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AMC/Sundance Channel Global Networks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AMCN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American Movie Classics IV Holding Corp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Animal Control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Anime Network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Anthem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Badlands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Brockmire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Cobalt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Comic Scribe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Crossed Pens Development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Dark Winds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Digital Store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Dispatches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Expedition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Families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Five Moons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Geese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Ground Work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Halt and Catch Fire Productions IV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Halt and Catch Fire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Hap and Leonard Productions 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6" w:type="dxa"/>
        <w:jc w:val="left"/>
        <w:tblInd w:w="0" w:type="dxa"/>
        <w:tblLayout w:type="fixed"/>
        <w:tblCellMar>
          <w:top w:w="28" w:type="dxa"/>
          <w:left w:w="28" w:type="dxa"/>
          <w:bottom w:w="28" w:type="dxa"/>
          <w:right w:w="28" w:type="dxa"/>
        </w:tblCellMar>
      </w:tblPr>
      <w:tblGrid>
        <w:gridCol w:w="1079"/>
        <w:gridCol w:w="950"/>
        <w:gridCol w:w="955"/>
        <w:gridCol w:w="109"/>
        <w:gridCol w:w="109"/>
        <w:gridCol w:w="109"/>
        <w:gridCol w:w="619"/>
        <w:gridCol w:w="619"/>
        <w:gridCol w:w="877"/>
      </w:tblGrid>
      <w:tr>
        <w:trPr/>
        <w:tc>
          <w:tcPr>
            <w:tcW w:w="107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HIDIVE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Entertainment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Films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In Theaters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Productions 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Television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Concessions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Theatres,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IFC TV Studios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Japan Creative Contents Alliance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Kindred Spirit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Kopus Productions 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Kopus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Lodge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Lodge Productions 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Making Waves Studio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Mechanical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Monument Productions 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Moonhaven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Newfound Lake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Video Channel America,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Video Channel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Video Channel Scribes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NOS4A2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Rhode Island</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 Pit Properties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Peachwood Productions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Pens Down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Premier Quills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Content Distribution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Rainbow Media Enterprises,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Rainbow Media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III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Rectify Productions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Rectify Productions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 Monday Programming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Holding Corporation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RNC II Holding Corporation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Roughhouse Productions 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Selects VOD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366" w:type="dxa"/>
        <w:jc w:val="left"/>
        <w:tblInd w:w="0" w:type="dxa"/>
        <w:tblLayout w:type="fixed"/>
        <w:tblCellMar>
          <w:top w:w="28" w:type="dxa"/>
          <w:left w:w="28" w:type="dxa"/>
          <w:bottom w:w="28" w:type="dxa"/>
          <w:right w:w="28" w:type="dxa"/>
        </w:tblCellMar>
      </w:tblPr>
      <w:tblGrid>
        <w:gridCol w:w="1058"/>
        <w:gridCol w:w="930"/>
        <w:gridCol w:w="936"/>
        <w:gridCol w:w="109"/>
        <w:gridCol w:w="109"/>
        <w:gridCol w:w="109"/>
        <w:gridCol w:w="619"/>
        <w:gridCol w:w="619"/>
        <w:gridCol w:w="877"/>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Guarantor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Jurisdiction of Formation</w:t>
            </w:r>
          </w:p>
        </w:tc>
      </w:tr>
      <w:tr>
        <w:trPr/>
        <w:tc>
          <w:tcPr>
            <w:tcW w:w="2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Sentai Filmworks,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Shudder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Sleuth Secrets Productions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Stalwart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 Productions 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Channel Originals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Sundance Film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SundanceTV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Sxion 23,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Texas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IX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VIII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TWD Productions X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TWD Productions XI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Universe Productions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Vampire Chronicles Productions 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Louisiana</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Voom HD Holdings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Holdings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LLC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We TV Studios LLC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Woodbury Studios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Delaware</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Kristin A. Dolan,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44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5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 Patrick O’Connell, certify that: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report on Form 10-Q of AMC Networks Inc.;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40"/>
        <w:ind w:left="0" w:right="0" w:hanging="18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686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40"/>
        <w:ind w:left="0" w:right="0" w:hanging="9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40.0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Certifications</w:t>
      </w:r>
    </w:p>
    <w:p>
      <w:pPr>
        <w:pStyle w:val="TextBody"/>
        <w:bidi w:val="0"/>
        <w:spacing w:lineRule="auto" w:line="288" w:before="180" w:after="300"/>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18 U.S.C. § 1350, each of the undersigned officers of AMC Networks Inc. (“AMC Networks”) hereby certifies, to such officer’s knowledge, that AMC Networks’ Quarterly Report on Form 10-Q for the quarter ended March 31, 2025 (the “Report”) fully complies with the requirements of Section 13(a) or 15(d), as applicable, of the Securities Exchange Act of 1934, and that the information contained in the Report fairly presents, in all material respects, the financial condition and results of operations of AMC Networks.</w:t>
      </w:r>
    </w:p>
    <w:tbl>
      <w:tblPr>
        <w:tblW w:w="449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Kristin A. Dolan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tbl>
      <w:tblPr>
        <w:tblW w:w="686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1297"/>
        <w:gridCol w:w="1297"/>
        <w:gridCol w:w="18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Patrick O’Connell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25055</Words>
  <Characters>142434</Characters>
  <CharactersWithSpaces>166014</CharactersWithSpaces>
  <Paragraphs>2815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