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tbl>
      <w:tblPr>
        <w:tblW w:w="7841" w:type="dxa"/>
        <w:jc w:val="center"/>
        <w:tblInd w:w="0" w:type="dxa"/>
        <w:tblCellMar>
          <w:top w:w="28" w:type="dxa"/>
          <w:left w:w="28" w:type="dxa"/>
          <w:bottom w:w="28" w:type="dxa"/>
          <w:right w:w="28" w:type="dxa"/>
        </w:tblCellMar>
      </w:tblPr>
      <w:tblGrid>
        <w:gridCol w:w="124"/>
        <w:gridCol w:w="109"/>
        <w:gridCol w:w="109"/>
        <w:gridCol w:w="2196"/>
        <w:gridCol w:w="2196"/>
        <w:gridCol w:w="31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887" w:type="dxa"/>
        <w:jc w:val="center"/>
        <w:tblInd w:w="0" w:type="dxa"/>
        <w:tblCellMar>
          <w:top w:w="28" w:type="dxa"/>
          <w:left w:w="28" w:type="dxa"/>
          <w:bottom w:w="28" w:type="dxa"/>
          <w:right w:w="28" w:type="dxa"/>
        </w:tblCellMar>
      </w:tblPr>
      <w:tblGrid>
        <w:gridCol w:w="124"/>
        <w:gridCol w:w="109"/>
        <w:gridCol w:w="109"/>
        <w:gridCol w:w="2204"/>
        <w:gridCol w:w="2204"/>
        <w:gridCol w:w="31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31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1-35106</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AMC Networks Inc.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4409" w:type="dxa"/>
        <w:jc w:val="center"/>
        <w:tblInd w:w="0" w:type="dxa"/>
        <w:tblCellMar>
          <w:top w:w="28" w:type="dxa"/>
          <w:left w:w="28" w:type="dxa"/>
          <w:bottom w:w="28" w:type="dxa"/>
          <w:right w:w="28" w:type="dxa"/>
        </w:tblCellMar>
      </w:tblPr>
      <w:tblGrid>
        <w:gridCol w:w="539"/>
        <w:gridCol w:w="473"/>
        <w:gridCol w:w="473"/>
        <w:gridCol w:w="473"/>
        <w:gridCol w:w="473"/>
        <w:gridCol w:w="494"/>
        <w:gridCol w:w="433"/>
        <w:gridCol w:w="433"/>
        <w:gridCol w:w="618"/>
      </w:tblGrid>
      <w:tr>
        <w:trPr/>
        <w:tc>
          <w:tcPr>
            <w:tcW w:w="53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27-5403694</w:t>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 Penn Plaza,</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324-8500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spacing w:before="0" w:after="0"/>
        <w:jc w:val="center"/>
        <w:rPr/>
      </w:pPr>
      <w:r>
        <w:rPr/>
      </w:r>
    </w:p>
    <w:tbl>
      <w:tblPr>
        <w:tblW w:w="8978" w:type="dxa"/>
        <w:jc w:val="center"/>
        <w:tblInd w:w="0" w:type="dxa"/>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AMCX</w:t>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The</w:t>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Market LLC</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80" w:after="283"/>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8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as of May 2, 2023:</w:t>
      </w:r>
    </w:p>
    <w:tbl>
      <w:tblPr>
        <w:tblW w:w="4636" w:type="dxa"/>
        <w:jc w:val="left"/>
        <w:tblInd w:w="0" w:type="dxa"/>
        <w:tblCellMar>
          <w:top w:w="28" w:type="dxa"/>
          <w:left w:w="28" w:type="dxa"/>
          <w:bottom w:w="28" w:type="dxa"/>
          <w:right w:w="28" w:type="dxa"/>
        </w:tblCellMar>
      </w:tblPr>
      <w:tblGrid>
        <w:gridCol w:w="1332"/>
        <w:gridCol w:w="1167"/>
        <w:gridCol w:w="1176"/>
        <w:gridCol w:w="281"/>
        <w:gridCol w:w="281"/>
        <w:gridCol w:w="399"/>
      </w:tblGrid>
      <w:tr>
        <w:trPr/>
        <w:tc>
          <w:tcPr>
            <w:tcW w:w="1332"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32,019,659</w:t>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11,484,408</w:t>
            </w:r>
          </w:p>
        </w:tc>
      </w:tr>
    </w:tbl>
    <w:p>
      <w:pPr>
        <w:pStyle w:val="TextBody"/>
        <w:spacing w:before="6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AMC NETWORKS INC. AND SUBSIDIARIES</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8550" w:type="dxa"/>
        <w:jc w:val="left"/>
        <w:tblInd w:w="0" w:type="dxa"/>
        <w:tblCellMar>
          <w:top w:w="28" w:type="dxa"/>
          <w:left w:w="28" w:type="dxa"/>
          <w:bottom w:w="28" w:type="dxa"/>
          <w:right w:w="28" w:type="dxa"/>
        </w:tblCellMar>
      </w:tblPr>
      <w:tblGrid>
        <w:gridCol w:w="2892"/>
        <w:gridCol w:w="2536"/>
        <w:gridCol w:w="2551"/>
        <w:gridCol w:w="167"/>
        <w:gridCol w:w="167"/>
        <w:gridCol w:w="237"/>
      </w:tblGrid>
      <w:tr>
        <w:trPr/>
        <w:tc>
          <w:tcPr>
            <w:tcW w:w="2892"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6">
              <w:r>
                <w:rPr>
                  <w:rStyle w:val="InternetLink"/>
                  <w:rFonts w:ascii="Times New Roman;sans-serif" w:hAnsi="Times New Roman;sans-serif"/>
                  <w:b w:val="false"/>
                  <w:color w:val="0000FF"/>
                  <w:sz w:val="20"/>
                  <w:u w:val="single"/>
                </w:rPr>
                <w:t>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93fe72477be41a8908a91bed0bfd513_19">
              <w:r>
                <w:rPr>
                  <w:rStyle w:val="InternetLink"/>
                  <w:rFonts w:ascii="Times New Roman;sans-serif" w:hAnsi="Times New Roman;sans-serif"/>
                  <w:b w:val="false"/>
                  <w:color w:val="0000FF"/>
                  <w:sz w:val="20"/>
                  <w:u w:val="single"/>
                </w:rPr>
                <w:t>Condensed Consolidated Statements of Income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9">
              <w:r>
                <w:rPr>
                  <w:rStyle w:val="InternetLink"/>
                  <w:rFonts w:ascii="Times New Roman;sans-serif" w:hAnsi="Times New Roman;sans-serif"/>
                  <w:b w:val="false"/>
                  <w:color w:val="0000FF"/>
                  <w:sz w:val="20"/>
                  <w:u w:val="single"/>
                </w:rPr>
                <w:t>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93fe72477be41a8908a91bed0bfd513_22">
              <w:r>
                <w:rPr>
                  <w:rStyle w:val="InternetLink"/>
                  <w:rFonts w:ascii="Times New Roman;sans-serif" w:hAnsi="Times New Roman;sans-serif"/>
                  <w:b w:val="false"/>
                  <w:color w:val="0000FF"/>
                  <w:sz w:val="20"/>
                  <w:u w:val="single"/>
                </w:rPr>
                <w:t>Condensed Consolidated Statements of Comprehensive Income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22">
              <w:r>
                <w:rPr>
                  <w:rStyle w:val="InternetLink"/>
                  <w:rFonts w:ascii="Times New Roman;sans-serif" w:hAnsi="Times New Roman;sans-serif"/>
                  <w:b w:val="false"/>
                  <w:color w:val="0000FF"/>
                  <w:sz w:val="20"/>
                  <w:u w:val="single"/>
                </w:rPr>
                <w:t>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93fe72477be41a8908a91bed0bfd513_25">
              <w:r>
                <w:rPr>
                  <w:rStyle w:val="InternetLink"/>
                  <w:rFonts w:ascii="Times New Roman;sans-serif" w:hAnsi="Times New Roman;sans-serif"/>
                  <w:b w:val="false"/>
                  <w:color w:val="0000FF"/>
                  <w:sz w:val="20"/>
                  <w:u w:val="single"/>
                </w:rPr>
                <w:t>Condensed Consolidated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25">
              <w:r>
                <w:rPr>
                  <w:rStyle w:val="InternetLink"/>
                  <w:rFonts w:ascii="Times New Roman;sans-serif" w:hAnsi="Times New Roman;sans-serif"/>
                  <w:b w:val="false"/>
                  <w:color w:val="0000FF"/>
                  <w:sz w:val="20"/>
                  <w:u w:val="single"/>
                </w:rPr>
                <w:t>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93fe72477be41a8908a91bed0bfd513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31">
              <w:r>
                <w:rPr>
                  <w:rStyle w:val="InternetLink"/>
                  <w:rFonts w:ascii="Times New Roman;sans-serif" w:hAnsi="Times New Roman;sans-serif"/>
                  <w:b w:val="false"/>
                  <w:color w:val="0000FF"/>
                  <w:sz w:val="20"/>
                  <w:u w:val="single"/>
                </w:rPr>
                <w:t>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34">
              <w:r>
                <w:rPr>
                  <w:rStyle w:val="InternetLink"/>
                  <w:rFonts w:ascii="Times New Roman;sans-serif" w:hAnsi="Times New Roman;sans-serif"/>
                  <w:b w:val="false"/>
                  <w:color w:val="0000FF"/>
                  <w:sz w:val="20"/>
                  <w:u w:val="single"/>
                </w:rPr>
                <w:t>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0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06">
              <w:r>
                <w:rPr>
                  <w:rStyle w:val="InternetLink"/>
                  <w:rFonts w:ascii="Times New Roman;sans-serif" w:hAnsi="Times New Roman;sans-serif"/>
                  <w:b w:val="false"/>
                  <w:color w:val="0000FF"/>
                  <w:sz w:val="20"/>
                  <w:u w:val="single"/>
                </w:rPr>
                <w:t>22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30">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30">
              <w:r>
                <w:rPr>
                  <w:rStyle w:val="InternetLink"/>
                  <w:rFonts w:ascii="Times New Roman;sans-serif" w:hAnsi="Times New Roman;sans-serif"/>
                  <w:b w:val="false"/>
                  <w:color w:val="0000FF"/>
                  <w:sz w:val="20"/>
                  <w:u w:val="single"/>
                </w:rPr>
                <w:t>34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33">
              <w:r>
                <w:rPr>
                  <w:rStyle w:val="InternetLink"/>
                  <w:rFonts w:ascii="Times New Roman;sans-serif" w:hAnsi="Times New Roman;sans-serif"/>
                  <w:b w:val="false"/>
                  <w:color w:val="0000FF"/>
                  <w:sz w:val="20"/>
                  <w:u w:val="single"/>
                </w:rPr>
                <w:t>Item 4. 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33">
              <w:r>
                <w:rPr>
                  <w:rStyle w:val="InternetLink"/>
                  <w:rFonts w:ascii="Times New Roman;sans-serif" w:hAnsi="Times New Roman;sans-serif"/>
                  <w:b w:val="false"/>
                  <w:color w:val="0000FF"/>
                  <w:sz w:val="20"/>
                  <w:u w:val="single"/>
                </w:rPr>
                <w:t>35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36">
              <w:r>
                <w:rPr>
                  <w:rStyle w:val="InternetLink"/>
                  <w:rFonts w:ascii="Times New Roman;sans-serif" w:hAnsi="Times New Roman;sans-serif"/>
                  <w:b/>
                  <w:color w:val="0000FF"/>
                  <w:sz w:val="20"/>
                  <w:u w:val="single"/>
                </w:rPr>
                <w:t>PART II.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39">
              <w:r>
                <w:rPr>
                  <w:rStyle w:val="InternetLink"/>
                  <w:rFonts w:ascii="Times New Roman;sans-serif" w:hAnsi="Times New Roman;sans-serif"/>
                  <w:b w:val="false"/>
                  <w:color w:val="0000FF"/>
                  <w:sz w:val="20"/>
                  <w:u w:val="single"/>
                </w:rPr>
                <w:t>Item 1. 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39">
              <w:r>
                <w:rPr>
                  <w:rStyle w:val="InternetLink"/>
                  <w:rFonts w:ascii="Times New Roman;sans-serif" w:hAnsi="Times New Roman;sans-serif"/>
                  <w:b w:val="false"/>
                  <w:color w:val="0000FF"/>
                  <w:sz w:val="20"/>
                  <w:u w:val="single"/>
                </w:rPr>
                <w:t>36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42">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42">
              <w:r>
                <w:rPr>
                  <w:rStyle w:val="InternetLink"/>
                  <w:rFonts w:ascii="Times New Roman;sans-serif" w:hAnsi="Times New Roman;sans-serif"/>
                  <w:b w:val="false"/>
                  <w:color w:val="0000FF"/>
                  <w:sz w:val="20"/>
                  <w:u w:val="single"/>
                </w:rPr>
                <w:t>36</w:t>
              </w:r>
            </w:hyperlink>
          </w:p>
        </w:tc>
      </w:tr>
      <w:tr>
        <w:trPr/>
        <w:tc>
          <w:tcPr>
            <w:tcW w:w="7979"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48">
              <w:r>
                <w:rPr>
                  <w:rStyle w:val="InternetLink"/>
                  <w:rFonts w:ascii="Times New Roman;sans-serif" w:hAnsi="Times New Roman;sans-serif"/>
                  <w:b w:val="false"/>
                  <w:color w:val="0000FF"/>
                  <w:sz w:val="20"/>
                  <w:u w:val="single"/>
                </w:rPr>
                <w:t>Item 6. 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48">
              <w:r>
                <w:rPr>
                  <w:rStyle w:val="InternetLink"/>
                  <w:rFonts w:ascii="Times New Roman;sans-serif" w:hAnsi="Times New Roman;sans-serif"/>
                  <w:b w:val="false"/>
                  <w:color w:val="0000FF"/>
                  <w:sz w:val="20"/>
                  <w:u w:val="single"/>
                </w:rPr>
                <w:t>36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93fe72477be41a8908a91bed0bfd513_151">
              <w:r>
                <w:rPr>
                  <w:rStyle w:val="InternetLink"/>
                  <w:rFonts w:ascii="Times New Roman;sans-serif" w:hAnsi="Times New Roman;sans-serif"/>
                  <w:b/>
                  <w:color w:val="0000FF"/>
                  <w:sz w:val="20"/>
                  <w:u w:val="single"/>
                </w:rPr>
                <w:t>SIGNATURES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93fe72477be41a8908a91bed0bfd513_151">
              <w:r>
                <w:rPr>
                  <w:rStyle w:val="InternetLink"/>
                  <w:rFonts w:ascii="Times New Roman;sans-serif" w:hAnsi="Times New Roman;sans-serif"/>
                  <w:b w:val="false"/>
                  <w:color w:val="0000FF"/>
                  <w:sz w:val="20"/>
                  <w:u w:val="single"/>
                </w:rPr>
                <w:t>37</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539" w:type="dxa"/>
        <w:jc w:val="center"/>
        <w:tblInd w:w="0" w:type="dxa"/>
        <w:tblCellMar>
          <w:top w:w="28" w:type="dxa"/>
          <w:left w:w="28" w:type="dxa"/>
          <w:bottom w:w="28" w:type="dxa"/>
          <w:right w:w="28" w:type="dxa"/>
        </w:tblCellMar>
      </w:tblPr>
      <w:tblGrid>
        <w:gridCol w:w="2950"/>
        <w:gridCol w:w="2281"/>
        <w:gridCol w:w="2292"/>
        <w:gridCol w:w="207"/>
        <w:gridCol w:w="922"/>
        <w:gridCol w:w="115"/>
        <w:gridCol w:w="109"/>
        <w:gridCol w:w="109"/>
        <w:gridCol w:w="109"/>
        <w:gridCol w:w="231"/>
        <w:gridCol w:w="1029"/>
        <w:gridCol w:w="185"/>
      </w:tblGrid>
      <w:tr>
        <w:trPr/>
        <w:tc>
          <w:tcPr>
            <w:tcW w:w="2950"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763,932 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(less allowance for doubtful accounts of $8,481 and $8,725)</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702,681 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722,185 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net</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286,875 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1,949,869 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$361,215 and $344,906</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202,034 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net</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1,869,182 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1,762,939 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345,286 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354,676 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647,293 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643,419 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108,229 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599,052 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5,463,238 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5,633,836 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106,740 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172,009 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401,206 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419,065 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obligations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70,785 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134,883 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portion of lease obligations </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35,667 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981,677 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1,170,233 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200,869 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2,763,767 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2,778,703 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116,380 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124,799 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106,907 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112,642 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139,108 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4,244,277 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4,526,354 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253,669 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360,000 shares authorized, 66,550 and 66,118 shares issued and 31,957 and 31,525 shares outstanding, respectively</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$0.01 par value, 90,000 shares authorized, 11,484 shares issued and outstanding </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45,000 shares authorized; none issued</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earnings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2,209,251 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2,105,641 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(34,593 and 34,593 shares Class A Common Stock, respectively)</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(228,470)</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(239,798)</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AMC Networks stockholders' equity</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921,796 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969,042 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853,813 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5,463,238 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5,633,836 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INCOME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tbl>
      <w:tblPr>
        <w:tblW w:w="9894" w:type="dxa"/>
        <w:jc w:val="center"/>
        <w:tblInd w:w="0" w:type="dxa"/>
        <w:tblCellMar>
          <w:top w:w="28" w:type="dxa"/>
          <w:left w:w="28" w:type="dxa"/>
          <w:bottom w:w="28" w:type="dxa"/>
          <w:right w:w="28" w:type="dxa"/>
        </w:tblCellMar>
      </w:tblPr>
      <w:tblGrid>
        <w:gridCol w:w="2017"/>
        <w:gridCol w:w="1772"/>
        <w:gridCol w:w="1790"/>
        <w:gridCol w:w="109"/>
        <w:gridCol w:w="109"/>
        <w:gridCol w:w="206"/>
        <w:gridCol w:w="206"/>
        <w:gridCol w:w="399"/>
        <w:gridCol w:w="1562"/>
        <w:gridCol w:w="206"/>
        <w:gridCol w:w="109"/>
        <w:gridCol w:w="109"/>
        <w:gridCol w:w="109"/>
        <w:gridCol w:w="211"/>
        <w:gridCol w:w="826"/>
        <w:gridCol w:w="154"/>
      </w:tblGrid>
      <w:tr>
        <w:trPr/>
        <w:tc>
          <w:tcPr>
            <w:tcW w:w="2017"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326,729 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185,606 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544,143 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(36,899)</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3"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c>
          <w:tcPr>
            <w:tcW w:w="3891" w:type="dxa"/>
            <w:gridSpan w:val="10"/>
            <w:tcBorders/>
            <w:shd w:fill="auto" w:val="clea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color w:val="000000"/>
        </w:rPr>
      </w:pPr>
      <w:r>
        <w:rPr>
          <w:color w:val="000000"/>
        </w:rPr>
        <w:t> </w:t>
      </w:r>
    </w:p>
    <w:tbl>
      <w:tblPr>
        <w:tblW w:w="9969" w:type="dxa"/>
        <w:jc w:val="left"/>
        <w:tblInd w:w="0" w:type="dxa"/>
        <w:tblCellMar>
          <w:top w:w="28" w:type="dxa"/>
          <w:left w:w="28" w:type="dxa"/>
          <w:bottom w:w="28" w:type="dxa"/>
          <w:right w:w="28" w:type="dxa"/>
        </w:tblCellMar>
      </w:tblPr>
      <w:tblGrid>
        <w:gridCol w:w="2047"/>
        <w:gridCol w:w="1799"/>
        <w:gridCol w:w="1808"/>
        <w:gridCol w:w="109"/>
        <w:gridCol w:w="109"/>
        <w:gridCol w:w="206"/>
        <w:gridCol w:w="206"/>
        <w:gridCol w:w="399"/>
        <w:gridCol w:w="1562"/>
        <w:gridCol w:w="206"/>
        <w:gridCol w:w="109"/>
        <w:gridCol w:w="109"/>
        <w:gridCol w:w="109"/>
        <w:gridCol w:w="211"/>
        <w:gridCol w:w="826"/>
        <w:gridCol w:w="154"/>
      </w:tblGrid>
      <w:tr>
        <w:trPr/>
        <w:tc>
          <w:tcPr>
            <w:tcW w:w="2047"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AMC Networks'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114,938 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tbl>
      <w:tblPr>
        <w:tblW w:w="13441" w:type="dxa"/>
        <w:jc w:val="center"/>
        <w:tblInd w:w="0" w:type="dxa"/>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206"/>
        <w:gridCol w:w="774"/>
        <w:gridCol w:w="116"/>
        <w:gridCol w:w="109"/>
        <w:gridCol w:w="109"/>
        <w:gridCol w:w="109"/>
        <w:gridCol w:w="247"/>
        <w:gridCol w:w="815"/>
        <w:gridCol w:w="139"/>
        <w:gridCol w:w="109"/>
        <w:gridCol w:w="109"/>
        <w:gridCol w:w="109"/>
        <w:gridCol w:w="203"/>
        <w:gridCol w:w="763"/>
        <w:gridCol w:w="160"/>
      </w:tblGrid>
      <w:tr>
        <w:trPr/>
        <w:tc>
          <w:tcPr>
            <w:tcW w:w="77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806,988 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member</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2,209,251 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(228,470)</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921,796 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47,246 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969,042 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3441" w:type="dxa"/>
        <w:jc w:val="center"/>
        <w:tblInd w:w="0" w:type="dxa"/>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206"/>
        <w:gridCol w:w="774"/>
        <w:gridCol w:w="116"/>
        <w:gridCol w:w="109"/>
        <w:gridCol w:w="109"/>
        <w:gridCol w:w="109"/>
        <w:gridCol w:w="247"/>
        <w:gridCol w:w="815"/>
        <w:gridCol w:w="139"/>
        <w:gridCol w:w="109"/>
        <w:gridCol w:w="109"/>
        <w:gridCol w:w="109"/>
        <w:gridCol w:w="203"/>
        <w:gridCol w:w="763"/>
        <w:gridCol w:w="160"/>
      </w:tblGrid>
      <w:tr>
        <w:trPr/>
        <w:tc>
          <w:tcPr>
            <w:tcW w:w="77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(175,818)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851,088 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51,584 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902,672 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2,202,235 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(193,580)</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925,351 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51,627 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976,978 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 (unaudited)</w:t>
      </w:r>
    </w:p>
    <w:tbl>
      <w:tblPr>
        <w:tblW w:w="9148" w:type="dxa"/>
        <w:jc w:val="center"/>
        <w:tblInd w:w="0" w:type="dxa"/>
        <w:tblCellMar>
          <w:top w:w="28" w:type="dxa"/>
          <w:left w:w="28" w:type="dxa"/>
          <w:bottom w:w="28" w:type="dxa"/>
          <w:right w:w="28" w:type="dxa"/>
        </w:tblCellMar>
      </w:tblPr>
      <w:tblGrid>
        <w:gridCol w:w="2284"/>
        <w:gridCol w:w="2013"/>
        <w:gridCol w:w="2018"/>
        <w:gridCol w:w="224"/>
        <w:gridCol w:w="879"/>
        <w:gridCol w:w="116"/>
        <w:gridCol w:w="116"/>
        <w:gridCol w:w="116"/>
        <w:gridCol w:w="116"/>
        <w:gridCol w:w="224"/>
        <w:gridCol w:w="879"/>
        <w:gridCol w:w="163"/>
      </w:tblGrid>
      <w:tr>
        <w:trPr/>
        <w:tc>
          <w:tcPr>
            <w:tcW w:w="2284"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 related to equity classified awards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program rights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carriage fees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transaction loss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discounts on indebtedness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trade</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and obligations,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(370,304)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(340,300)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carriage fees,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(122,906)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 from investees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repurchases of restricted stock units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 from operations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892,221 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763,932 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spacing w:lineRule="auto" w:line="288" w:before="120" w:after="1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Description of Business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spacing w:lineRule="auto" w:line="288" w:before="120" w:after="120"/>
        <w:ind w:left="0" w:right="0" w:hanging="360"/>
        <w:jc w:val="both"/>
        <w:rPr/>
      </w:pPr>
      <w:r>
        <w:rPr>
          <w:color w:val="000000"/>
          <w:highlight w:val="white"/>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programming services and AMC Broadcasting &amp; Technology. Our programming services consist of our five 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pStyle w:val="TextBody"/>
        <w:spacing w:lineRule="auto" w:line="288" w:before="120" w:after="120"/>
        <w:ind w:left="0" w:right="0" w:hanging="360"/>
        <w:jc w:val="both"/>
        <w:rPr/>
      </w:pPr>
      <w:r>
        <w:rPr>
          <w:color w:val="000000"/>
          <w:highlight w:val="white"/>
        </w:rPr>
        <w:t>•</w:t>
      </w:r>
      <w:r>
        <w:rPr>
          <w:rFonts w:ascii="Times New Roman;sans-serif" w:hAnsi="Times New Roman;sans-serif"/>
          <w:b w:val="false"/>
          <w:i/>
          <w:color w:val="000000"/>
          <w:sz w:val="20"/>
        </w:rPr>
        <w:t>International and Other</w:t>
      </w:r>
      <w:r>
        <w:rPr>
          <w:rFonts w:ascii="Times New Roman;sans-serif" w:hAnsi="Times New Roman;sans-serif"/>
          <w:b w:val="false"/>
          <w:color w:val="000000"/>
          <w:sz w:val="20"/>
        </w:rPr>
        <w:t>: Includes AMC Networks International ("AMCNI"), our international programming businesses consisting of a portfolio of channels around the world, and 25/7 Media, our production services business.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Interim Financial Statements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2022 contained in the Company's Annual Report on Form 10-K ("2022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the results that might be expected for future interim periods or for the full year ending December 31, 2023.</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spacing w:before="120" w:after="1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spacing w:lineRule="auto" w:line="288" w:before="120" w:after="120"/>
        <w:ind w:left="0" w:right="0" w:firstLine="450"/>
        <w:jc w:val="both"/>
        <w:rPr/>
      </w:pPr>
      <w:r>
        <w:rPr>
          <w:rFonts w:ascii="Times New Roman;sans-serif" w:hAnsi="Times New Roman;sans-serif"/>
          <w:b w:val="false"/>
          <w:color w:val="000000"/>
          <w:sz w:val="20"/>
        </w:rPr>
        <w:t xml:space="preserve">As of March 31, 2023, other than contracts for which the Company has applied the practical expedients, the aggregate amount of transaction price allocated to future performance obligations was </w:t>
      </w:r>
      <w:r>
        <w:rPr>
          <w:rFonts w:ascii="Times New Roman;sans-serif" w:hAnsi="Times New Roman;sans-serif"/>
          <w:b w:val="false"/>
          <w:color w:val="000000"/>
          <w:sz w:val="20"/>
          <w:highlight w:val="white"/>
        </w:rPr>
        <w:t>not material</w:t>
      </w:r>
      <w:r>
        <w:rPr>
          <w:color w:val="000000"/>
        </w:rPr>
        <w:t xml:space="preserve"> </w:t>
      </w:r>
      <w:r>
        <w:rPr>
          <w:rFonts w:ascii="Times New Roman;sans-serif" w:hAnsi="Times New Roman;sans-serif"/>
          <w:b w:val="false"/>
          <w:color w:val="000000"/>
          <w:sz w:val="20"/>
        </w:rPr>
        <w:t>to our consolidated revenues.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from Contracts with Customers </w:t>
      </w:r>
    </w:p>
    <w:p>
      <w:pPr>
        <w:pStyle w:val="TextBody"/>
        <w:spacing w:lineRule="auto" w:line="288" w:before="120" w:after="12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contract assets, and contract liabilities from contracts with customers. </w:t>
      </w:r>
    </w:p>
    <w:tbl>
      <w:tblPr>
        <w:tblW w:w="10539" w:type="dxa"/>
        <w:jc w:val="left"/>
        <w:tblInd w:w="0" w:type="dxa"/>
        <w:tblCellMar>
          <w:top w:w="28" w:type="dxa"/>
          <w:left w:w="28" w:type="dxa"/>
          <w:bottom w:w="28" w:type="dxa"/>
          <w:right w:w="28" w:type="dxa"/>
        </w:tblCellMar>
      </w:tblPr>
      <w:tblGrid>
        <w:gridCol w:w="2532"/>
        <w:gridCol w:w="2235"/>
        <w:gridCol w:w="2240"/>
        <w:gridCol w:w="109"/>
        <w:gridCol w:w="109"/>
        <w:gridCol w:w="109"/>
        <w:gridCol w:w="236"/>
        <w:gridCol w:w="929"/>
        <w:gridCol w:w="121"/>
        <w:gridCol w:w="109"/>
        <w:gridCol w:w="109"/>
        <w:gridCol w:w="109"/>
        <w:gridCol w:w="249"/>
        <w:gridCol w:w="1156"/>
        <w:gridCol w:w="187"/>
      </w:tblGrid>
      <w:tr>
        <w:trPr/>
        <w:tc>
          <w:tcPr>
            <w:tcW w:w="2532"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7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882,396 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1,003,505 </w:t>
            </w:r>
          </w:p>
        </w:tc>
        <w:tc>
          <w:tcPr>
            <w:tcW w:w="187"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Contract assets, short-term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short-term (Deferred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long-term (Deferred revenue included in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50"/>
        <w:jc w:val="both"/>
        <w:rPr/>
      </w:pPr>
      <w:r>
        <w:rPr>
          <w:rFonts w:ascii="Times New Roman;sans-serif" w:hAnsi="Times New Roman;sans-serif"/>
          <w:b w:val="false"/>
          <w:color w:val="000000"/>
          <w:sz w:val="20"/>
        </w:rPr>
        <w:t xml:space="preserve">Revenue recognized for the three months ended March 31, 2023 and 2022 relating to the contract liability at December 31, 2022 and 2021 was $82.6 million </w:t>
      </w:r>
      <w:r>
        <w:rPr>
          <w:rFonts w:ascii="Times New Roman;sans-serif" w:hAnsi="Times New Roman;sans-serif"/>
          <w:b w:val="false"/>
          <w:color w:val="000000"/>
          <w:sz w:val="20"/>
          <w:highlight w:val="white"/>
        </w:rPr>
        <w:t>and $29.4 million, respectively</w:t>
      </w:r>
      <w:r>
        <w:rPr>
          <w:rFonts w:ascii="Times New Roman;sans-serif" w:hAnsi="Times New Roman;sans-serif"/>
          <w:b w:val="false"/>
          <w:color w:val="000000"/>
          <w:sz w:val="20"/>
        </w:rPr>
        <w:t>.</w:t>
      </w:r>
    </w:p>
    <w:p>
      <w:pPr>
        <w:pStyle w:val="TextBody"/>
        <w:spacing w:before="120" w:after="120"/>
        <w:ind w:left="0" w:right="0" w:firstLine="45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3. Net Income per Share</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between basic and diluted weighted average common shares outstanding:</w:t>
      </w:r>
    </w:p>
    <w:tbl>
      <w:tblPr>
        <w:tblW w:w="8572" w:type="dxa"/>
        <w:jc w:val="left"/>
        <w:tblInd w:w="0" w:type="dxa"/>
        <w:tblCellMar>
          <w:top w:w="28" w:type="dxa"/>
          <w:left w:w="28" w:type="dxa"/>
          <w:bottom w:w="28" w:type="dxa"/>
          <w:right w:w="28" w:type="dxa"/>
        </w:tblCellMar>
      </w:tblPr>
      <w:tblGrid>
        <w:gridCol w:w="1631"/>
        <w:gridCol w:w="1439"/>
        <w:gridCol w:w="1444"/>
        <w:gridCol w:w="109"/>
        <w:gridCol w:w="109"/>
        <w:gridCol w:w="515"/>
        <w:gridCol w:w="515"/>
        <w:gridCol w:w="515"/>
        <w:gridCol w:w="515"/>
        <w:gridCol w:w="519"/>
        <w:gridCol w:w="109"/>
        <w:gridCol w:w="109"/>
        <w:gridCol w:w="109"/>
        <w:gridCol w:w="360"/>
        <w:gridCol w:w="361"/>
        <w:gridCol w:w="213"/>
      </w:tblGrid>
      <w:tr>
        <w:trPr/>
        <w:tc>
          <w:tcPr>
            <w:tcW w:w="1631"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5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61" w:type="dxa"/>
            <w:gridSpan w:val="6"/>
            <w:tcBorders/>
            <w:shd w:fill="auto" w:val="clear"/>
          </w:tcPr>
          <w:p>
            <w:pPr>
              <w:pStyle w:val="TableContents"/>
              <w:spacing w:before="0" w:after="283"/>
              <w:rPr>
                <w:sz w:val="4"/>
                <w:szCs w:val="4"/>
              </w:rPr>
            </w:pPr>
            <w:r>
              <w:rPr>
                <w:sz w:val="4"/>
                <w:szCs w:val="4"/>
              </w:rPr>
            </w:r>
          </w:p>
        </w:tc>
      </w:tr>
      <w:tr>
        <w:trPr/>
        <w:tc>
          <w:tcPr>
            <w:tcW w:w="451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43,628 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5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43,837 </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43,715 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As of March 31, 2023 and March 31, 2022, </w:t>
      </w:r>
      <w:r>
        <w:rPr>
          <w:rFonts w:ascii="Times New Roman;sans-serif" w:hAnsi="Times New Roman;sans-serif"/>
          <w:b w:val="false"/>
          <w:color w:val="000000"/>
          <w:sz w:val="20"/>
          <w:highlight w:val="white"/>
        </w:rPr>
        <w:t>0.8 million</w:t>
      </w:r>
      <w:r>
        <w:rPr>
          <w:color w:val="000000"/>
        </w:rPr>
        <w:t xml:space="preserve"> </w:t>
      </w:r>
      <w:r>
        <w:rPr>
          <w:rFonts w:ascii="Times New Roman;sans-serif" w:hAnsi="Times New Roman;sans-serif"/>
          <w:b w:val="false"/>
          <w:color w:val="000000"/>
          <w:sz w:val="20"/>
        </w:rPr>
        <w:t xml:space="preserve">and 0.2 million, respectively, of restricted stock units have been excluded from diluted weighted average common shares outstanding, as their impact would have been anti-dilutive. </w:t>
      </w:r>
    </w:p>
    <w:p>
      <w:pPr>
        <w:pStyle w:val="TextBody"/>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The Company's Board of Directors previously authorized a program to repurchase up to </w:t>
      </w:r>
      <w:r>
        <w:rPr>
          <w:rFonts w:ascii="Times New Roman;sans-serif" w:hAnsi="Times New Roman;sans-serif"/>
          <w:b w:val="false"/>
          <w:color w:val="000000"/>
          <w:sz w:val="20"/>
          <w:highlight w:val="white"/>
        </w:rPr>
        <w:t>$1.5 billion</w:t>
      </w:r>
      <w:r>
        <w:rPr>
          <w:color w:val="000000"/>
        </w:rPr>
        <w:t xml:space="preserve"> </w:t>
      </w:r>
      <w:r>
        <w:rPr>
          <w:rFonts w:ascii="Times New Roman;sans-serif" w:hAnsi="Times New Roman;sans-serif"/>
          <w:b w:val="false"/>
          <w:color w:val="000000"/>
          <w:sz w:val="20"/>
        </w:rPr>
        <w:t xml:space="preserve">of its outstanding shares of common stock (the "Stock Repurchase Program"). The Stock Repurchase Program has no pre-established closing date and may be suspended or discontinued at any time. For the three months ended March 31, 2023 and 2022, the Company did not repurchase any shares of its Class A Common Stock. As of March 31, 2023, the Company had </w:t>
      </w:r>
      <w:r>
        <w:rPr>
          <w:rFonts w:ascii="Times New Roman;sans-serif" w:hAnsi="Times New Roman;sans-serif"/>
          <w:b w:val="false"/>
          <w:color w:val="000000"/>
          <w:sz w:val="20"/>
          <w:highlight w:val="white"/>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4. Restructuring and Other Related Charges</w:t>
      </w:r>
    </w:p>
    <w:p>
      <w:pPr>
        <w:pStyle w:val="TextBody"/>
        <w:spacing w:lineRule="auto" w:line="288" w:before="120" w:after="120"/>
        <w:ind w:left="0" w:right="0" w:firstLine="495"/>
        <w:jc w:val="both"/>
        <w:rPr/>
      </w:pPr>
      <w:r>
        <w:rPr>
          <w:rFonts w:ascii="Times New Roman;sans-serif" w:hAnsi="Times New Roman;sans-serif"/>
          <w:b w:val="false"/>
          <w:color w:val="000000"/>
          <w:sz w:val="20"/>
          <w:highlight w:val="white"/>
        </w:rPr>
        <w:t xml:space="preserve">On November 28, 2022, the Company commenced a restructuring plan (the “Plan”) designed to </w:t>
      </w:r>
      <w:r>
        <w:rPr>
          <w:rFonts w:ascii="Times New Roman;sans-serif" w:hAnsi="Times New Roman;sans-serif"/>
          <w:b w:val="false"/>
          <w:color w:val="000000"/>
          <w:sz w:val="20"/>
        </w:rPr>
        <w:t>achieve significant cost reductions</w:t>
      </w:r>
      <w:r>
        <w:rPr>
          <w:color w:val="000000"/>
          <w:highlight w:val="white"/>
        </w:rPr>
        <w:t xml:space="preserve"> </w:t>
      </w:r>
      <w:r>
        <w:rPr>
          <w:rFonts w:ascii="Times New Roman;sans-serif" w:hAnsi="Times New Roman;sans-serif"/>
          <w:b w:val="false"/>
          <w:color w:val="000000"/>
          <w:sz w:val="20"/>
          <w:highlight w:val="white"/>
        </w:rPr>
        <w:t xml:space="preserve">in light of “cord cutting” and the related impacts being felt across the media industry as well as the broader economic outlook. The Plan encompasses </w:t>
      </w:r>
      <w:r>
        <w:rPr>
          <w:rFonts w:ascii="Times New Roman;sans-serif" w:hAnsi="Times New Roman;sans-serif"/>
          <w:b w:val="false"/>
          <w:color w:val="000000"/>
          <w:sz w:val="20"/>
        </w:rPr>
        <w:t>initiatives that include, among other things, strategic programming assessments and organizational restructuring costs</w:t>
      </w:r>
      <w:r>
        <w:rPr>
          <w:rFonts w:ascii="Times New Roman;sans-serif" w:hAnsi="Times New Roman;sans-serif"/>
          <w:b w:val="false"/>
          <w:color w:val="000000"/>
          <w:sz w:val="20"/>
          <w:highlight w:val="white"/>
        </w:rPr>
        <w:t>. The Plan is intended to improve the organizational design of the Company through the elimination of certain roles and centralization of certain functional areas of the Company. The programming assessments pertain to a broad mix of owned and licensed content, including legacy television series and films that will no longer be in active rotation on the Company’s linear or streaming platforms. As a result of the Plan, the Company recorded r</w:t>
      </w:r>
      <w:r>
        <w:rPr>
          <w:rFonts w:ascii="Times New Roman;sans-serif" w:hAnsi="Times New Roman;sans-serif"/>
          <w:b w:val="false"/>
          <w:color w:val="000000"/>
          <w:sz w:val="20"/>
        </w:rPr>
        <w:t xml:space="preserve">estructuring and other related charges of $5.9 million for the three months ended March 31, 2023 consisting primarily of severance and other personnel costs.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restructuring and other related charges for the three months ended March 31, 2022.</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and other related charges recognized by operating segment:</w:t>
      </w:r>
    </w:p>
    <w:tbl>
      <w:tblPr>
        <w:tblW w:w="7389" w:type="dxa"/>
        <w:jc w:val="left"/>
        <w:tblInd w:w="0" w:type="dxa"/>
        <w:tblCellMar>
          <w:top w:w="28" w:type="dxa"/>
          <w:left w:w="28" w:type="dxa"/>
          <w:bottom w:w="28" w:type="dxa"/>
          <w:right w:w="28" w:type="dxa"/>
        </w:tblCellMar>
      </w:tblPr>
      <w:tblGrid>
        <w:gridCol w:w="1339"/>
        <w:gridCol w:w="1182"/>
        <w:gridCol w:w="1184"/>
        <w:gridCol w:w="109"/>
        <w:gridCol w:w="109"/>
        <w:gridCol w:w="109"/>
        <w:gridCol w:w="109"/>
        <w:gridCol w:w="673"/>
        <w:gridCol w:w="1965"/>
        <w:gridCol w:w="347"/>
        <w:gridCol w:w="109"/>
        <w:gridCol w:w="154"/>
      </w:tblGrid>
      <w:tr>
        <w:trPr/>
        <w:tc>
          <w:tcPr>
            <w:tcW w:w="133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7" w:type="dxa"/>
            <w:gridSpan w:val="6"/>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263" w:type="dxa"/>
            <w:gridSpan w:val="2"/>
            <w:tcBorders/>
            <w:shd w:fill="auto" w:val="clear"/>
          </w:tcPr>
          <w:p>
            <w:pPr>
              <w:pStyle w:val="TableContents"/>
              <w:spacing w:before="0" w:after="283"/>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other related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accrued restructuring and other related costs:</w:t>
      </w:r>
    </w:p>
    <w:tbl>
      <w:tblPr>
        <w:tblW w:w="10539" w:type="dxa"/>
        <w:jc w:val="left"/>
        <w:tblInd w:w="0" w:type="dxa"/>
        <w:tblCellMar>
          <w:top w:w="28" w:type="dxa"/>
          <w:left w:w="28" w:type="dxa"/>
          <w:bottom w:w="28" w:type="dxa"/>
          <w:right w:w="28" w:type="dxa"/>
        </w:tblCellMar>
      </w:tblPr>
      <w:tblGrid>
        <w:gridCol w:w="889"/>
        <w:gridCol w:w="777"/>
        <w:gridCol w:w="780"/>
        <w:gridCol w:w="605"/>
        <w:gridCol w:w="2069"/>
        <w:gridCol w:w="314"/>
        <w:gridCol w:w="109"/>
        <w:gridCol w:w="109"/>
        <w:gridCol w:w="109"/>
        <w:gridCol w:w="658"/>
        <w:gridCol w:w="2254"/>
        <w:gridCol w:w="343"/>
        <w:gridCol w:w="109"/>
        <w:gridCol w:w="109"/>
        <w:gridCol w:w="109"/>
        <w:gridCol w:w="211"/>
        <w:gridCol w:w="826"/>
        <w:gridCol w:w="159"/>
      </w:tblGrid>
      <w:tr>
        <w:trPr/>
        <w:tc>
          <w:tcPr>
            <w:tcW w:w="889"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and Employee-Related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Content Impairments and Other Exit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(credits)</w:t>
            </w:r>
          </w:p>
        </w:tc>
        <w:tc>
          <w:tcPr>
            <w:tcW w:w="26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6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(40,952)</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6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34,026 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and other related costs of $58.7 million and $2.8 million are included in Accrued liabilities and Other liabilities, respectively, in the consolidated balance sheet at March 31, 2023. Accrued restructuring and other related costs of $108.0 million and $3.9 million are included in Accrued liabilities and Other liabilities, respectively, in the consolidated balance sheet at December 31, 2022. </w:t>
      </w:r>
    </w:p>
    <w:p>
      <w:pPr>
        <w:pStyle w:val="TextBody"/>
        <w:spacing w:before="120" w:after="120"/>
        <w:ind w:left="0" w:right="0" w:firstLine="495"/>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5. Program Rights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capitalized produced and licensed content by predominant monetization strategy is as follows:</w:t>
      </w:r>
    </w:p>
    <w:tbl>
      <w:tblPr>
        <w:tblW w:w="10539" w:type="dxa"/>
        <w:jc w:val="left"/>
        <w:tblInd w:w="0" w:type="dxa"/>
        <w:tblCellMar>
          <w:top w:w="28" w:type="dxa"/>
          <w:left w:w="28" w:type="dxa"/>
          <w:bottom w:w="28" w:type="dxa"/>
          <w:right w:w="28" w:type="dxa"/>
        </w:tblCellMar>
      </w:tblPr>
      <w:tblGrid>
        <w:gridCol w:w="1138"/>
        <w:gridCol w:w="874"/>
        <w:gridCol w:w="878"/>
        <w:gridCol w:w="522"/>
        <w:gridCol w:w="2085"/>
        <w:gridCol w:w="271"/>
        <w:gridCol w:w="109"/>
        <w:gridCol w:w="109"/>
        <w:gridCol w:w="109"/>
        <w:gridCol w:w="441"/>
        <w:gridCol w:w="2083"/>
        <w:gridCol w:w="231"/>
        <w:gridCol w:w="109"/>
        <w:gridCol w:w="109"/>
        <w:gridCol w:w="109"/>
        <w:gridCol w:w="211"/>
        <w:gridCol w:w="991"/>
        <w:gridCol w:w="160"/>
      </w:tblGrid>
      <w:tr>
        <w:trPr/>
        <w:tc>
          <w:tcPr>
            <w:tcW w:w="113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8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8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369,878 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587,455 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362,921 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425,576 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732,799 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611,963 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614,047 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173,081 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content versioning costs</w:t>
            </w:r>
          </w:p>
        </w:tc>
        <w:tc>
          <w:tcPr>
            <w:tcW w:w="2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6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859,025 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288,123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1,591,824</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1,879,947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1,869,182 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1,879,947</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539" w:type="dxa"/>
        <w:jc w:val="left"/>
        <w:tblInd w:w="0" w:type="dxa"/>
        <w:tblCellMar>
          <w:top w:w="28" w:type="dxa"/>
          <w:left w:w="28" w:type="dxa"/>
          <w:bottom w:w="28" w:type="dxa"/>
          <w:right w:w="28" w:type="dxa"/>
        </w:tblCellMar>
      </w:tblPr>
      <w:tblGrid>
        <w:gridCol w:w="1138"/>
        <w:gridCol w:w="874"/>
        <w:gridCol w:w="878"/>
        <w:gridCol w:w="522"/>
        <w:gridCol w:w="2085"/>
        <w:gridCol w:w="271"/>
        <w:gridCol w:w="109"/>
        <w:gridCol w:w="109"/>
        <w:gridCol w:w="109"/>
        <w:gridCol w:w="441"/>
        <w:gridCol w:w="2083"/>
        <w:gridCol w:w="231"/>
        <w:gridCol w:w="109"/>
        <w:gridCol w:w="109"/>
        <w:gridCol w:w="109"/>
        <w:gridCol w:w="211"/>
        <w:gridCol w:w="991"/>
        <w:gridCol w:w="160"/>
      </w:tblGrid>
      <w:tr>
        <w:trPr/>
        <w:tc>
          <w:tcPr>
            <w:tcW w:w="113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8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8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215,496 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322,248 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537,744 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294,086 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339,184 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260,594 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616,334 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876,928 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8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642,768 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6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176,791 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content versioning costs</w:t>
            </w:r>
          </w:p>
        </w:tc>
        <w:tc>
          <w:tcPr>
            <w:tcW w:w="2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6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888,353 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896,818 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269,059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1,504,687</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1,773,746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8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1,762,939 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1,773,746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0" w:right="0" w:firstLine="495"/>
        <w:jc w:val="both"/>
        <w:rPr/>
      </w:pPr>
      <w:r>
        <w:rPr/>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owned and licensed program rights, included in Technical and operating expenses in the condensed consolidated statements of income, is as follows:</w:t>
      </w:r>
    </w:p>
    <w:tbl>
      <w:tblPr>
        <w:tblW w:w="10539" w:type="dxa"/>
        <w:jc w:val="left"/>
        <w:tblInd w:w="0" w:type="dxa"/>
        <w:tblCellMar>
          <w:top w:w="28" w:type="dxa"/>
          <w:left w:w="28" w:type="dxa"/>
          <w:bottom w:w="28" w:type="dxa"/>
          <w:right w:w="28" w:type="dxa"/>
        </w:tblCellMar>
      </w:tblPr>
      <w:tblGrid>
        <w:gridCol w:w="819"/>
        <w:gridCol w:w="715"/>
        <w:gridCol w:w="717"/>
        <w:gridCol w:w="109"/>
        <w:gridCol w:w="109"/>
        <w:gridCol w:w="227"/>
        <w:gridCol w:w="227"/>
        <w:gridCol w:w="227"/>
        <w:gridCol w:w="227"/>
        <w:gridCol w:w="572"/>
        <w:gridCol w:w="1859"/>
        <w:gridCol w:w="312"/>
        <w:gridCol w:w="109"/>
        <w:gridCol w:w="109"/>
        <w:gridCol w:w="109"/>
        <w:gridCol w:w="500"/>
        <w:gridCol w:w="1889"/>
        <w:gridCol w:w="282"/>
        <w:gridCol w:w="109"/>
        <w:gridCol w:w="109"/>
        <w:gridCol w:w="109"/>
        <w:gridCol w:w="196"/>
        <w:gridCol w:w="736"/>
        <w:gridCol w:w="162"/>
      </w:tblGrid>
      <w:tr>
        <w:trPr/>
        <w:tc>
          <w:tcPr>
            <w:tcW w:w="81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4419" w:type="dxa"/>
            <w:gridSpan w:val="12"/>
            <w:tcBorders/>
            <w:shd w:fill="auto" w:val="clea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21,303 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44,936 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66,239 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119,170 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120,834 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22,967 </w:t>
            </w:r>
          </w:p>
        </w:tc>
        <w:tc>
          <w:tcPr>
            <w:tcW w:w="3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164,106 </w:t>
            </w:r>
          </w:p>
        </w:tc>
        <w:tc>
          <w:tcPr>
            <w:tcW w:w="2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187,073 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819"/>
        <w:gridCol w:w="715"/>
        <w:gridCol w:w="717"/>
        <w:gridCol w:w="109"/>
        <w:gridCol w:w="109"/>
        <w:gridCol w:w="227"/>
        <w:gridCol w:w="227"/>
        <w:gridCol w:w="227"/>
        <w:gridCol w:w="227"/>
        <w:gridCol w:w="572"/>
        <w:gridCol w:w="1859"/>
        <w:gridCol w:w="312"/>
        <w:gridCol w:w="109"/>
        <w:gridCol w:w="109"/>
        <w:gridCol w:w="109"/>
        <w:gridCol w:w="500"/>
        <w:gridCol w:w="1889"/>
        <w:gridCol w:w="282"/>
        <w:gridCol w:w="109"/>
        <w:gridCol w:w="109"/>
        <w:gridCol w:w="109"/>
        <w:gridCol w:w="196"/>
        <w:gridCol w:w="736"/>
        <w:gridCol w:w="162"/>
      </w:tblGrid>
      <w:tr>
        <w:trPr/>
        <w:tc>
          <w:tcPr>
            <w:tcW w:w="81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4419" w:type="dxa"/>
            <w:gridSpan w:val="12"/>
            <w:tcBorders/>
            <w:shd w:fill="auto" w:val="clea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49,840 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66,775 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118,469 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126,077 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57,448 </w:t>
            </w:r>
          </w:p>
        </w:tc>
        <w:tc>
          <w:tcPr>
            <w:tcW w:w="3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135,404 </w:t>
            </w:r>
          </w:p>
        </w:tc>
        <w:tc>
          <w:tcPr>
            <w:tcW w:w="2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192,852 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firstLine="495"/>
        <w:jc w:val="both"/>
        <w:rPr/>
      </w:pPr>
      <w:r>
        <w:rPr>
          <w:rFonts w:ascii="Times New Roman;sans-serif" w:hAnsi="Times New Roman;sans-serif"/>
          <w:b w:val="false"/>
          <w:color w:val="000000"/>
          <w:sz w:val="20"/>
          <w:highlight w:val="white"/>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were</w:t>
      </w:r>
      <w:r>
        <w:rPr>
          <w:color w:val="000000"/>
        </w:rPr>
        <w:t xml:space="preserve"> </w:t>
      </w:r>
      <w:r>
        <w:rPr>
          <w:rFonts w:ascii="Times New Roman;sans-serif" w:hAnsi="Times New Roman;sans-serif"/>
          <w:b w:val="false"/>
          <w:color w:val="000000"/>
          <w:sz w:val="20"/>
        </w:rPr>
        <w:t>no</w:t>
      </w:r>
      <w:r>
        <w:rPr>
          <w:color w:val="000000"/>
          <w:highlight w:val="white"/>
        </w:rPr>
        <w:t xml:space="preserve"> </w:t>
      </w:r>
      <w:r>
        <w:rPr>
          <w:rFonts w:ascii="Times New Roman;sans-serif" w:hAnsi="Times New Roman;sans-serif"/>
          <w:b w:val="false"/>
          <w:color w:val="000000"/>
          <w:sz w:val="20"/>
          <w:highlight w:val="white"/>
        </w:rPr>
        <w:t>significant program rights write-offs included in technical and operating expenses f</w:t>
      </w:r>
      <w:r>
        <w:rPr>
          <w:rFonts w:ascii="Times New Roman;sans-serif" w:hAnsi="Times New Roman;sans-serif"/>
          <w:b w:val="false"/>
          <w:color w:val="000000"/>
          <w:sz w:val="20"/>
        </w:rPr>
        <w:t>or the three months ended March 31, 2023 or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may qualify for tax incentives through eligible investments in productions. Receivables related to tax incentives earned on production spend were $155.2 million and $143.1 million as of March 31, 2023 and December 31, 2022, respectively, recorded in Prepaid expenses and other current assets, and $119.4 million and $104.5 million as of March 31, 2023 and December 31, 2022, respectively, recorded in Other assets.</w:t>
      </w:r>
    </w:p>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6. Investments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several investments in and loans to non-consolidated entities which are included in Other assets in the condensed consolidated balance sheet. </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spacing w:lineRule="auto" w:line="288" w:before="120" w:after="120"/>
        <w:ind w:left="0" w:right="0" w:firstLine="450"/>
        <w:jc w:val="both"/>
        <w:rPr/>
      </w:pPr>
      <w:r>
        <w:rPr>
          <w:rFonts w:ascii="Times New Roman;sans-serif" w:hAnsi="Times New Roman;sans-serif"/>
          <w:b w:val="false"/>
          <w:color w:val="000000"/>
          <w:sz w:val="20"/>
        </w:rPr>
        <w:t>Equity method investments were</w:t>
      </w:r>
      <w:r>
        <w:rPr>
          <w:color w:val="000000"/>
          <w:highlight w:val="white"/>
        </w:rPr>
        <w:t xml:space="preserve"> </w:t>
      </w:r>
      <w:r>
        <w:rPr>
          <w:rFonts w:ascii="Times New Roman;sans-serif" w:hAnsi="Times New Roman;sans-serif"/>
          <w:b w:val="false"/>
          <w:color w:val="000000"/>
          <w:sz w:val="20"/>
        </w:rPr>
        <w:t>$80.5 million</w:t>
      </w:r>
      <w:r>
        <w:rPr>
          <w:color w:val="000000"/>
          <w:highlight w:val="white"/>
        </w:rPr>
        <w:t xml:space="preserve"> </w:t>
      </w:r>
      <w:r>
        <w:rPr>
          <w:rFonts w:ascii="Times New Roman;sans-serif" w:hAnsi="Times New Roman;sans-serif"/>
          <w:b w:val="false"/>
          <w:color w:val="000000"/>
          <w:sz w:val="20"/>
        </w:rPr>
        <w:t>and $79.6 million at March 31, 2023 and December 31, 2022, respectively.</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Marketable Equity Securities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statements of income. </w:t>
      </w:r>
    </w:p>
    <w:p>
      <w:pPr>
        <w:pStyle w:val="TextBody"/>
        <w:spacing w:lineRule="auto" w:line="268" w:before="120" w:after="120"/>
        <w:ind w:left="0" w:right="0" w:firstLine="450"/>
        <w:jc w:val="both"/>
        <w:rPr/>
      </w:pPr>
      <w:r>
        <w:rPr>
          <w:rFonts w:ascii="Times New Roman;sans-serif" w:hAnsi="Times New Roman;sans-serif"/>
          <w:b w:val="false"/>
          <w:color w:val="000000"/>
          <w:sz w:val="20"/>
        </w:rPr>
        <w:t xml:space="preserve">There were </w:t>
      </w:r>
      <w:r>
        <w:rPr>
          <w:rFonts w:ascii="Times New Roman;sans-serif" w:hAnsi="Times New Roman;sans-serif"/>
          <w:b w:val="false"/>
          <w:color w:val="000000"/>
          <w:sz w:val="20"/>
          <w:highlight w:val="white"/>
        </w:rPr>
        <w:t>no </w:t>
      </w:r>
      <w:r>
        <w:rPr>
          <w:rFonts w:ascii="Times New Roman;sans-serif" w:hAnsi="Times New Roman;sans-serif"/>
          <w:b w:val="false"/>
          <w:color w:val="000000"/>
          <w:sz w:val="20"/>
        </w:rPr>
        <w:t xml:space="preserve">investments in marketable equity securities at March 31, 2023 or December 31, 2022. </w:t>
      </w:r>
    </w:p>
    <w:p>
      <w:pPr>
        <w:pStyle w:val="TextBody"/>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realized or unrealized gains or losses on marketable equity securities for the three months ended March 31, 2023. There were $4.3 million of unrealized gains on marketable equity securities for the three months ended March 31, 2022 included in miscellaneous, net in the condensed consolidated statements of income. </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Non-marketable Equity Securities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investments without readily determinable fair values that are not accounted for under the equity method as non-marketable equity securities. </w:t>
      </w:r>
    </w:p>
    <w:p>
      <w:pPr>
        <w:pStyle w:val="TextBody"/>
        <w:spacing w:lineRule="auto" w:line="288" w:before="120" w:after="120"/>
        <w:ind w:left="0" w:right="0" w:firstLine="450"/>
        <w:jc w:val="both"/>
        <w:rPr/>
      </w:pPr>
      <w:r>
        <w:rPr>
          <w:rFonts w:ascii="Times New Roman;sans-serif" w:hAnsi="Times New Roman;sans-serif"/>
          <w:b w:val="false"/>
          <w:color w:val="000000"/>
          <w:sz w:val="20"/>
        </w:rPr>
        <w:t xml:space="preserve">Investments in non-marketable equity securities were </w:t>
      </w:r>
      <w:r>
        <w:rPr>
          <w:rFonts w:ascii="Times New Roman;sans-serif" w:hAnsi="Times New Roman;sans-serif"/>
          <w:b w:val="false"/>
          <w:color w:val="000000"/>
          <w:sz w:val="20"/>
          <w:highlight w:val="white"/>
        </w:rPr>
        <w:t>$41.5 million and $42.7 million a</w:t>
      </w:r>
      <w:r>
        <w:rPr>
          <w:rFonts w:ascii="Times New Roman;sans-serif" w:hAnsi="Times New Roman;sans-serif"/>
          <w:b w:val="false"/>
          <w:color w:val="000000"/>
          <w:sz w:val="20"/>
        </w:rPr>
        <w:t xml:space="preserve">t March 31, 2023 and December 31, 2022, respectively. The changes in value as a result of observable price changes, if any, are recorded in miscellaneous, net in the condensed consolidated statement of income. The Company recognized an impairment charge of $1.2 million on an investment for the three months ended March 31, 2023, which was included in miscellaneous, net in the consolidated statements of income. </w:t>
      </w:r>
    </w:p>
    <w:p>
      <w:pPr>
        <w:pStyle w:val="TextBody"/>
        <w:spacing w:before="120" w:after="120"/>
        <w:ind w:left="0" w:right="0" w:firstLine="45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Goodwill and Other Intangible Assets</w:t>
      </w:r>
    </w:p>
    <w:p>
      <w:pPr>
        <w:pStyle w:val="TextBody"/>
        <w:spacing w:lineRule="auto" w:line="288" w:before="120" w:after="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by operating segment is as follows:</w:t>
      </w:r>
    </w:p>
    <w:tbl>
      <w:tblPr>
        <w:tblW w:w="8639" w:type="dxa"/>
        <w:jc w:val="left"/>
        <w:tblInd w:w="0" w:type="dxa"/>
        <w:tblCellMar>
          <w:top w:w="28" w:type="dxa"/>
          <w:left w:w="28" w:type="dxa"/>
          <w:bottom w:w="28" w:type="dxa"/>
          <w:right w:w="28" w:type="dxa"/>
        </w:tblCellMar>
      </w:tblPr>
      <w:tblGrid>
        <w:gridCol w:w="1414"/>
        <w:gridCol w:w="1248"/>
        <w:gridCol w:w="1252"/>
        <w:gridCol w:w="315"/>
        <w:gridCol w:w="1233"/>
        <w:gridCol w:w="162"/>
        <w:gridCol w:w="109"/>
        <w:gridCol w:w="109"/>
        <w:gridCol w:w="109"/>
        <w:gridCol w:w="215"/>
        <w:gridCol w:w="844"/>
        <w:gridCol w:w="111"/>
        <w:gridCol w:w="109"/>
        <w:gridCol w:w="109"/>
        <w:gridCol w:w="109"/>
        <w:gridCol w:w="211"/>
        <w:gridCol w:w="826"/>
        <w:gridCol w:w="154"/>
      </w:tblGrid>
      <w:tr>
        <w:trPr/>
        <w:tc>
          <w:tcPr>
            <w:tcW w:w="141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International </w:t>
              <w:br/>
              <w:t>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"second component" goodwill</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ind w:left="0" w:right="0" w:firstLine="495"/>
        <w:jc w:val="both"/>
        <w:rPr/>
      </w:pPr>
      <w:r>
        <w:rPr>
          <w:rFonts w:ascii="Times New Roman;sans-serif" w:hAnsi="Times New Roman;sans-serif"/>
          <w:b w:val="false"/>
          <w:color w:val="000000"/>
          <w:sz w:val="20"/>
        </w:rPr>
        <w:t xml:space="preserve">As of March 31, 2023 and December 31, 2022, accumulated impairment charges in the International and Other segment totaled </w:t>
      </w:r>
      <w:r>
        <w:rPr>
          <w:rFonts w:ascii="Times New Roman;sans-serif" w:hAnsi="Times New Roman;sans-serif"/>
          <w:b w:val="false"/>
          <w:color w:val="000000"/>
          <w:sz w:val="20"/>
          <w:highlight w:val="white"/>
        </w:rPr>
        <w:t>$163.8 million</w:t>
      </w:r>
      <w:r>
        <w:rPr>
          <w:rFonts w:ascii="Times New Roman;sans-serif" w:hAnsi="Times New Roman;sans-serif"/>
          <w:b w:val="false"/>
          <w:color w:val="000000"/>
          <w:sz w:val="20"/>
        </w:rPr>
        <w:t>.</w:t>
      </w:r>
    </w:p>
    <w:p>
      <w:pPr>
        <w:pStyle w:val="TextBody"/>
        <w:spacing w:lineRule="auto" w:line="288" w:before="120" w:after="60"/>
        <w:ind w:left="0" w:right="0" w:firstLine="495"/>
        <w:jc w:val="both"/>
        <w:rPr/>
      </w:pPr>
      <w:r>
        <w:rPr>
          <w:rFonts w:ascii="Times New Roman;sans-serif" w:hAnsi="Times New Roman;sans-serif"/>
          <w:b w:val="false"/>
          <w:color w:val="000000"/>
          <w:sz w:val="20"/>
        </w:rPr>
        <w:t>The reduction of</w:t>
      </w:r>
      <w:r>
        <w:rPr>
          <w:color w:val="000000"/>
          <w:highlight w:val="white"/>
        </w:rPr>
        <w:t xml:space="preserve"> </w:t>
      </w:r>
      <w:r>
        <w:rPr>
          <w:rFonts w:ascii="Times New Roman;sans-serif" w:hAnsi="Times New Roman;sans-serif"/>
          <w:b w:val="false"/>
          <w:color w:val="000000"/>
          <w:sz w:val="20"/>
          <w:highlight w:val="white"/>
        </w:rPr>
        <w:t>$0.3 million in</w:t>
      </w:r>
      <w:r>
        <w:rPr>
          <w:color w:val="000000"/>
        </w:rPr>
        <w:t xml:space="preserve"> </w:t>
      </w:r>
      <w:r>
        <w:rPr>
          <w:rFonts w:ascii="Times New Roman;sans-serif" w:hAnsi="Times New Roman;sans-serif"/>
          <w:b w:val="false"/>
          <w:color w:val="000000"/>
          <w:sz w:val="20"/>
        </w:rPr>
        <w:t>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relating to the Company's identifiable intangible assets:</w:t>
      </w:r>
    </w:p>
    <w:tbl>
      <w:tblPr>
        <w:tblW w:w="10539" w:type="dxa"/>
        <w:jc w:val="left"/>
        <w:tblInd w:w="0" w:type="dxa"/>
        <w:tblCellMar>
          <w:top w:w="28" w:type="dxa"/>
          <w:left w:w="28" w:type="dxa"/>
          <w:bottom w:w="28" w:type="dxa"/>
          <w:right w:w="28" w:type="dxa"/>
        </w:tblCellMar>
      </w:tblPr>
      <w:tblGrid>
        <w:gridCol w:w="1347"/>
        <w:gridCol w:w="1140"/>
        <w:gridCol w:w="1153"/>
        <w:gridCol w:w="211"/>
        <w:gridCol w:w="826"/>
        <w:gridCol w:w="109"/>
        <w:gridCol w:w="109"/>
        <w:gridCol w:w="109"/>
        <w:gridCol w:w="109"/>
        <w:gridCol w:w="337"/>
        <w:gridCol w:w="1430"/>
        <w:gridCol w:w="174"/>
        <w:gridCol w:w="109"/>
        <w:gridCol w:w="109"/>
        <w:gridCol w:w="109"/>
        <w:gridCol w:w="211"/>
        <w:gridCol w:w="826"/>
        <w:gridCol w:w="109"/>
        <w:gridCol w:w="109"/>
        <w:gridCol w:w="109"/>
        <w:gridCol w:w="109"/>
        <w:gridCol w:w="491"/>
        <w:gridCol w:w="491"/>
        <w:gridCol w:w="703"/>
      </w:tblGrid>
      <w:tr>
        <w:trPr/>
        <w:tc>
          <w:tcPr>
            <w:tcW w:w="134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r>
      <w:tr>
        <w:trPr/>
        <w:tc>
          <w:tcPr>
            <w:tcW w:w="364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6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(383,494)</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to 25 years</w:t>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(35,495)</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(45,185)</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20 years</w:t>
            </w:r>
          </w:p>
        </w:tc>
      </w:tr>
      <w:tr>
        <w:trPr/>
        <w:tc>
          <w:tcPr>
            <w:tcW w:w="36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5" w:type="dxa"/>
            <w:gridSpan w:val="3"/>
            <w:tcBorders/>
            <w:shd w:fill="auto" w:val="clear"/>
            <w:vAlign w:val="center"/>
          </w:tcPr>
          <w:p>
            <w:pPr>
              <w:pStyle w:val="TableContents"/>
              <w:spacing w:before="0" w:after="283"/>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(464,174)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809,460 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(464,174)</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345,286 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(373,240)</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5" w:type="dxa"/>
            <w:gridSpan w:val="3"/>
            <w:tcBorders/>
            <w:shd w:fill="auto" w:val="clear"/>
            <w:vAlign w:val="center"/>
          </w:tcPr>
          <w:p>
            <w:pPr>
              <w:pStyle w:val="TableContents"/>
              <w:spacing w:before="0" w:after="283"/>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(450,844)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805,520 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(450,844)</w:t>
            </w:r>
          </w:p>
        </w:tc>
        <w:tc>
          <w:tcPr>
            <w:tcW w:w="1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50"/>
        <w:jc w:val="both"/>
        <w:rPr/>
      </w:pPr>
      <w:r>
        <w:rPr/>
      </w:r>
    </w:p>
    <w:p>
      <w:pPr>
        <w:pStyle w:val="TextBody"/>
        <w:spacing w:lineRule="auto" w:line="288" w:before="120" w:after="120"/>
        <w:ind w:left="0" w:right="0" w:firstLine="450"/>
        <w:jc w:val="both"/>
        <w:rPr/>
      </w:pPr>
      <w:r>
        <w:rPr>
          <w:rFonts w:ascii="Times New Roman;sans-serif" w:hAnsi="Times New Roman;sans-serif"/>
          <w:b w:val="false"/>
          <w:color w:val="000000"/>
          <w:sz w:val="20"/>
        </w:rPr>
        <w:t>Aggregate amortization expense for amortizable intangible assets for the three months ended March 31, 2023 and 2022 was $10.4 million</w:t>
      </w:r>
      <w:r>
        <w:rPr>
          <w:color w:val="000000"/>
          <w:highlight w:val="white"/>
        </w:rPr>
        <w:t xml:space="preserve"> </w:t>
      </w:r>
      <w:r>
        <w:rPr>
          <w:rFonts w:ascii="Times New Roman;sans-serif" w:hAnsi="Times New Roman;sans-serif"/>
          <w:b w:val="false"/>
          <w:color w:val="000000"/>
          <w:sz w:val="20"/>
        </w:rPr>
        <w:t>and $10.6 million, respectively. Estimated aggregate amortization expense for intangible assets subject to amortization for each of the following five years is:</w:t>
      </w:r>
    </w:p>
    <w:tbl>
      <w:tblPr>
        <w:tblW w:w="3350" w:type="dxa"/>
        <w:jc w:val="left"/>
        <w:tblInd w:w="0" w:type="dxa"/>
        <w:tblCellMar>
          <w:top w:w="28" w:type="dxa"/>
          <w:left w:w="28" w:type="dxa"/>
          <w:bottom w:w="28" w:type="dxa"/>
          <w:right w:w="28" w:type="dxa"/>
        </w:tblCellMar>
      </w:tblPr>
      <w:tblGrid>
        <w:gridCol w:w="818"/>
        <w:gridCol w:w="722"/>
        <w:gridCol w:w="724"/>
        <w:gridCol w:w="211"/>
        <w:gridCol w:w="721"/>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Years Ending December 31,</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60" w:after="1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Note 8. Accrued Liabilities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w:t>
      </w:r>
    </w:p>
    <w:tbl>
      <w:tblPr>
        <w:tblW w:w="6504" w:type="dxa"/>
        <w:jc w:val="left"/>
        <w:tblInd w:w="0" w:type="dxa"/>
        <w:tblCellMar>
          <w:top w:w="28" w:type="dxa"/>
          <w:left w:w="28" w:type="dxa"/>
          <w:bottom w:w="28" w:type="dxa"/>
          <w:right w:w="28" w:type="dxa"/>
        </w:tblCellMar>
      </w:tblPr>
      <w:tblGrid>
        <w:gridCol w:w="1192"/>
        <w:gridCol w:w="1052"/>
        <w:gridCol w:w="1055"/>
        <w:gridCol w:w="237"/>
        <w:gridCol w:w="930"/>
        <w:gridCol w:w="122"/>
        <w:gridCol w:w="109"/>
        <w:gridCol w:w="109"/>
        <w:gridCol w:w="109"/>
        <w:gridCol w:w="281"/>
        <w:gridCol w:w="1103"/>
        <w:gridCol w:w="205"/>
      </w:tblGrid>
      <w:tr>
        <w:trPr/>
        <w:tc>
          <w:tcPr>
            <w:tcW w:w="1192"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costs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Participations and residuals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140,315 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401,206 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5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Long-term Debt</w:t>
      </w:r>
    </w:p>
    <w:p>
      <w:pPr>
        <w:pStyle w:val="TextBody"/>
        <w:spacing w:lineRule="auto" w:line="288" w:before="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consists of the following:</w:t>
      </w:r>
    </w:p>
    <w:tbl>
      <w:tblPr>
        <w:tblW w:w="6361" w:type="dxa"/>
        <w:jc w:val="left"/>
        <w:tblInd w:w="0" w:type="dxa"/>
        <w:tblCellMar>
          <w:top w:w="28" w:type="dxa"/>
          <w:left w:w="28" w:type="dxa"/>
          <w:bottom w:w="28" w:type="dxa"/>
          <w:right w:w="28" w:type="dxa"/>
        </w:tblCellMar>
      </w:tblPr>
      <w:tblGrid>
        <w:gridCol w:w="1138"/>
        <w:gridCol w:w="1004"/>
        <w:gridCol w:w="1007"/>
        <w:gridCol w:w="211"/>
        <w:gridCol w:w="976"/>
        <w:gridCol w:w="109"/>
        <w:gridCol w:w="109"/>
        <w:gridCol w:w="109"/>
        <w:gridCol w:w="109"/>
        <w:gridCol w:w="250"/>
        <w:gridCol w:w="1157"/>
        <w:gridCol w:w="182"/>
      </w:tblGrid>
      <w:tr>
        <w:trPr/>
        <w:tc>
          <w:tcPr>
            <w:tcW w:w="113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Senior Secured Credit Facility: </w:t>
            </w:r>
            <w:r>
              <w:rPr>
                <w:rFonts w:ascii="Times New Roman;sans-serif" w:hAnsi="Times New Roman;sans-serif"/>
                <w:b w:val="false"/>
                <w:color w:val="000000"/>
                <w:sz w:val="14"/>
              </w:rPr>
              <w:t>(a)</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641,250 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4.25% Notes due February 2029</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2,841,250 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2,812,453 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2,778,703 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(a)The Company's revolving credit facility remains undrawn at March 31, 2023. Total undrawn revolver commitments are available to be drawn for general corporate purposes of the Company. </w:t>
      </w:r>
    </w:p>
    <w:p>
      <w:pPr>
        <w:pStyle w:val="TextBody"/>
        <w:spacing w:lineRule="auto" w:line="288" w:before="120" w:after="12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repaid a total of $8.4 million of the principal amount of the Term Loan A Facility in accordance with the terms of the agreement.</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w:t>
      </w:r>
    </w:p>
    <w:p>
      <w:pPr>
        <w:pStyle w:val="TextBody"/>
        <w:spacing w:lineRule="auto" w:line="288"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Other Debt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a majority owned subsidiary of the Company extended its credit facility totaling $4.5 million to July 21, 2023. The facility bears interest at the greater of 3.5% or the prime rate plus 1%. There were no outstanding borrowings under the credit facility as of March 31, 2023.</w:t>
      </w:r>
    </w:p>
    <w:p>
      <w:pPr>
        <w:pStyle w:val="TextBody"/>
        <w:spacing w:before="120" w:after="1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leases included in the condensed consolidated balance sheets as follows:</w:t>
      </w:r>
    </w:p>
    <w:tbl>
      <w:tblPr>
        <w:tblW w:w="8361" w:type="dxa"/>
        <w:jc w:val="left"/>
        <w:tblInd w:w="0" w:type="dxa"/>
        <w:tblCellMar>
          <w:top w:w="28" w:type="dxa"/>
          <w:left w:w="28" w:type="dxa"/>
          <w:bottom w:w="28" w:type="dxa"/>
          <w:right w:w="28" w:type="dxa"/>
        </w:tblCellMar>
      </w:tblPr>
      <w:tblGrid>
        <w:gridCol w:w="661"/>
        <w:gridCol w:w="584"/>
        <w:gridCol w:w="585"/>
        <w:gridCol w:w="999"/>
        <w:gridCol w:w="999"/>
        <w:gridCol w:w="1001"/>
        <w:gridCol w:w="109"/>
        <w:gridCol w:w="109"/>
        <w:gridCol w:w="109"/>
        <w:gridCol w:w="237"/>
        <w:gridCol w:w="930"/>
        <w:gridCol w:w="122"/>
        <w:gridCol w:w="109"/>
        <w:gridCol w:w="109"/>
        <w:gridCol w:w="109"/>
        <w:gridCol w:w="281"/>
        <w:gridCol w:w="1103"/>
        <w:gridCol w:w="205"/>
      </w:tblGrid>
      <w:tr>
        <w:trPr/>
        <w:tc>
          <w:tcPr>
            <w:tcW w:w="66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112,519 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152,047 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95"/>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11. Fair Value Measurement</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Level III - Instruments whose significant value drivers are unobservable.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these hierarchy levels, the Company's financial assets and liabilities that are measured at fair value on a recurring basis at March 31, 2023 and December 31, 2022:</w:t>
      </w:r>
    </w:p>
    <w:tbl>
      <w:tblPr>
        <w:tblW w:w="8000" w:type="dxa"/>
        <w:jc w:val="left"/>
        <w:tblInd w:w="0" w:type="dxa"/>
        <w:tblCellMar>
          <w:top w:w="28" w:type="dxa"/>
          <w:left w:w="28" w:type="dxa"/>
          <w:bottom w:w="28" w:type="dxa"/>
          <w:right w:w="28" w:type="dxa"/>
        </w:tblCellMar>
      </w:tblPr>
      <w:tblGrid>
        <w:gridCol w:w="1029"/>
        <w:gridCol w:w="910"/>
        <w:gridCol w:w="911"/>
        <w:gridCol w:w="109"/>
        <w:gridCol w:w="109"/>
        <w:gridCol w:w="109"/>
        <w:gridCol w:w="211"/>
        <w:gridCol w:w="721"/>
        <w:gridCol w:w="109"/>
        <w:gridCol w:w="109"/>
        <w:gridCol w:w="109"/>
        <w:gridCol w:w="109"/>
        <w:gridCol w:w="211"/>
        <w:gridCol w:w="616"/>
        <w:gridCol w:w="109"/>
        <w:gridCol w:w="109"/>
        <w:gridCol w:w="109"/>
        <w:gridCol w:w="109"/>
        <w:gridCol w:w="226"/>
        <w:gridCol w:w="436"/>
        <w:gridCol w:w="117"/>
        <w:gridCol w:w="109"/>
        <w:gridCol w:w="109"/>
        <w:gridCol w:w="109"/>
        <w:gridCol w:w="211"/>
        <w:gridCol w:w="721"/>
        <w:gridCol w:w="154"/>
      </w:tblGrid>
      <w:tr>
        <w:trPr/>
        <w:tc>
          <w:tcPr>
            <w:tcW w:w="102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(comprised of money market mutual funds) are classified within Level I of the fair value hierarchy because they are valued using quoted market prices.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 did not have any material assets or liabilities measured at fair value on a recurring basis that would be considered Level III.</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Credit Facility Debt and Senior Notes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5694" w:type="dxa"/>
        <w:jc w:val="left"/>
        <w:tblInd w:w="0" w:type="dxa"/>
        <w:tblCellMar>
          <w:top w:w="28" w:type="dxa"/>
          <w:left w:w="28" w:type="dxa"/>
          <w:bottom w:w="28" w:type="dxa"/>
          <w:right w:w="28" w:type="dxa"/>
        </w:tblCellMar>
      </w:tblPr>
      <w:tblGrid>
        <w:gridCol w:w="987"/>
        <w:gridCol w:w="870"/>
        <w:gridCol w:w="873"/>
        <w:gridCol w:w="211"/>
        <w:gridCol w:w="976"/>
        <w:gridCol w:w="109"/>
        <w:gridCol w:w="109"/>
        <w:gridCol w:w="109"/>
        <w:gridCol w:w="109"/>
        <w:gridCol w:w="211"/>
        <w:gridCol w:w="976"/>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730" w:type="dxa"/>
            <w:gridSpan w:val="3"/>
            <w:vMerge w:val="continue"/>
            <w:tcBorders/>
            <w:shd w:fill="auto" w:val="clear"/>
            <w:tcMar>
              <w:top w:w="0" w:type="dxa"/>
              <w:left w:w="0" w:type="dxa"/>
              <w:bottom w:w="0" w:type="dxa"/>
              <w:right w:w="0" w:type="dxa"/>
            </w:tcMar>
            <w:vAlign w:val="center"/>
          </w:tcPr>
          <w:p>
            <w:pPr>
              <w:pStyle w:val="Normal"/>
              <w:rPr/>
            </w:pPr>
            <w:r>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Notes due February 2029</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2,311,332 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5694" w:type="dxa"/>
        <w:jc w:val="center"/>
        <w:tblInd w:w="0" w:type="dxa"/>
        <w:tblCellMar>
          <w:top w:w="28" w:type="dxa"/>
          <w:left w:w="28" w:type="dxa"/>
          <w:bottom w:w="28" w:type="dxa"/>
          <w:right w:w="28" w:type="dxa"/>
        </w:tblCellMar>
      </w:tblPr>
      <w:tblGrid>
        <w:gridCol w:w="987"/>
        <w:gridCol w:w="870"/>
        <w:gridCol w:w="873"/>
        <w:gridCol w:w="211"/>
        <w:gridCol w:w="976"/>
        <w:gridCol w:w="109"/>
        <w:gridCol w:w="109"/>
        <w:gridCol w:w="109"/>
        <w:gridCol w:w="109"/>
        <w:gridCol w:w="211"/>
        <w:gridCol w:w="976"/>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30" w:type="dxa"/>
            <w:gridSpan w:val="3"/>
            <w:vMerge w:val="continue"/>
            <w:tcBorders/>
            <w:shd w:fill="FFFFFF" w:val="clear"/>
            <w:tcMar>
              <w:top w:w="0" w:type="dxa"/>
              <w:left w:w="0" w:type="dxa"/>
              <w:bottom w:w="0" w:type="dxa"/>
              <w:right w:w="0" w:type="dxa"/>
            </w:tcMar>
            <w:vAlign w:val="center"/>
          </w:tcPr>
          <w:p>
            <w:pPr>
              <w:pStyle w:val="Normal"/>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Notes due February 2029</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2,218,766 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as follows:</w:t>
      </w:r>
    </w:p>
    <w:tbl>
      <w:tblPr>
        <w:tblW w:w="10539" w:type="dxa"/>
        <w:jc w:val="left"/>
        <w:tblInd w:w="0" w:type="dxa"/>
        <w:tblCellMar>
          <w:top w:w="28" w:type="dxa"/>
          <w:left w:w="28" w:type="dxa"/>
          <w:bottom w:w="28" w:type="dxa"/>
          <w:right w:w="28" w:type="dxa"/>
        </w:tblCellMar>
      </w:tblPr>
      <w:tblGrid>
        <w:gridCol w:w="1365"/>
        <w:gridCol w:w="1204"/>
        <w:gridCol w:w="1199"/>
        <w:gridCol w:w="1139"/>
        <w:gridCol w:w="1139"/>
        <w:gridCol w:w="1141"/>
        <w:gridCol w:w="109"/>
        <w:gridCol w:w="109"/>
        <w:gridCol w:w="109"/>
        <w:gridCol w:w="275"/>
        <w:gridCol w:w="804"/>
        <w:gridCol w:w="142"/>
        <w:gridCol w:w="109"/>
        <w:gridCol w:w="109"/>
        <w:gridCol w:w="109"/>
        <w:gridCol w:w="317"/>
        <w:gridCol w:w="926"/>
        <w:gridCol w:w="234"/>
      </w:tblGrid>
      <w:tr>
        <w:trPr/>
        <w:tc>
          <w:tcPr>
            <w:tcW w:w="1365"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4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auto" w:val="clear"/>
            <w:vAlign w:val="center"/>
          </w:tcPr>
          <w:p>
            <w:pPr>
              <w:pStyle w:val="TableContents"/>
              <w:spacing w:before="0" w:after="283"/>
              <w:rPr>
                <w:sz w:val="4"/>
                <w:szCs w:val="4"/>
              </w:rPr>
            </w:pPr>
            <w:r>
              <w:rPr>
                <w:sz w:val="4"/>
                <w:szCs w:val="4"/>
              </w:rPr>
            </w:r>
          </w:p>
        </w:tc>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720"/>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related to the Company's derivative financial instruments not designated as hedging instruments are as follows:</w:t>
      </w:r>
    </w:p>
    <w:tbl>
      <w:tblPr>
        <w:tblW w:w="10539" w:type="dxa"/>
        <w:jc w:val="left"/>
        <w:tblInd w:w="0" w:type="dxa"/>
        <w:tblCellMar>
          <w:top w:w="28" w:type="dxa"/>
          <w:left w:w="28" w:type="dxa"/>
          <w:bottom w:w="28" w:type="dxa"/>
          <w:right w:w="28" w:type="dxa"/>
        </w:tblCellMar>
      </w:tblPr>
      <w:tblGrid>
        <w:gridCol w:w="721"/>
        <w:gridCol w:w="623"/>
        <w:gridCol w:w="600"/>
        <w:gridCol w:w="1332"/>
        <w:gridCol w:w="1193"/>
        <w:gridCol w:w="1197"/>
        <w:gridCol w:w="109"/>
        <w:gridCol w:w="109"/>
        <w:gridCol w:w="109"/>
        <w:gridCol w:w="109"/>
        <w:gridCol w:w="109"/>
        <w:gridCol w:w="112"/>
        <w:gridCol w:w="112"/>
        <w:gridCol w:w="411"/>
        <w:gridCol w:w="1202"/>
        <w:gridCol w:w="212"/>
        <w:gridCol w:w="202"/>
        <w:gridCol w:w="202"/>
        <w:gridCol w:w="202"/>
        <w:gridCol w:w="392"/>
        <w:gridCol w:w="985"/>
        <w:gridCol w:w="296"/>
      </w:tblGrid>
      <w:tr>
        <w:trPr/>
        <w:tc>
          <w:tcPr>
            <w:tcW w:w="7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19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or (Loss) Recognized in Earnings on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10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or (Loss) Recognized in Earnings on Derivatives</w:t>
            </w:r>
          </w:p>
        </w:tc>
      </w:tr>
      <w:tr>
        <w:trPr/>
        <w:tc>
          <w:tcPr>
            <w:tcW w:w="1944" w:type="dxa"/>
            <w:gridSpan w:val="3"/>
            <w:vMerge w:val="continue"/>
            <w:tcBorders/>
            <w:shd w:fill="auto" w:val="clear"/>
            <w:tcMar>
              <w:top w:w="0" w:type="dxa"/>
              <w:left w:w="0" w:type="dxa"/>
              <w:bottom w:w="0" w:type="dxa"/>
              <w:right w:w="0" w:type="dxa"/>
            </w:tcMar>
            <w:vAlign w:val="center"/>
          </w:tcPr>
          <w:p>
            <w:pPr>
              <w:pStyle w:val="Normal"/>
              <w:rPr/>
            </w:pPr>
            <w:r>
              <w:rPr/>
            </w:r>
          </w:p>
        </w:tc>
        <w:tc>
          <w:tcPr>
            <w:tcW w:w="37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9"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279" w:type="dxa"/>
            <w:gridSpan w:val="6"/>
            <w:tcBorders/>
            <w:shd w:fill="auto" w:val="clear"/>
          </w:tcPr>
          <w:p>
            <w:pPr>
              <w:pStyle w:val="TableContents"/>
              <w:spacing w:before="0" w:after="283"/>
              <w:rPr>
                <w:sz w:val="4"/>
                <w:szCs w:val="4"/>
              </w:rPr>
            </w:pPr>
            <w:r>
              <w:rPr>
                <w:sz w:val="4"/>
                <w:szCs w:val="4"/>
              </w:rPr>
            </w:r>
          </w:p>
        </w:tc>
      </w:tr>
      <w:tr>
        <w:trPr/>
        <w:tc>
          <w:tcPr>
            <w:tcW w:w="1944" w:type="dxa"/>
            <w:gridSpan w:val="3"/>
            <w:vMerge w:val="continue"/>
            <w:tcBorders/>
            <w:shd w:fill="auto" w:val="clear"/>
            <w:tcMar>
              <w:top w:w="0" w:type="dxa"/>
              <w:left w:w="0" w:type="dxa"/>
              <w:bottom w:w="0" w:type="dxa"/>
              <w:right w:w="0" w:type="dxa"/>
            </w:tcMar>
            <w:vAlign w:val="center"/>
          </w:tcPr>
          <w:p>
            <w:pPr>
              <w:pStyle w:val="Normal"/>
              <w:rPr/>
            </w:pPr>
            <w:r>
              <w:rPr/>
            </w:r>
          </w:p>
        </w:tc>
        <w:tc>
          <w:tcPr>
            <w:tcW w:w="37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673"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7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673"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673"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673"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67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120" w:after="120"/>
        <w:jc w:val="both"/>
        <w:rPr/>
      </w:pPr>
      <w:r>
        <w:rPr/>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Income Taxes</w:t>
      </w:r>
    </w:p>
    <w:p>
      <w:pPr>
        <w:pStyle w:val="TextBody"/>
        <w:spacing w:lineRule="auto" w:line="288" w:before="120" w:after="12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income tax expense was $36.9 million, representing an effective tax rate of 25%, as compared to the federal statutory rate of 21%. The effective rate differs from the federal statutory rate due primarily to state and local income tax expense and tax expense for shortfalls related to share-based compensation.</w:t>
      </w:r>
    </w:p>
    <w:p>
      <w:pPr>
        <w:pStyle w:val="TextBody"/>
        <w:spacing w:lineRule="auto" w:line="288" w:before="120" w:after="12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income tax expense was $41.6 million, representing an effective tax rate of 27%, as compared to the federal statutory rate of 21%. The effective tax rate differs from the federal statutory rate due primarily to state and local income tax expense, tax expense related to non-deductible compensation and tax expense for an increase in the valuation allowance for foreign taxes.</w:t>
      </w:r>
    </w:p>
    <w:p>
      <w:pPr>
        <w:pStyle w:val="TextBody"/>
        <w:spacing w:lineRule="auto" w:line="288" w:before="120" w:after="12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foreign tax credit carry forwards of approximately $50.2 million, expiring on various dates from 2024 through 2033. These carryforwards have been reduced by a valuation allowance of $50.2 million as it is more likely than not that these carry forwards will not be realized. For the three months ended March 31, 2023, $0.3 million relating to amortization of tax deductible second component goodwill was realized as a reduction in tax liability (as determined on a 'with-and-without' approach).</w:t>
      </w:r>
    </w:p>
    <w:p>
      <w:pPr>
        <w:pStyle w:val="TextBody"/>
        <w:spacing w:lineRule="auto" w:line="288" w:before="120" w:after="12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approximately $344.5 million of our consolidated cash and cash equivalents was held by foreign subsidiaries. Of this amount, approximately $225.0 million is expected to be repatriated to the United States with the remaining amount continuing to be reinvested in foreign operations. Tax expense related to the expected repatriation amount has been accrued in the current period and the Company does not expect to incur any significant, additional taxes related to the remaining balance.</w:t>
      </w:r>
    </w:p>
    <w:p>
      <w:pPr>
        <w:pStyle w:val="TextBody"/>
        <w:spacing w:before="120" w:after="283"/>
        <w:ind w:left="0" w:right="0" w:firstLine="45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88" w:before="120" w:after="120"/>
        <w:ind w:left="0" w:right="0" w:firstLine="495"/>
        <w:jc w:val="both"/>
        <w:rPr/>
      </w:pPr>
      <w:r>
        <w:rPr>
          <w:rFonts w:ascii="Times New Roman;sans-serif" w:hAnsi="Times New Roman;sans-serif"/>
          <w:b w:val="false"/>
          <w:color w:val="000000"/>
          <w:sz w:val="20"/>
          <w:highlight w:val="white"/>
        </w:rPr>
        <w:t>As of March 31, 2023, the Company's contractual obligations not reflected on the Company's condensed consolidated balance sheet increased</w:t>
      </w:r>
      <w:r>
        <w:rPr>
          <w:color w:val="000000"/>
        </w:rPr>
        <w:t xml:space="preserve"> </w:t>
      </w:r>
      <w:r>
        <w:rPr>
          <w:rFonts w:ascii="Times New Roman;sans-serif" w:hAnsi="Times New Roman;sans-serif"/>
          <w:b w:val="false"/>
          <w:color w:val="000000"/>
          <w:sz w:val="20"/>
        </w:rPr>
        <w:t>$27.2 million, as compared to December 31, 2022, to</w:t>
      </w:r>
      <w:r>
        <w:rPr>
          <w:color w:val="000000"/>
        </w:rPr>
        <w:t xml:space="preserve"> </w:t>
      </w:r>
      <w:r>
        <w:rPr>
          <w:rFonts w:ascii="Times New Roman;sans-serif" w:hAnsi="Times New Roman;sans-serif"/>
          <w:b w:val="false"/>
          <w:color w:val="000000"/>
          <w:sz w:val="20"/>
        </w:rPr>
        <w:t>$939.4 million. The increase is primarily driven by the renewal of a third-party service contract.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In December 2022, the parties entered into an agreement to resolve through confidential binding arbitration the remaining claims in the litigation (consisting mainly of ordinary course profit participation audit claims), which had been scheduled for a February 2023 jury trial. The arbitration is expected to commence on October 16, 2023. As a result, on January 9, 2023, the Plaintiffs filed with the court a notice of dismissal of the remaining claims, and on January 19, 2023, the court formally dismissed the case. On January, 26, 2023, the Plaintiffs filed a notice of appeal of the court’s post-trial, demurrer, and summary adjudication decisions. The Company believes the two remaining claims in the case for breach of contract, which will now be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resolved through confidential binding arbitration, are without merit and is continuing to defend against them. At this time, no determination can be made as to the ultimate outcome of this litigation or the potential liability, if any, on the part of the Company.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bring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motion is fully briefed and awaiting decision. The court has scheduled a trial date of September 17, 2024.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15. Equity Plans</w:t>
      </w:r>
    </w:p>
    <w:p>
      <w:pPr>
        <w:pStyle w:val="TextBody"/>
        <w:spacing w:lineRule="auto" w:line="288" w:before="120" w:after="120"/>
        <w:ind w:left="0" w:right="0" w:firstLine="495"/>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February 2023, AMC Networks granted 297,325 restricted stock units ("RSUs") under the AMC Networks Inc. Amended and Restated 2016 Employee Stock Plan to its chief executive officer. The RSUs vest ratably over a three-year period. </w:t>
      </w:r>
    </w:p>
    <w:p>
      <w:pPr>
        <w:pStyle w:val="TextBody"/>
        <w:spacing w:lineRule="auto" w:line="288" w:before="120" w:after="120"/>
        <w:ind w:left="0" w:right="0" w:firstLine="495"/>
        <w:jc w:val="both"/>
        <w:rPr/>
      </w:pPr>
      <w:r>
        <w:rPr>
          <w:rFonts w:ascii="Times New Roman;sans-serif" w:hAnsi="Times New Roman;sans-serif"/>
          <w:b w:val="false"/>
          <w:color w:val="000000"/>
          <w:sz w:val="20"/>
        </w:rPr>
        <w:t>During the three months ended March 31, 2023, 748,181</w:t>
      </w:r>
      <w:r>
        <w:rPr>
          <w:color w:val="000000"/>
          <w:highlight w:val="white"/>
        </w:rPr>
        <w:t xml:space="preserve"> </w:t>
      </w:r>
      <w:r>
        <w:rPr>
          <w:rFonts w:ascii="Times New Roman;sans-serif" w:hAnsi="Times New Roman;sans-serif"/>
          <w:b w:val="false"/>
          <w:color w:val="000000"/>
          <w:sz w:val="20"/>
          <w:highlight w:val="white"/>
        </w:rPr>
        <w:t xml:space="preserve">RSUs </w:t>
      </w:r>
      <w:r>
        <w:rPr>
          <w:rFonts w:ascii="Times New Roman;sans-serif" w:hAnsi="Times New Roman;sans-serif"/>
          <w:b w:val="false"/>
          <w:color w:val="000000"/>
          <w:sz w:val="20"/>
        </w:rPr>
        <w:t>of AMC Networks Class A Common Stock previously issued to employees of the Company vested. On the vesting dat</w:t>
      </w:r>
      <w:r>
        <w:rPr>
          <w:rFonts w:ascii="Times New Roman;sans-serif" w:hAnsi="Times New Roman;sans-serif"/>
          <w:b w:val="false"/>
          <w:color w:val="000000"/>
          <w:sz w:val="20"/>
          <w:highlight w:val="white"/>
        </w:rPr>
        <w:t xml:space="preserve">e, 315,874 RSUs </w:t>
      </w:r>
      <w:r>
        <w:rPr>
          <w:rFonts w:ascii="Times New Roman;sans-serif" w:hAnsi="Times New Roman;sans-serif"/>
          <w:b w:val="false"/>
          <w:color w:val="000000"/>
          <w:sz w:val="20"/>
        </w:rPr>
        <w:t>were surrendered to the Company to cover the required statutory tax withholding obligations an</w:t>
      </w:r>
      <w:r>
        <w:rPr>
          <w:rFonts w:ascii="Times New Roman;sans-serif" w:hAnsi="Times New Roman;sans-serif"/>
          <w:b w:val="false"/>
          <w:color w:val="000000"/>
          <w:sz w:val="20"/>
          <w:highlight w:val="white"/>
        </w:rPr>
        <w:t>d 432,307</w:t>
      </w:r>
      <w:r>
        <w:rPr>
          <w:color w:val="000000"/>
        </w:rPr>
        <w:t xml:space="preserve"> </w:t>
      </w:r>
      <w:r>
        <w:rPr>
          <w:rFonts w:ascii="Times New Roman;sans-serif" w:hAnsi="Times New Roman;sans-serif"/>
          <w:b w:val="false"/>
          <w:color w:val="000000"/>
          <w:sz w:val="20"/>
        </w:rPr>
        <w:t>shares of AMC Networks Class A Common Stock were issued. Units are surrendered to satisfy the employees' statutory minimu</w:t>
      </w:r>
      <w:r>
        <w:rPr>
          <w:rFonts w:ascii="Times New Roman;sans-serif" w:hAnsi="Times New Roman;sans-serif"/>
          <w:b w:val="false"/>
          <w:color w:val="000000"/>
          <w:sz w:val="20"/>
          <w:highlight w:val="white"/>
        </w:rPr>
        <w:t>m tax withholding obligations for the applicable income and other employment tax. The units surrendered during the</w:t>
      </w:r>
      <w:r>
        <w:rPr>
          <w:color w:val="000000"/>
        </w:rPr>
        <w:t xml:space="preserve"> </w:t>
      </w:r>
      <w:r>
        <w:rPr>
          <w:rFonts w:ascii="Times New Roman;sans-serif" w:hAnsi="Times New Roman;sans-serif"/>
          <w:b w:val="false"/>
          <w:color w:val="000000"/>
          <w:sz w:val="20"/>
        </w:rPr>
        <w:t>three months ended March 31, 2023 h</w:t>
      </w:r>
      <w:r>
        <w:rPr>
          <w:rFonts w:ascii="Times New Roman;sans-serif" w:hAnsi="Times New Roman;sans-serif"/>
          <w:b w:val="false"/>
          <w:color w:val="000000"/>
          <w:sz w:val="20"/>
          <w:highlight w:val="white"/>
        </w:rPr>
        <w:t xml:space="preserve">ad an aggregate value of </w:t>
      </w:r>
      <w:r>
        <w:rPr>
          <w:rFonts w:ascii="Times New Roman;sans-serif" w:hAnsi="Times New Roman;sans-serif"/>
          <w:b w:val="false"/>
          <w:color w:val="000000"/>
          <w:sz w:val="20"/>
        </w:rPr>
        <w:t>$6.0 million</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which has been reflected as a financing activity in the condensed consolidated statement of cash flows for the three months ended March 31, 2023.</w:t>
      </w:r>
    </w:p>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The Company recorded share-based compensation expenses of $5.9 million (including $0.3 million recorded as part of Restructuring and other related charges) </w:t>
      </w:r>
      <w:r>
        <w:rPr>
          <w:rFonts w:ascii="Times New Roman;sans-serif" w:hAnsi="Times New Roman;sans-serif"/>
          <w:b w:val="false"/>
          <w:color w:val="000000"/>
          <w:sz w:val="20"/>
          <w:highlight w:val="white"/>
        </w:rPr>
        <w:t xml:space="preserve">and $8.1 million </w:t>
      </w:r>
      <w:r>
        <w:rPr>
          <w:rFonts w:ascii="Times New Roman;sans-serif" w:hAnsi="Times New Roman;sans-serif"/>
          <w:b w:val="false"/>
          <w:color w:val="000000"/>
          <w:sz w:val="20"/>
        </w:rPr>
        <w:t>for the three months ended March 31, 2023 and 2022, respectively. Share-based compensation expenses are recognized in the consolidated statements of income as part of selling, general and administrative expenses.</w:t>
      </w:r>
    </w:p>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As of March 31, 2023, there was </w:t>
      </w:r>
      <w:r>
        <w:rPr>
          <w:rFonts w:ascii="Times New Roman;sans-serif" w:hAnsi="Times New Roman;sans-serif"/>
          <w:b w:val="false"/>
          <w:color w:val="000000"/>
          <w:sz w:val="20"/>
          <w:highlight w:val="white"/>
        </w:rPr>
        <w:t xml:space="preserve">$17.6 million </w:t>
      </w:r>
      <w:r>
        <w:rPr>
          <w:rFonts w:ascii="Times New Roman;sans-serif" w:hAnsi="Times New Roman;sans-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highlight w:val="white"/>
        </w:rPr>
        <w:t xml:space="preserve"> </w:t>
      </w:r>
      <w:r>
        <w:rPr>
          <w:rFonts w:ascii="Times New Roman;sans-serif" w:hAnsi="Times New Roman;sans-serif"/>
          <w:b w:val="false"/>
          <w:color w:val="000000"/>
          <w:sz w:val="20"/>
        </w:rPr>
        <w:t>2.2 years</w:t>
      </w:r>
      <w:r>
        <w:rPr>
          <w:rFonts w:ascii="Times New Roman;sans-serif" w:hAnsi="Times New Roman;sans-serif"/>
          <w:b w:val="false"/>
          <w:color w:val="000000"/>
          <w:sz w:val="20"/>
          <w:highlight w:val="white"/>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16. Noncontrolling Interests</w:t>
      </w:r>
    </w:p>
    <w:p>
      <w:pPr>
        <w:pStyle w:val="TextBody"/>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Redeemable Noncontrolling Interests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redeemable noncontrolling interest for the three months ended March 31, 2023 and 2022:</w:t>
      </w:r>
    </w:p>
    <w:tbl>
      <w:tblPr>
        <w:tblW w:w="4723" w:type="dxa"/>
        <w:jc w:val="left"/>
        <w:tblInd w:w="0" w:type="dxa"/>
        <w:tblCellMar>
          <w:top w:w="28" w:type="dxa"/>
          <w:left w:w="28" w:type="dxa"/>
          <w:bottom w:w="28" w:type="dxa"/>
          <w:right w:w="28" w:type="dxa"/>
        </w:tblCellMar>
      </w:tblPr>
      <w:tblGrid>
        <w:gridCol w:w="612"/>
        <w:gridCol w:w="540"/>
        <w:gridCol w:w="542"/>
        <w:gridCol w:w="536"/>
        <w:gridCol w:w="2102"/>
        <w:gridCol w:w="391"/>
      </w:tblGrid>
      <w:tr>
        <w:trPr/>
        <w:tc>
          <w:tcPr>
            <w:tcW w:w="61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253,669 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249,919 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723" w:type="dxa"/>
        <w:jc w:val="left"/>
        <w:tblInd w:w="0" w:type="dxa"/>
        <w:tblCellMar>
          <w:top w:w="28" w:type="dxa"/>
          <w:left w:w="28" w:type="dxa"/>
          <w:bottom w:w="28" w:type="dxa"/>
          <w:right w:w="28" w:type="dxa"/>
        </w:tblCellMar>
      </w:tblPr>
      <w:tblGrid>
        <w:gridCol w:w="612"/>
        <w:gridCol w:w="540"/>
        <w:gridCol w:w="542"/>
        <w:gridCol w:w="536"/>
        <w:gridCol w:w="2102"/>
        <w:gridCol w:w="391"/>
      </w:tblGrid>
      <w:tr>
        <w:trPr/>
        <w:tc>
          <w:tcPr>
            <w:tcW w:w="61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283,849 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287,756 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Note 17. Related Party Transactions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related parties enter into transactions with each other in the ordinary course of business. Revenues, net from related parties amounted to $1.3 million and $1.3 million for the three months ended March 31, 2023 and 2022, respectively. Amounts charged to the Company, included in selling, general and administrative expenses, pursuant to transactions with its related parties amounted to $3.3 million and $0.6 million for the three months ended March 31, 2023 and 2022, respectively.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 20 of the Company’s 2022 Annual Report on Form 10-K, from time to time the Company enters into arrangements with 605, LLC. James L. Dolan, the Non-Executive Chairman and a director of the Company, and his spouse, Kristin A. Dolan, the Chief Executive Officer of the Company, own 50% of 605, LLC. Kristin A. Dolan is also the Non-executive Chairman and founder of 605, LLC,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2022, the Audit Committee authorized the Company to enter into a Statement of Work for Strategic Analytic Services (the “Statement of Work”) with 605, LLC under the Master Services Agreement. The fees payable to 605, LLC by the Company for these services are $10.5 million payable in five installments. The initial term of the Statement of Work ran from August 1, 2022 to December 31, 2022. The term was automatically extended to June 30, 2023 per the terms of the agreement.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Statement of Work, 605, LLC is engaged in a strategic, research, market, business and financial assessment of the Company and its business, partnering with the Company’s management team. 605, LLC utilizes their expertise, including assessment of extensive real-time business intelligence and consumer research, to enable potential further acceleration of the Company’s long-term growth and value creation. Among the analytic services provided by 605, LLC are situation analysis, customer experience, data utilization, addressing the market, content strategy and overview, sales strategy, pricing analysis, customer profiles, content (by offering), marketing strategy and financial analysis.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18. Cash Flows</w:t>
      </w:r>
    </w:p>
    <w:p>
      <w:pPr>
        <w:pStyle w:val="TextBody"/>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non-cash investing and financing activities and other supplemental data are as follows:</w:t>
      </w:r>
    </w:p>
    <w:tbl>
      <w:tblPr>
        <w:tblW w:w="6491" w:type="dxa"/>
        <w:jc w:val="left"/>
        <w:tblInd w:w="0" w:type="dxa"/>
        <w:tblCellMar>
          <w:top w:w="28" w:type="dxa"/>
          <w:left w:w="28" w:type="dxa"/>
          <w:bottom w:w="28" w:type="dxa"/>
          <w:right w:w="28" w:type="dxa"/>
        </w:tblCellMar>
      </w:tblPr>
      <w:tblGrid>
        <w:gridCol w:w="1399"/>
        <w:gridCol w:w="1234"/>
        <w:gridCol w:w="1237"/>
        <w:gridCol w:w="272"/>
        <w:gridCol w:w="524"/>
        <w:gridCol w:w="140"/>
        <w:gridCol w:w="140"/>
        <w:gridCol w:w="140"/>
        <w:gridCol w:w="140"/>
        <w:gridCol w:w="272"/>
        <w:gridCol w:w="795"/>
        <w:gridCol w:w="198"/>
      </w:tblGrid>
      <w:tr>
        <w:trPr/>
        <w:tc>
          <w:tcPr>
            <w:tcW w:w="1399"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38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870"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additions</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incurred but not yet paid</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26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Data:</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net</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60" w:after="1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19. Segment Information</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two operating segments: Domestic Operations and International and Other. These operating segments represent strategic business units that are managed separately.</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120" w:after="120"/>
        <w:jc w:val="both"/>
        <w:rPr/>
      </w:pPr>
      <w:r>
        <w:rPr/>
      </w:r>
    </w:p>
    <w:tbl>
      <w:tblPr>
        <w:tblW w:w="10488" w:type="dxa"/>
        <w:jc w:val="left"/>
        <w:tblInd w:w="0" w:type="dxa"/>
        <w:tblCellMar>
          <w:top w:w="28" w:type="dxa"/>
          <w:left w:w="28" w:type="dxa"/>
          <w:bottom w:w="28" w:type="dxa"/>
          <w:right w:w="28" w:type="dxa"/>
        </w:tblCellMar>
      </w:tblPr>
      <w:tblGrid>
        <w:gridCol w:w="1208"/>
        <w:gridCol w:w="1067"/>
        <w:gridCol w:w="1070"/>
        <w:gridCol w:w="315"/>
        <w:gridCol w:w="1233"/>
        <w:gridCol w:w="162"/>
        <w:gridCol w:w="109"/>
        <w:gridCol w:w="109"/>
        <w:gridCol w:w="109"/>
        <w:gridCol w:w="211"/>
        <w:gridCol w:w="826"/>
        <w:gridCol w:w="109"/>
        <w:gridCol w:w="109"/>
        <w:gridCol w:w="109"/>
        <w:gridCol w:w="109"/>
        <w:gridCol w:w="421"/>
        <w:gridCol w:w="1474"/>
        <w:gridCol w:w="220"/>
        <w:gridCol w:w="109"/>
        <w:gridCol w:w="109"/>
        <w:gridCol w:w="109"/>
        <w:gridCol w:w="211"/>
        <w:gridCol w:w="826"/>
        <w:gridCol w:w="154"/>
      </w:tblGrid>
      <w:tr>
        <w:trPr/>
        <w:tc>
          <w:tcPr>
            <w:tcW w:w="1208"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4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3345" w:type="dxa"/>
            <w:gridSpan w:val="3"/>
            <w:vMerge w:val="continue"/>
            <w:tcBorders/>
            <w:shd w:fill="auto" w:val="clear"/>
            <w:tcMar>
              <w:top w:w="0" w:type="dxa"/>
              <w:left w:w="0" w:type="dxa"/>
              <w:bottom w:w="0" w:type="dxa"/>
              <w:right w:w="0" w:type="dxa"/>
            </w:tcMar>
            <w:vAlign w:val="center"/>
          </w:tcPr>
          <w:p>
            <w:pPr>
              <w:pStyle w:val="Normal"/>
              <w:rPr/>
            </w:pPr>
            <w:r>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347,530 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199,488 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(24,762)</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322" w:type="dxa"/>
        <w:jc w:val="center"/>
        <w:tblInd w:w="0" w:type="dxa"/>
        <w:tblCellMar>
          <w:top w:w="28" w:type="dxa"/>
          <w:left w:w="28" w:type="dxa"/>
          <w:bottom w:w="28" w:type="dxa"/>
          <w:right w:w="28" w:type="dxa"/>
        </w:tblCellMar>
      </w:tblPr>
      <w:tblGrid>
        <w:gridCol w:w="1148"/>
        <w:gridCol w:w="1014"/>
        <w:gridCol w:w="1017"/>
        <w:gridCol w:w="315"/>
        <w:gridCol w:w="1233"/>
        <w:gridCol w:w="162"/>
        <w:gridCol w:w="109"/>
        <w:gridCol w:w="109"/>
        <w:gridCol w:w="109"/>
        <w:gridCol w:w="211"/>
        <w:gridCol w:w="826"/>
        <w:gridCol w:w="109"/>
        <w:gridCol w:w="109"/>
        <w:gridCol w:w="109"/>
        <w:gridCol w:w="109"/>
        <w:gridCol w:w="421"/>
        <w:gridCol w:w="1474"/>
        <w:gridCol w:w="220"/>
        <w:gridCol w:w="109"/>
        <w:gridCol w:w="109"/>
        <w:gridCol w:w="109"/>
        <w:gridCol w:w="211"/>
        <w:gridCol w:w="826"/>
        <w:gridCol w:w="154"/>
      </w:tblGrid>
      <w:tr>
        <w:trPr/>
        <w:tc>
          <w:tcPr>
            <w:tcW w:w="1148"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4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3179" w:type="dxa"/>
            <w:gridSpan w:val="3"/>
            <w:vMerge w:val="continue"/>
            <w:tcBorders/>
            <w:shd w:fill="auto" w:val="clear"/>
            <w:tcMar>
              <w:top w:w="0" w:type="dxa"/>
              <w:left w:w="0" w:type="dxa"/>
              <w:bottom w:w="0" w:type="dxa"/>
              <w:right w:w="0" w:type="dxa"/>
            </w:tcMar>
            <w:vAlign w:val="center"/>
          </w:tcPr>
          <w:p>
            <w:pPr>
              <w:pStyle w:val="Normal"/>
              <w:rPr/>
            </w:pPr>
            <w:r>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343,748 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198,522 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revenues in the Domestic Operations segment include revenues related to the Company's streaming services of $140.9 million and $109.6 million for the three months ended March 31, 2023 and 2022, respectively.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costs such as executive salaries and benefits and costs of maintaining corporate headquarters, facilities and common support functions (such as human resources, legal, finance, strategic planning and information technology).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are primarily licensing revenues recognized between the Domestic Operations and International and Other segments.</w:t>
      </w:r>
    </w:p>
    <w:tbl>
      <w:tblPr>
        <w:tblW w:w="6263" w:type="dxa"/>
        <w:jc w:val="left"/>
        <w:tblInd w:w="0" w:type="dxa"/>
        <w:tblCellMar>
          <w:top w:w="28" w:type="dxa"/>
          <w:left w:w="28" w:type="dxa"/>
          <w:bottom w:w="28" w:type="dxa"/>
          <w:right w:w="28" w:type="dxa"/>
        </w:tblCellMar>
      </w:tblPr>
      <w:tblGrid>
        <w:gridCol w:w="752"/>
        <w:gridCol w:w="664"/>
        <w:gridCol w:w="668"/>
        <w:gridCol w:w="109"/>
        <w:gridCol w:w="109"/>
        <w:gridCol w:w="228"/>
        <w:gridCol w:w="228"/>
        <w:gridCol w:w="443"/>
        <w:gridCol w:w="1451"/>
        <w:gridCol w:w="228"/>
        <w:gridCol w:w="109"/>
        <w:gridCol w:w="109"/>
        <w:gridCol w:w="109"/>
        <w:gridCol w:w="211"/>
        <w:gridCol w:w="691"/>
        <w:gridCol w:w="154"/>
      </w:tblGrid>
      <w:tr>
        <w:trPr/>
        <w:tc>
          <w:tcPr>
            <w:tcW w:w="75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83" w:type="dxa"/>
            <w:gridSpan w:val="6"/>
            <w:tcBorders/>
            <w:shd w:fill="auto" w:val="clear"/>
          </w:tcPr>
          <w:p>
            <w:pPr>
              <w:pStyle w:val="TableContents"/>
              <w:spacing w:before="0" w:after="283"/>
              <w:rPr>
                <w:sz w:val="4"/>
                <w:szCs w:val="4"/>
              </w:rPr>
            </w:pPr>
            <w:r>
              <w:rPr>
                <w:sz w:val="4"/>
                <w:szCs w:val="4"/>
              </w:rPr>
            </w:r>
          </w:p>
        </w:tc>
      </w:tr>
      <w:tr>
        <w:trPr/>
        <w:tc>
          <w:tcPr>
            <w:tcW w:w="208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revenues based on customer location:</w:t>
      </w:r>
    </w:p>
    <w:tbl>
      <w:tblPr>
        <w:tblW w:w="5514" w:type="dxa"/>
        <w:jc w:val="left"/>
        <w:tblInd w:w="0" w:type="dxa"/>
        <w:tblCellMar>
          <w:top w:w="28" w:type="dxa"/>
          <w:left w:w="28" w:type="dxa"/>
          <w:bottom w:w="28" w:type="dxa"/>
          <w:right w:w="28" w:type="dxa"/>
        </w:tblCellMar>
      </w:tblPr>
      <w:tblGrid>
        <w:gridCol w:w="433"/>
        <w:gridCol w:w="382"/>
        <w:gridCol w:w="384"/>
        <w:gridCol w:w="109"/>
        <w:gridCol w:w="109"/>
        <w:gridCol w:w="206"/>
        <w:gridCol w:w="206"/>
        <w:gridCol w:w="399"/>
        <w:gridCol w:w="1562"/>
        <w:gridCol w:w="206"/>
        <w:gridCol w:w="109"/>
        <w:gridCol w:w="109"/>
        <w:gridCol w:w="109"/>
        <w:gridCol w:w="211"/>
        <w:gridCol w:w="826"/>
        <w:gridCol w:w="154"/>
      </w:tblGrid>
      <w:tr>
        <w:trPr/>
        <w:tc>
          <w:tcPr>
            <w:tcW w:w="43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199"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within the Domestic Operations segment accounted for approximately 13% of consolidated revenues, net for the three months ended March 31, 2023. For the three months ended March 31, 2022, no customer accounted for 10% or more of consolidated revenues, net.</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property and equipment based on asset location: </w:t>
      </w:r>
    </w:p>
    <w:tbl>
      <w:tblPr>
        <w:tblW w:w="5724" w:type="dxa"/>
        <w:jc w:val="left"/>
        <w:tblInd w:w="0" w:type="dxa"/>
        <w:tblCellMar>
          <w:top w:w="28" w:type="dxa"/>
          <w:left w:w="28" w:type="dxa"/>
          <w:bottom w:w="28" w:type="dxa"/>
          <w:right w:w="28" w:type="dxa"/>
        </w:tblCellMar>
      </w:tblPr>
      <w:tblGrid>
        <w:gridCol w:w="910"/>
        <w:gridCol w:w="803"/>
        <w:gridCol w:w="806"/>
        <w:gridCol w:w="237"/>
        <w:gridCol w:w="930"/>
        <w:gridCol w:w="122"/>
        <w:gridCol w:w="109"/>
        <w:gridCol w:w="109"/>
        <w:gridCol w:w="109"/>
        <w:gridCol w:w="281"/>
        <w:gridCol w:w="1103"/>
        <w:gridCol w:w="205"/>
      </w:tblGrid>
      <w:tr>
        <w:trPr/>
        <w:tc>
          <w:tcPr>
            <w:tcW w:w="91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182,124 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187,833 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202,034 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95"/>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level of our revenues;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market demand, including changes in viewer consumption patterns, for our programming networks, our subscription streaming services, our programming, and our production services;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demand for advertising inventory and our ability to deliver guaranteed viewer ratings;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highly competitive nature of the cable, telecommunications, streaming and programming industries;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market demand for our owned original programming and our film content;</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loss of any of our key personnel and artistic talent;</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security of our program rights and other electronic data;</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maintain and renew distribution or affiliation agreements with distributors;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successfully launch our streaming services in countries outside of the United States;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operate, including increases in inflation rates and recession risk;</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fluctuations in currency exchange rates and interest rates;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changes in domestic and foreign laws or regulations under which we operate;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changes in laws or treaties relating to taxation, or the interpretation thereof, in the United States or in the countries in which we operate;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the impact of existing and proposed federal, state and international laws and regulations relating to data protection, privacy and security, including the European Union's General Data Protection Regulation ("GDPR");</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our substantial debt and high leverage;</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reduced access to, or inability to access, capital or credit markets, or significant increases in costs to borrow;</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level of our expenses;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achieve the expected benefits of our restructuring plan;</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future acquisitions and dispositions of assets;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our ability to successfully acquire new businesses and, if acquired, to integrate, and implement our plan with respect to businesses we acquire;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 of businesses we acquire;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outcome of litigation and other proceedings;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whether pending uncompleted transactions, if any, are completed on the terms and at the times set forth (if at all);</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other risks and uncertainties inherent in our programming and streaming businesses;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financial community and rating agency perceptions of our business, operations, financial condition and the industry in which we operate;</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impact of pandemics or other health emergencies on the economy and our business;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events that are outside our control, such as political unrest in international markets, terrorist attacks, natural disasters and other similar events; and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the factors described under Item 1A, "Risk Factors" in our 2022 Annual Report on Form 10-K (the "2022 Form 10-K"), as filed with the Securities and Exchange Commission ("SEC").</w:t>
      </w:r>
    </w:p>
    <w:p>
      <w:pPr>
        <w:pStyle w:val="TextBody"/>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disclaim any obligation to update or revise the forward-looking statements contained herein, except as otherwise required by applicable federal securities laws.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Introduction</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2022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spacing w:lineRule="auto" w:line="288" w:before="120" w:after="120"/>
        <w:ind w:left="0" w:right="0" w:firstLine="495"/>
        <w:jc w:val="both"/>
        <w:rPr/>
      </w:pPr>
      <w:r>
        <w:rPr>
          <w:rFonts w:ascii="Times New Roman;sans-serif" w:hAnsi="Times New Roman;sans-serif"/>
          <w:b w:val="false"/>
          <w:i/>
          <w:color w:val="000000"/>
          <w:sz w:val="20"/>
        </w:rPr>
        <w:t>Business Overview.</w:t>
      </w:r>
      <w:r>
        <w:rPr>
          <w:color w:val="000000"/>
        </w:rPr>
        <w:t xml:space="preserve"> </w:t>
      </w:r>
      <w:r>
        <w:rPr>
          <w:rFonts w:ascii="Times New Roman;sans-serif" w:hAnsi="Times New Roman;sans-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spacing w:lineRule="auto" w:line="288" w:before="120" w:after="120"/>
        <w:ind w:left="0" w:right="0" w:firstLine="495"/>
        <w:jc w:val="both"/>
        <w:rPr/>
      </w:pPr>
      <w:r>
        <w:rPr>
          <w:rFonts w:ascii="Times New Roman;sans-serif" w:hAnsi="Times New Roman;sans-serif"/>
          <w:b w:val="false"/>
          <w:i/>
          <w:color w:val="000000"/>
          <w:sz w:val="20"/>
        </w:rPr>
        <w:t>Consolidated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months ended March 31, 2023 compared to the three months ended March 31, 2022. Our discussion is presented on both a consolidated and segment basis.</w:t>
      </w:r>
      <w:r>
        <w:rPr>
          <w:color w:val="000000"/>
          <w:highlight w:val="white"/>
        </w:rPr>
        <w:t xml:space="preserve"> </w:t>
      </w:r>
      <w:r>
        <w:rPr>
          <w:rFonts w:ascii="Times New Roman;sans-serif" w:hAnsi="Times New Roman;sans-serif"/>
          <w:b w:val="false"/>
          <w:color w:val="000000"/>
          <w:sz w:val="20"/>
          <w:highlight w:val="white"/>
        </w:rPr>
        <w:t>Our two segments are: (i) Domestic Operations and (ii) International and Other.</w:t>
      </w:r>
    </w:p>
    <w:p>
      <w:pPr>
        <w:pStyle w:val="TextBody"/>
        <w:spacing w:lineRule="auto" w:line="288" w:before="120" w:after="120"/>
        <w:ind w:left="0" w:right="0" w:firstLine="495"/>
        <w:jc w:val="both"/>
        <w:rPr/>
      </w:pP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 discussion of our financial condition as of March 31, 2023, as well as an analysis of our cash flows for the three months ended March 31, 2023 and 2022. The discussion of our financial condition and liquidity includes summaries of (i) our primary sources of liquidity and (ii) our contractual obligations that existed at March 31, 2023 as compared to December 31, 2022.</w:t>
      </w:r>
    </w:p>
    <w:p>
      <w:pPr>
        <w:pStyle w:val="TextBody"/>
        <w:spacing w:lineRule="auto" w:line="288" w:before="120" w:after="120"/>
        <w:ind w:left="0" w:right="0" w:firstLine="495"/>
        <w:jc w:val="both"/>
        <w:rPr/>
      </w:pPr>
      <w:r>
        <w:rPr>
          <w:rFonts w:ascii="Times New Roman;sans-serif" w:hAnsi="Times New Roman;sans-serif"/>
          <w:b w:val="false"/>
          <w:i/>
          <w:color w:val="000000"/>
          <w:sz w:val="20"/>
        </w:rPr>
        <w:t>Critical Accounting Policies and Estimates</w:t>
      </w:r>
      <w:r>
        <w:rPr>
          <w:rFonts w:ascii="Times New Roman;sans-serif" w:hAnsi="Times New Roman;sans-serif"/>
          <w:b w:val="false"/>
          <w:color w:val="000000"/>
          <w:sz w:val="20"/>
        </w:rPr>
        <w:t xml:space="preserve">. This section provides an update, if any, to our significant accounting policies or critical accounting estimates since December 31, 2022.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120" w:after="1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Financial Highlights</w:t>
      </w:r>
    </w:p>
    <w:p>
      <w:pPr>
        <w:pStyle w:val="TextBody"/>
        <w:spacing w:lineRule="auto" w:line="288" w:before="120" w:after="120"/>
        <w:ind w:left="0" w:right="0" w:firstLine="495"/>
        <w:jc w:val="both"/>
        <w:rPr/>
      </w:pPr>
      <w:r>
        <w:rPr>
          <w:rFonts w:ascii="Times New Roman;sans-serif" w:hAnsi="Times New Roman;sans-serif"/>
          <w:b w:val="false"/>
          <w:color w:val="000000"/>
          <w:sz w:val="20"/>
        </w:rPr>
        <w:t>The tables presented below set forth our consolidated revenues, net, operating income (loss) and adjusted operating income (loss) ("AOI")</w:t>
      </w:r>
      <w:r>
        <w:rPr>
          <w:rFonts w:ascii="Times New Roman;sans-serif" w:hAnsi="Times New Roman;sans-serif"/>
          <w:b w:val="false"/>
          <w:color w:val="000000"/>
          <w:sz w:val="13"/>
        </w:rPr>
        <w:t>1</w:t>
      </w:r>
      <w:r>
        <w:rPr>
          <w:rFonts w:ascii="Times New Roman;sans-serif" w:hAnsi="Times New Roman;sans-serif"/>
          <w:b w:val="false"/>
          <w:color w:val="000000"/>
          <w:sz w:val="20"/>
        </w:rPr>
        <w:t>, for the periods indicated.</w:t>
      </w:r>
    </w:p>
    <w:tbl>
      <w:tblPr>
        <w:tblW w:w="7600" w:type="dxa"/>
        <w:jc w:val="left"/>
        <w:tblInd w:w="0" w:type="dxa"/>
        <w:tblCellMar>
          <w:top w:w="28" w:type="dxa"/>
          <w:left w:w="28" w:type="dxa"/>
          <w:bottom w:w="28" w:type="dxa"/>
          <w:right w:w="28" w:type="dxa"/>
        </w:tblCellMar>
      </w:tblPr>
      <w:tblGrid>
        <w:gridCol w:w="1187"/>
        <w:gridCol w:w="1048"/>
        <w:gridCol w:w="1050"/>
        <w:gridCol w:w="109"/>
        <w:gridCol w:w="109"/>
        <w:gridCol w:w="206"/>
        <w:gridCol w:w="206"/>
        <w:gridCol w:w="399"/>
        <w:gridCol w:w="1562"/>
        <w:gridCol w:w="206"/>
        <w:gridCol w:w="109"/>
        <w:gridCol w:w="109"/>
        <w:gridCol w:w="109"/>
        <w:gridCol w:w="211"/>
        <w:gridCol w:w="826"/>
        <w:gridCol w:w="154"/>
      </w:tblGrid>
      <w:tr>
        <w:trPr/>
        <w:tc>
          <w:tcPr>
            <w:tcW w:w="1187"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328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611,854 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(24,762)</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Adjusted Operating Income (Loss), is a non-GAAP financial measure. See the "Non-GAAP Financial Measures" section on page 30 for additional information, including our definition and our use of this non-GAAP financial measure, and for a reconciliation to its most comparable GAAP financial measure.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through the following two operating segments:</w:t>
      </w:r>
    </w:p>
    <w:p>
      <w:pPr>
        <w:pStyle w:val="TextBody"/>
        <w:spacing w:lineRule="auto" w:line="288" w:before="120" w:after="120"/>
        <w:ind w:left="0" w:right="0" w:hanging="360"/>
        <w:jc w:val="both"/>
        <w:rPr/>
      </w:pPr>
      <w:r>
        <w:rPr>
          <w:color w:val="000000"/>
          <w:highlight w:val="white"/>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programming services and AMC Broadcasting &amp; Technology. Our programming services consist of our five 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AMC+ and other streaming initiatives. Our AMC Studios operation produces original programming for our programming services and also licenses such programming worldwide, and IFC Films is our film distribution business. AMC Networks Broadcasting &amp; Technology, our technical services business, primarily services most of the national programming networks.</w:t>
      </w:r>
    </w:p>
    <w:p>
      <w:pPr>
        <w:pStyle w:val="TextBody"/>
        <w:spacing w:lineRule="auto" w:line="288" w:before="120" w:after="240"/>
        <w:ind w:left="0" w:right="0" w:hanging="360"/>
        <w:jc w:val="both"/>
        <w:rPr/>
      </w:pPr>
      <w:r>
        <w:rPr>
          <w:color w:val="000000"/>
          <w:highlight w:val="white"/>
        </w:rPr>
        <w:t>•</w:t>
      </w:r>
      <w:r>
        <w:rPr>
          <w:rFonts w:ascii="Times New Roman;sans-serif" w:hAnsi="Times New Roman;sans-serif"/>
          <w:b w:val="false"/>
          <w:i/>
          <w:color w:val="000000"/>
          <w:sz w:val="20"/>
        </w:rPr>
        <w:t>International and Other</w:t>
      </w:r>
      <w:r>
        <w:rPr>
          <w:rFonts w:ascii="Times New Roman;sans-serif" w:hAnsi="Times New Roman;sans-serif"/>
          <w:b w:val="false"/>
          <w:color w:val="000000"/>
          <w:sz w:val="20"/>
        </w:rPr>
        <w:t xml:space="preserve">: Includes AMC Networks International ("AMCNI"), our international programming businesses consisting of a portfolio of channels around the world, and 25/7 Media, our production services business. </w:t>
      </w:r>
    </w:p>
    <w:p>
      <w:pPr>
        <w:pStyle w:val="TextBody"/>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Domestic Operations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typically based on a per subscriber fee and are generally paid by distributors and consumers on a monthly basis. Content licensing revenue is earned from the licensing of original programming for digital, foreign and home video distribution and is recognized upon availability or distribution by the licensee.</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expenses, included in technical and operating expenses, represent the largest expenses of the Domestic Operations segment and primarily consists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predominantly monetized individually are amortized based on the individual-film-forecast-computation method.</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original series require us to make up-front investments, which are often significant amounts. Our programming efforts are not always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pStyle w:val="TextBody"/>
        <w:spacing w:lineRule="auto" w:line="288" w:before="120" w:after="120"/>
        <w:ind w:left="0" w:right="0" w:firstLine="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and Other</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and Other segment primarily includes the operations of AMCNI and 25/7 Media.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20" w:after="120"/>
        <w:ind w:left="0" w:right="0" w:firstLine="495"/>
        <w:jc w:val="both"/>
        <w:rPr/>
      </w:pPr>
      <w:r>
        <w:rPr>
          <w:rFonts w:ascii="Times New Roman;sans-serif" w:hAnsi="Times New Roman;sans-serif"/>
          <w:b w:val="false"/>
          <w:color w:val="000000"/>
          <w:sz w:val="20"/>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three</w:t>
      </w:r>
      <w:r>
        <w:rPr>
          <w:color w:val="000000"/>
          <w:highlight w:val="white"/>
        </w:rPr>
        <w:t xml:space="preserve"> </w:t>
      </w:r>
      <w:r>
        <w:rPr>
          <w:rFonts w:ascii="Times New Roman;sans-serif" w:hAnsi="Times New Roman;sans-serif"/>
          <w:b w:val="false"/>
          <w:color w:val="000000"/>
          <w:sz w:val="20"/>
          <w:highlight w:val="white"/>
        </w:rPr>
        <w:t>months ended March 31, 2023, distribution revenues represented 83% of the revenues of the International and Other segm</w:t>
      </w:r>
      <w:r>
        <w:rPr>
          <w:rFonts w:ascii="Times New Roman;sans-serif" w:hAnsi="Times New Roman;sans-serif"/>
          <w:b w:val="false"/>
          <w:color w:val="000000"/>
          <w:sz w:val="20"/>
        </w:rPr>
        <w:t xml:space="preserve">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Subscription revenues are derived from the distribution of our programming networks primarily in Europe, and to a lesser extent, Latin America. Our production services revenues are based on master production agreements whereby a third-party engages us to produce content on its behalf. Production services revenues are recognized based on the percentage of cost incurred to total estimated cost of the contract.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w:t>
      </w:r>
    </w:p>
    <w:p>
      <w:pPr>
        <w:pStyle w:val="TextBody"/>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 Inter-segment Eliminations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Economic Conditions</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facts and circumstances, particularly high inflation and the rise in interest rates, may adversely impact our results of operations, cash flows and financial position or our ability to refinance our indebtedness on terms favorable to us, or at all.</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pStyle w:val="TextBody"/>
        <w:spacing w:before="120" w:after="120"/>
        <w:jc w:val="both"/>
        <w:rPr/>
      </w:pPr>
      <w:r>
        <w:rPr/>
      </w:r>
    </w:p>
    <w:p>
      <w:pPr>
        <w:pStyle w:val="TextBody"/>
        <w:spacing w:before="120" w:after="1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operating segment's revenues, net and expenses. Where we have management control of an entity, we consolidate 100% of such entity in our consolidated statements of income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income.</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Three Months Ended March 31, 2023 and 2022</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indicated.</w:t>
      </w:r>
    </w:p>
    <w:tbl>
      <w:tblPr>
        <w:tblW w:w="10539" w:type="dxa"/>
        <w:jc w:val="left"/>
        <w:tblInd w:w="0" w:type="dxa"/>
        <w:tblCellMar>
          <w:top w:w="28" w:type="dxa"/>
          <w:left w:w="28" w:type="dxa"/>
          <w:bottom w:w="28" w:type="dxa"/>
          <w:right w:w="28" w:type="dxa"/>
        </w:tblCellMar>
      </w:tblPr>
      <w:tblGrid>
        <w:gridCol w:w="1896"/>
        <w:gridCol w:w="1655"/>
        <w:gridCol w:w="1646"/>
        <w:gridCol w:w="109"/>
        <w:gridCol w:w="109"/>
        <w:gridCol w:w="159"/>
        <w:gridCol w:w="159"/>
        <w:gridCol w:w="159"/>
        <w:gridCol w:w="159"/>
        <w:gridCol w:w="310"/>
        <w:gridCol w:w="1214"/>
        <w:gridCol w:w="159"/>
        <w:gridCol w:w="109"/>
        <w:gridCol w:w="109"/>
        <w:gridCol w:w="109"/>
        <w:gridCol w:w="211"/>
        <w:gridCol w:w="826"/>
        <w:gridCol w:w="109"/>
        <w:gridCol w:w="109"/>
        <w:gridCol w:w="109"/>
        <w:gridCol w:w="109"/>
        <w:gridCol w:w="288"/>
        <w:gridCol w:w="291"/>
        <w:gridCol w:w="426"/>
      </w:tblGrid>
      <w:tr>
        <w:trPr/>
        <w:tc>
          <w:tcPr>
            <w:tcW w:w="1896"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5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805" w:type="dxa"/>
            <w:gridSpan w:val="12"/>
            <w:tcBorders/>
            <w:shd w:fill="auto" w:val="clear"/>
          </w:tcPr>
          <w:p>
            <w:pPr>
              <w:pStyle w:val="TableContents"/>
              <w:spacing w:before="0" w:after="283"/>
              <w:rPr>
                <w:sz w:val="4"/>
                <w:szCs w:val="4"/>
              </w:rPr>
            </w:pPr>
            <w:r>
              <w:rPr>
                <w:sz w:val="4"/>
                <w:szCs w:val="4"/>
              </w:rPr>
            </w:r>
          </w:p>
        </w:tc>
      </w:tr>
      <w:tr>
        <w:trPr/>
        <w:tc>
          <w:tcPr>
            <w:tcW w:w="5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326,729 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185,606 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120" w:after="120"/>
        <w:ind w:left="0" w:right="0" w:firstLine="720"/>
        <w:jc w:val="both"/>
        <w:rPr/>
      </w:pPr>
      <w:r>
        <w:rPr>
          <w:rFonts w:ascii="Times New Roman;sans-serif" w:hAnsi="Times New Roman;sans-serif"/>
          <w:b w:val="false"/>
          <w:color w:val="000000"/>
          <w:sz w:val="20"/>
          <w:highlight w:val="white"/>
        </w:rPr>
        <w:t xml:space="preserve">Subscription revenues </w:t>
      </w:r>
      <w:r>
        <w:rPr>
          <w:rFonts w:ascii="Times New Roman;sans-serif" w:hAnsi="Times New Roman;sans-serif"/>
          <w:b w:val="false"/>
          <w:color w:val="000000"/>
          <w:sz w:val="20"/>
        </w:rPr>
        <w:t xml:space="preserve">increased 1.1% in our Domestic Operations segment primarily due to an increase in streaming revenues, partially offset by a decline in affiliate revenue. Subscription revenues decreased 6.2% in our International and Other segment primarily due to the unfavorable impact of foreign currency translation at AMCNI.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revenues vary based on the impact of renewals of affiliation agreements and the number of subscribers to our services. </w:t>
      </w:r>
    </w:p>
    <w:p>
      <w:pPr>
        <w:pStyle w:val="TextBody"/>
        <w:spacing w:lineRule="auto" w:line="288" w:before="120" w:after="120"/>
        <w:ind w:left="0" w:right="0" w:firstLine="720"/>
        <w:jc w:val="both"/>
        <w:rPr/>
      </w:pPr>
      <w:r>
        <w:rPr>
          <w:rFonts w:ascii="Times New Roman;sans-serif" w:hAnsi="Times New Roman;sans-serif"/>
          <w:b w:val="false"/>
          <w:color w:val="000000"/>
          <w:sz w:val="20"/>
          <w:highlight w:val="white"/>
        </w:rPr>
        <w:t>Content licensing and other revenues increased</w:t>
      </w:r>
      <w:r>
        <w:rPr>
          <w:color w:val="000000"/>
        </w:rPr>
        <w:t xml:space="preserve"> </w:t>
      </w:r>
      <w:r>
        <w:rPr>
          <w:rFonts w:ascii="Times New Roman;sans-serif" w:hAnsi="Times New Roman;sans-serif"/>
          <w:b w:val="false"/>
          <w:color w:val="000000"/>
          <w:sz w:val="20"/>
        </w:rPr>
        <w:t xml:space="preserve">68.6% in our Domestic Operations segment primarily due to the timing and availability of deliveries in the quarter, including $56.1 million for the delivery of the remaining episodes of an AMC Studios produced series to a third party, partially offset by fewer episodes of </w:t>
      </w:r>
      <w:r>
        <w:rPr>
          <w:rFonts w:ascii="Times New Roman;sans-serif" w:hAnsi="Times New Roman;sans-serif"/>
          <w:b w:val="false"/>
          <w:i/>
          <w:color w:val="000000"/>
          <w:sz w:val="20"/>
        </w:rPr>
        <w:t>The Walking Dead</w:t>
      </w:r>
      <w:r>
        <w:rPr>
          <w:color w:val="000000"/>
        </w:rPr>
        <w:t xml:space="preserve"> </w:t>
      </w:r>
      <w:r>
        <w:rPr>
          <w:rFonts w:ascii="Times New Roman;sans-serif" w:hAnsi="Times New Roman;sans-serif"/>
          <w:b w:val="false"/>
          <w:color w:val="000000"/>
          <w:sz w:val="20"/>
        </w:rPr>
        <w:t xml:space="preserve">delivered following the series finale. Content licensing and </w:t>
      </w:r>
      <w:r>
        <w:rPr>
          <w:rFonts w:ascii="Times New Roman;sans-serif" w:hAnsi="Times New Roman;sans-serif"/>
          <w:b w:val="false"/>
          <w:color w:val="000000"/>
          <w:sz w:val="20"/>
          <w:highlight w:val="white"/>
        </w:rPr>
        <w:t>other revenues</w:t>
      </w:r>
      <w:r>
        <w:rPr>
          <w:color w:val="000000"/>
        </w:rPr>
        <w:t xml:space="preserve"> </w:t>
      </w:r>
      <w:r>
        <w:rPr>
          <w:rFonts w:ascii="Times New Roman;sans-serif" w:hAnsi="Times New Roman;sans-serif"/>
          <w:b w:val="false"/>
          <w:color w:val="000000"/>
          <w:sz w:val="20"/>
        </w:rPr>
        <w:t>increased 21.5% in our International and Other segment due to the timing and nature of productions at 25/7 Media.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Content licensing revenues vary based on the timing of availability of our programming to distributors.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19.7% in our Domestic Operations segment primarily due to linear ratings declines, softness in the advertising market and fewer original programming episodes within the quarter, partially offset by digital and advanced advertising revenue growth. Advertising revenues decreased 17.3% in our International and Other segment, primarily due to the impact of the wind-down of two channels in 2022 and marketplace declines in the U.K.</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vary based on the timing of our original programming series and the popularity of our programming as measured by Nielsen. </w:t>
      </w:r>
    </w:p>
    <w:p>
      <w:pPr>
        <w:pStyle w:val="TextBody"/>
        <w:spacing w:lineRule="auto" w:line="28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technical and operating expenses primarily include the amortization of program rights, such as those for original programming, feature films and licensed series, participation and residual costs, distribution and production related costs and program delivery costs, such as transmission, encryption, hosting, and formatting.</w:t>
      </w:r>
    </w:p>
    <w:p>
      <w:pPr>
        <w:pStyle w:val="TextBody"/>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increased 17.9% in our Domestic Operations segment primarily due to costs associated with the </w:t>
      </w:r>
      <w:r>
        <w:rPr>
          <w:rFonts w:ascii="Times New Roman;sans-serif" w:hAnsi="Times New Roman;sans-serif"/>
          <w:b w:val="false"/>
          <w:color w:val="000000"/>
          <w:sz w:val="20"/>
          <w:highlight w:val="white"/>
        </w:rPr>
        <w:t xml:space="preserve">delivery </w:t>
      </w:r>
      <w:r>
        <w:rPr>
          <w:rFonts w:ascii="Times New Roman;sans-serif" w:hAnsi="Times New Roman;sans-serif"/>
          <w:b w:val="false"/>
          <w:color w:val="000000"/>
          <w:sz w:val="20"/>
        </w:rPr>
        <w:t>of the remaining episodes of an AMC Studios produced series to a third party.</w:t>
      </w:r>
      <w:r>
        <w:rPr>
          <w:color w:val="000000"/>
          <w:highlight w:val="white"/>
        </w:rPr>
        <w:t xml:space="preserve"> </w:t>
      </w:r>
      <w:r>
        <w:rPr>
          <w:rFonts w:ascii="Times New Roman;sans-serif" w:hAnsi="Times New Roman;sans-serif"/>
          <w:b w:val="false"/>
          <w:color w:val="000000"/>
          <w:sz w:val="20"/>
        </w:rPr>
        <w:t>Technical and operating expenses (excluding depreciation and amortization) increased 1.5% in our International and Other segment primarily due to the timing and nature of productions at 25/7 Media, partially offset by the favorable impact of foreign currency translation at AMCNI.</w:t>
      </w:r>
    </w:p>
    <w:p>
      <w:pPr>
        <w:pStyle w:val="TextBody"/>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may increase.</w:t>
      </w:r>
    </w:p>
    <w:p>
      <w:pPr>
        <w:pStyle w:val="TextBody"/>
        <w:spacing w:lineRule="auto" w:line="28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selling, general and administrative expenses primarily include sales, marketing and advertising expenses, administrative costs and costs of non-production facilities.</w:t>
      </w:r>
    </w:p>
    <w:p>
      <w:pPr>
        <w:pStyle w:val="TextBody"/>
        <w:spacing w:lineRule="auto" w:line="288" w:before="120" w:after="120"/>
        <w:ind w:left="0" w:right="0" w:firstLine="720"/>
        <w:jc w:val="both"/>
        <w:rPr/>
      </w:pPr>
      <w:r>
        <w:rPr>
          <w:rFonts w:ascii="Times New Roman;sans-serif" w:hAnsi="Times New Roman;sans-serif"/>
          <w:b w:val="false"/>
          <w:color w:val="000000"/>
          <w:sz w:val="20"/>
        </w:rPr>
        <w:t>Selling, general and administrative expenses (including share-based compensation expenses) decreased 21.6% in our Domestic Operations segment primarily due to lower marketing and subscriber acquisition expenses related to our streaming services, a</w:t>
      </w:r>
      <w:r>
        <w:rPr>
          <w:rFonts w:ascii="Times New Roman;sans-serif" w:hAnsi="Times New Roman;sans-serif"/>
          <w:b w:val="false"/>
          <w:color w:val="000000"/>
          <w:sz w:val="20"/>
          <w:highlight w:val="white"/>
        </w:rPr>
        <w:t xml:space="preserve">nd decreased 2.5% </w:t>
      </w:r>
      <w:r>
        <w:rPr>
          <w:rFonts w:ascii="Times New Roman;sans-serif" w:hAnsi="Times New Roman;sans-serif"/>
          <w:b w:val="false"/>
          <w:color w:val="000000"/>
          <w:sz w:val="20"/>
        </w:rPr>
        <w:t>in our International and Other segment primarily due to the favorable impact of foreign currency translation, partially offset by higher advertising and marketing costs.</w:t>
      </w:r>
    </w:p>
    <w:p>
      <w:pPr>
        <w:pStyle w:val="TextBody"/>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selling, general and administrative expenses due to the timing of promotions and marketing of original programming series.</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and amortization</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include depreciation of fixed assets and amortization of finite-lived intangible assets.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due to higher depreciation of equipment in Corporate.</w:t>
      </w:r>
    </w:p>
    <w:p>
      <w:pPr>
        <w:pStyle w:val="TextBody"/>
        <w:spacing w:lineRule="auto" w:line="276"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Restructuring and other related charges</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restructuring and other related charges of $5.9 million consisted primarily of severance and other employee-related costs, with $0.8 million related to Domestic Operations, $1.4 million related to AMCNI and $3.7 million related to Corporate. </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restructuring and other related charges for the three months ended March 31, 2022. </w:t>
      </w:r>
    </w:p>
    <w:p>
      <w:pPr>
        <w:pStyle w:val="TextBody"/>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income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increases in technical and operating expenses, restructuring and other related charges, and depreciation and amortization of $42.5 million, $5.9 million and $3.3 million, respectively, partially offset by a decrease in selling, general and administrative expenses of $45.0 million and an increase in revenues of $5.3 million.</w:t>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expense, net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net was primarily due to higher interest rates on our Term Loan A Facility, partially offset by higher interest income generated from our money market mutual fund accounts and bank deposits.</w:t>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Miscellaneous, net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miscellaneous, net was primarily related to $4.3 million of lower net gains on marketable securities, $0.6 million of lower net earnings of equity method investees, and a $0.5 million unfavorable variance in the foreign currency remeasurement of monetary assets and liabilities (principally intercompany loans) that are denominated in currencies other than the underlying functional currency of the applicable entity as compared to the three months ended March 31, 2022, as well as a $1.2 million impairment charge related to an investment in 2023. These decreases were partially offset by $5.5 million of higher net gains on derivative financial instruments for the three months ended March 31, 2023.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expense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income tax expense was $36.9 million, representing an effective tax rate of 25%. The effective tax rate differs from the federal statutory rate of 21% primarily due to state and local income tax expense and tax expense for shortfalls related to share-based compensation.</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income tax expense was $41.6 million, representing an effective tax rate of 27%. The effective tax rate differs from the federal statutory rate of 21% primarily due to state and local income tax expense, tax expense related to non-deductible compensation and tax expense for an increase in the valuation allowance for foreign taxes.</w:t>
      </w:r>
    </w:p>
    <w:p>
      <w:pPr>
        <w:pStyle w:val="TextBody"/>
        <w:spacing w:lineRule="auto" w:line="276" w:before="120" w:after="12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Domestic Operations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Domestic Operations segment results for the periods indicated.</w:t>
      </w:r>
    </w:p>
    <w:tbl>
      <w:tblPr>
        <w:tblW w:w="10539" w:type="dxa"/>
        <w:jc w:val="left"/>
        <w:tblInd w:w="0" w:type="dxa"/>
        <w:tblCellMar>
          <w:top w:w="28" w:type="dxa"/>
          <w:left w:w="28" w:type="dxa"/>
          <w:bottom w:w="28" w:type="dxa"/>
          <w:right w:w="28" w:type="dxa"/>
        </w:tblCellMar>
      </w:tblPr>
      <w:tblGrid>
        <w:gridCol w:w="1741"/>
        <w:gridCol w:w="1434"/>
        <w:gridCol w:w="1384"/>
        <w:gridCol w:w="109"/>
        <w:gridCol w:w="109"/>
        <w:gridCol w:w="344"/>
        <w:gridCol w:w="344"/>
        <w:gridCol w:w="344"/>
        <w:gridCol w:w="344"/>
        <w:gridCol w:w="346"/>
        <w:gridCol w:w="211"/>
        <w:gridCol w:w="826"/>
        <w:gridCol w:w="109"/>
        <w:gridCol w:w="109"/>
        <w:gridCol w:w="109"/>
        <w:gridCol w:w="109"/>
        <w:gridCol w:w="211"/>
        <w:gridCol w:w="826"/>
        <w:gridCol w:w="109"/>
        <w:gridCol w:w="109"/>
        <w:gridCol w:w="109"/>
        <w:gridCol w:w="109"/>
        <w:gridCol w:w="109"/>
        <w:gridCol w:w="279"/>
        <w:gridCol w:w="282"/>
        <w:gridCol w:w="424"/>
      </w:tblGrid>
      <w:tr>
        <w:trPr/>
        <w:tc>
          <w:tcPr>
            <w:tcW w:w="1741"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040" w:type="dxa"/>
            <w:gridSpan w:val="16"/>
            <w:tcBorders/>
            <w:shd w:fill="auto" w:val="clear"/>
          </w:tcPr>
          <w:p>
            <w:pPr>
              <w:pStyle w:val="TableContents"/>
              <w:spacing w:before="0" w:after="283"/>
              <w:rPr>
                <w:sz w:val="4"/>
                <w:szCs w:val="4"/>
              </w:rPr>
            </w:pPr>
            <w:r>
              <w:rPr>
                <w:sz w:val="4"/>
                <w:szCs w:val="4"/>
              </w:rPr>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09" w:type="dxa"/>
            <w:gridSpan w:val="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4730" w:type="dxa"/>
            <w:gridSpan w:val="18"/>
            <w:tcBorders/>
            <w:shd w:fill="auto" w:val="clear"/>
          </w:tcPr>
          <w:p>
            <w:pPr>
              <w:pStyle w:val="TableContents"/>
              <w:spacing w:before="0" w:after="283"/>
              <w:rPr>
                <w:sz w:val="4"/>
                <w:szCs w:val="4"/>
              </w:rPr>
            </w:pPr>
            <w:r>
              <w:rPr>
                <w:sz w:val="4"/>
                <w:szCs w:val="4"/>
              </w:rPr>
            </w:r>
          </w:p>
        </w:tc>
      </w:tr>
      <w:tr>
        <w:trPr/>
        <w:tc>
          <w:tcPr>
            <w:tcW w:w="5809" w:type="dxa"/>
            <w:gridSpan w:val="8"/>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w:t>
            </w:r>
          </w:p>
        </w:tc>
        <w:tc>
          <w:tcPr>
            <w:tcW w:w="4730" w:type="dxa"/>
            <w:gridSpan w:val="18"/>
            <w:tcBorders/>
            <w:shd w:fill="auto" w:val="clear"/>
          </w:tcPr>
          <w:p>
            <w:pPr>
              <w:pStyle w:val="TableContents"/>
              <w:spacing w:before="0" w:after="283"/>
              <w:rPr>
                <w:sz w:val="4"/>
                <w:szCs w:val="4"/>
              </w:rPr>
            </w:pPr>
            <w:r>
              <w:rPr>
                <w:sz w:val="4"/>
                <w:szCs w:val="4"/>
              </w:rPr>
            </w:r>
          </w:p>
        </w:tc>
      </w:tr>
    </w:tbl>
    <w:p>
      <w:pPr>
        <w:pStyle w:val="TextBody"/>
        <w:spacing w:lineRule="auto" w:line="288" w:before="120" w:after="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120" w:after="120"/>
        <w:ind w:left="0" w:right="0" w:firstLine="720"/>
        <w:jc w:val="both"/>
        <w:rPr/>
      </w:pPr>
      <w:r>
        <w:rPr>
          <w:rFonts w:ascii="Times New Roman;sans-serif" w:hAnsi="Times New Roman;sans-serif"/>
          <w:b w:val="false"/>
          <w:color w:val="000000"/>
          <w:sz w:val="20"/>
          <w:highlight w:val="white"/>
        </w:rPr>
        <w:t>Subscription revenues</w:t>
      </w:r>
      <w:r>
        <w:rPr>
          <w:color w:val="000000"/>
        </w:rPr>
        <w:t xml:space="preserve"> </w:t>
      </w:r>
      <w:r>
        <w:rPr>
          <w:rFonts w:ascii="Times New Roman;sans-serif" w:hAnsi="Times New Roman;sans-serif"/>
          <w:b w:val="false"/>
          <w:color w:val="000000"/>
          <w:sz w:val="20"/>
        </w:rPr>
        <w:t>increased primarily due to a 28.6% increase in streaming revenues driven by year-over-year streaming subscriber growth and 2022 price increases, partially offset by an 11.7% decline in affiliate revenue. Affiliate revenue decreased due to basic subscriber declines and a 3% impact of a strategic non-renewal that occurred at the end of 2022, partially offset by contractual rate increases. Subscription revenues include revenues related to the Company's streaming services of $140.9 million and $109.6 million for the three months ended March 31, 2023 and 2022, respectively. Aggregate paid subscribers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to our streaming services increased 22% to 11.5 million at March 31, 2023 compared to March 31, 2022. </w:t>
      </w:r>
    </w:p>
    <w:p>
      <w:pPr>
        <w:pStyle w:val="TextBody"/>
        <w:spacing w:lineRule="auto" w:line="268" w:before="0" w:after="120"/>
        <w:ind w:left="0" w:right="0" w:firstLine="720"/>
        <w:jc w:val="both"/>
        <w:rPr/>
      </w:pPr>
      <w:r>
        <w:rPr>
          <w:rFonts w:ascii="Times New Roman;sans-serif" w:hAnsi="Times New Roman;sans-serif"/>
          <w:b w:val="false"/>
          <w:color w:val="000000"/>
          <w:sz w:val="20"/>
          <w:highlight w:val="white"/>
        </w:rPr>
        <w:t>Content licensing and other revenues</w:t>
      </w:r>
      <w:r>
        <w:rPr>
          <w:color w:val="000000"/>
        </w:rPr>
        <w:t xml:space="preserve"> </w:t>
      </w:r>
      <w:r>
        <w:rPr>
          <w:rFonts w:ascii="Times New Roman;sans-serif" w:hAnsi="Times New Roman;sans-serif"/>
          <w:b w:val="false"/>
          <w:color w:val="000000"/>
          <w:sz w:val="20"/>
        </w:rPr>
        <w:t xml:space="preserve">increased primarily due to the timing and availability of deliveries in the quarter, including $56.1 million for the delivery of the remaining episodes of an AMC Studios produced series to a third party, partially offset by fewer episodes of </w:t>
      </w:r>
      <w:r>
        <w:rPr>
          <w:rFonts w:ascii="Times New Roman;sans-serif" w:hAnsi="Times New Roman;sans-serif"/>
          <w:b w:val="false"/>
          <w:i/>
          <w:color w:val="000000"/>
          <w:sz w:val="20"/>
        </w:rPr>
        <w:t>The Walking Dead</w:t>
      </w:r>
      <w:r>
        <w:rPr>
          <w:color w:val="000000"/>
        </w:rPr>
        <w:t xml:space="preserve"> </w:t>
      </w:r>
      <w:r>
        <w:rPr>
          <w:rFonts w:ascii="Times New Roman;sans-serif" w:hAnsi="Times New Roman;sans-serif"/>
          <w:b w:val="false"/>
          <w:color w:val="000000"/>
          <w:sz w:val="20"/>
        </w:rPr>
        <w:t xml:space="preserve">delivered following the series finale. </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due to linear ratings declines, softness in the advertising market and fewer original programming episodes within the quarter, partially offset by digital and advanced advertising revenue growth.</w:t>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increased primarily due to costs associated with the </w:t>
      </w:r>
      <w:r>
        <w:rPr>
          <w:rFonts w:ascii="Times New Roman;sans-serif" w:hAnsi="Times New Roman;sans-serif"/>
          <w:b w:val="false"/>
          <w:color w:val="000000"/>
          <w:sz w:val="20"/>
          <w:highlight w:val="white"/>
        </w:rPr>
        <w:t xml:space="preserve">delivery </w:t>
      </w:r>
      <w:r>
        <w:rPr>
          <w:rFonts w:ascii="Times New Roman;sans-serif" w:hAnsi="Times New Roman;sans-serif"/>
          <w:b w:val="false"/>
          <w:color w:val="000000"/>
          <w:sz w:val="20"/>
        </w:rPr>
        <w:t>of the remaining episodes of an AMC Studios produced series to a third party.</w:t>
      </w:r>
    </w:p>
    <w:p>
      <w:pPr>
        <w:pStyle w:val="TextBody"/>
        <w:spacing w:lineRule="auto" w:line="288" w:before="0" w:after="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A paid subscription is defined as a subscription to a direct-to-consumer service or a subscription received through distributor arrangements, in which we receive a fee for the distribution of our streaming services, and includes an estimate of subscribers converting to paying status in the subsequent period based on historical conversion percentages.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due to lower marketing and subscriber acquisition expenses related to our streaming services.</w:t>
      </w:r>
    </w:p>
    <w:p>
      <w:pPr>
        <w:pStyle w:val="TextBody"/>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adjusted operating income</w:t>
      </w:r>
    </w:p>
    <w:p>
      <w:pPr>
        <w:pStyle w:val="TextBody"/>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segment adjusted operating income was primarily attributable to a decrease in selling, general and administrative expenses of $36.9 million and an increase in revenues, net of $6.3 million, partially offset by an increase in technical and operating expenses of $40.9 million.</w:t>
      </w:r>
    </w:p>
    <w:p>
      <w:pPr>
        <w:pStyle w:val="TextBody"/>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International and Other</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International and Other segment results for the periods indicated.</w:t>
      </w:r>
    </w:p>
    <w:tbl>
      <w:tblPr>
        <w:tblW w:w="10539" w:type="dxa"/>
        <w:jc w:val="left"/>
        <w:tblInd w:w="0" w:type="dxa"/>
        <w:tblCellMar>
          <w:top w:w="28" w:type="dxa"/>
          <w:left w:w="28" w:type="dxa"/>
          <w:bottom w:w="28" w:type="dxa"/>
          <w:right w:w="28" w:type="dxa"/>
        </w:tblCellMar>
      </w:tblPr>
      <w:tblGrid>
        <w:gridCol w:w="1738"/>
        <w:gridCol w:w="1490"/>
        <w:gridCol w:w="1447"/>
        <w:gridCol w:w="109"/>
        <w:gridCol w:w="109"/>
        <w:gridCol w:w="362"/>
        <w:gridCol w:w="362"/>
        <w:gridCol w:w="362"/>
        <w:gridCol w:w="362"/>
        <w:gridCol w:w="364"/>
        <w:gridCol w:w="211"/>
        <w:gridCol w:w="721"/>
        <w:gridCol w:w="109"/>
        <w:gridCol w:w="109"/>
        <w:gridCol w:w="109"/>
        <w:gridCol w:w="109"/>
        <w:gridCol w:w="211"/>
        <w:gridCol w:w="721"/>
        <w:gridCol w:w="109"/>
        <w:gridCol w:w="109"/>
        <w:gridCol w:w="109"/>
        <w:gridCol w:w="109"/>
        <w:gridCol w:w="109"/>
        <w:gridCol w:w="280"/>
        <w:gridCol w:w="285"/>
        <w:gridCol w:w="424"/>
      </w:tblGrid>
      <w:tr>
        <w:trPr/>
        <w:tc>
          <w:tcPr>
            <w:tcW w:w="1738"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4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834" w:type="dxa"/>
            <w:gridSpan w:val="16"/>
            <w:tcBorders/>
            <w:shd w:fill="auto" w:val="clear"/>
          </w:tcPr>
          <w:p>
            <w:pPr>
              <w:pStyle w:val="TableContents"/>
              <w:spacing w:before="0" w:after="283"/>
              <w:rPr>
                <w:sz w:val="4"/>
                <w:szCs w:val="4"/>
              </w:rPr>
            </w:pPr>
            <w:r>
              <w:rPr>
                <w:sz w:val="4"/>
                <w:szCs w:val="4"/>
              </w:rPr>
            </w:r>
          </w:p>
        </w:tc>
      </w:tr>
      <w:tr>
        <w:trPr/>
        <w:tc>
          <w:tcPr>
            <w:tcW w:w="4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79" w:type="dxa"/>
            <w:gridSpan w:val="8"/>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Selling, general and administrative expenses exclude share-based compensation expenses</w:t>
            </w:r>
          </w:p>
        </w:tc>
        <w:tc>
          <w:tcPr>
            <w:tcW w:w="4560" w:type="dxa"/>
            <w:gridSpan w:val="18"/>
            <w:tcBorders/>
            <w:shd w:fill="auto" w:val="clea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68" w:before="120" w:after="120"/>
        <w:ind w:left="0" w:right="0" w:firstLine="720"/>
        <w:jc w:val="both"/>
        <w:rPr/>
      </w:pPr>
      <w:r>
        <w:rPr>
          <w:rFonts w:ascii="Times New Roman;sans-serif" w:hAnsi="Times New Roman;sans-serif"/>
          <w:b w:val="false"/>
          <w:color w:val="000000"/>
          <w:sz w:val="20"/>
          <w:highlight w:val="white"/>
        </w:rPr>
        <w:t>Subscription revenues de</w:t>
      </w:r>
      <w:r>
        <w:rPr>
          <w:rFonts w:ascii="Times New Roman;sans-serif" w:hAnsi="Times New Roman;sans-serif"/>
          <w:b w:val="false"/>
          <w:color w:val="000000"/>
          <w:sz w:val="20"/>
        </w:rPr>
        <w:t xml:space="preserve">creased primarily due to the unfavorable impact of foreign currency translation at AMCNI. </w:t>
      </w:r>
    </w:p>
    <w:p>
      <w:pPr>
        <w:pStyle w:val="TextBody"/>
        <w:spacing w:lineRule="auto" w:line="268" w:before="120" w:after="120"/>
        <w:ind w:left="0" w:right="0" w:firstLine="720"/>
        <w:jc w:val="both"/>
        <w:rPr/>
      </w:pPr>
      <w:r>
        <w:rPr>
          <w:rFonts w:ascii="Times New Roman;sans-serif" w:hAnsi="Times New Roman;sans-serif"/>
          <w:b w:val="false"/>
          <w:color w:val="000000"/>
          <w:sz w:val="20"/>
          <w:highlight w:val="white"/>
        </w:rPr>
        <w:t>Content licensing and other revenues inc</w:t>
      </w:r>
      <w:r>
        <w:rPr>
          <w:rFonts w:ascii="Times New Roman;sans-serif" w:hAnsi="Times New Roman;sans-serif"/>
          <w:b w:val="false"/>
          <w:color w:val="000000"/>
          <w:sz w:val="20"/>
        </w:rPr>
        <w:t>reased due to the timing and nature of productions at 25/7 Media.</w:t>
      </w:r>
    </w:p>
    <w:p>
      <w:pPr>
        <w:pStyle w:val="TextBody"/>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primarily due to the impact of the wind-down of two channels in 2022 and marketplace declines in the U.K.</w:t>
      </w:r>
    </w:p>
    <w:p>
      <w:pPr>
        <w:pStyle w:val="TextBody"/>
        <w:spacing w:lineRule="auto" w:line="26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increased due to the timing and nature of productions at 25/7 Media, partially offset by the favorable impact of foreign currency translation at AMCNI.</w:t>
      </w:r>
    </w:p>
    <w:p>
      <w:pPr>
        <w:pStyle w:val="TextBody"/>
        <w:spacing w:lineRule="auto" w:line="26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primarily due to the favorable impact of foreign currency translation at AMCNI, partially offset by higher advertising and marketing costs.</w:t>
      </w:r>
    </w:p>
    <w:p>
      <w:pPr>
        <w:pStyle w:val="TextBody"/>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adjusted operating income</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a decrease in revenues, net of $1.8 million, and an increase in technical and operating expenses of $0.9 million, partially offset by a decrease in selling, general and administrative expenses of $0.8 million.</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120" w:after="120"/>
        <w:jc w:val="both"/>
        <w:rPr/>
      </w:pPr>
      <w:r>
        <w:rPr/>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Corporate and Inter-segment Elimination</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Corporate and Inter-segment Eliminations segment results for the periods indicated.</w:t>
      </w:r>
    </w:p>
    <w:tbl>
      <w:tblPr>
        <w:tblW w:w="10539" w:type="dxa"/>
        <w:jc w:val="left"/>
        <w:tblInd w:w="0" w:type="dxa"/>
        <w:tblCellMar>
          <w:top w:w="28" w:type="dxa"/>
          <w:left w:w="28" w:type="dxa"/>
          <w:bottom w:w="28" w:type="dxa"/>
          <w:right w:w="28" w:type="dxa"/>
        </w:tblCellMar>
      </w:tblPr>
      <w:tblGrid>
        <w:gridCol w:w="1937"/>
        <w:gridCol w:w="1682"/>
        <w:gridCol w:w="1643"/>
        <w:gridCol w:w="124"/>
        <w:gridCol w:w="124"/>
        <w:gridCol w:w="166"/>
        <w:gridCol w:w="166"/>
        <w:gridCol w:w="166"/>
        <w:gridCol w:w="143"/>
        <w:gridCol w:w="278"/>
        <w:gridCol w:w="1025"/>
        <w:gridCol w:w="143"/>
        <w:gridCol w:w="109"/>
        <w:gridCol w:w="109"/>
        <w:gridCol w:w="109"/>
        <w:gridCol w:w="211"/>
        <w:gridCol w:w="771"/>
        <w:gridCol w:w="109"/>
        <w:gridCol w:w="109"/>
        <w:gridCol w:w="109"/>
        <w:gridCol w:w="109"/>
        <w:gridCol w:w="280"/>
        <w:gridCol w:w="280"/>
        <w:gridCol w:w="367"/>
        <w:gridCol w:w="109"/>
        <w:gridCol w:w="161"/>
      </w:tblGrid>
      <w:tr>
        <w:trPr/>
        <w:tc>
          <w:tcPr>
            <w:tcW w:w="1937"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8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24" w:type="dxa"/>
            <w:gridSpan w:val="8"/>
            <w:tcBorders/>
            <w:shd w:fill="auto" w:val="clear"/>
          </w:tcPr>
          <w:p>
            <w:pPr>
              <w:pStyle w:val="TableContents"/>
              <w:spacing w:before="0" w:after="283"/>
              <w:rPr>
                <w:sz w:val="4"/>
                <w:szCs w:val="4"/>
              </w:rPr>
            </w:pPr>
            <w:r>
              <w:rPr>
                <w:sz w:val="4"/>
                <w:szCs w:val="4"/>
              </w:rPr>
            </w:r>
          </w:p>
        </w:tc>
      </w:tr>
      <w:tr>
        <w:trPr/>
        <w:tc>
          <w:tcPr>
            <w:tcW w:w="5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(24,762)</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08" w:type="dxa"/>
            <w:gridSpan w:val="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2942" w:type="dxa"/>
            <w:gridSpan w:val="14"/>
            <w:tcBorders/>
            <w:shd w:fill="auto" w:val="clear"/>
          </w:tcPr>
          <w:p>
            <w:pPr>
              <w:pStyle w:val="TableContents"/>
              <w:spacing w:before="0" w:after="283"/>
              <w:rPr>
                <w:sz w:val="4"/>
                <w:szCs w:val="4"/>
              </w:rPr>
            </w:pPr>
            <w:r>
              <w:rPr>
                <w:sz w:val="4"/>
                <w:szCs w:val="4"/>
              </w:rPr>
            </w:r>
          </w:p>
        </w:tc>
      </w:tr>
      <w:tr>
        <w:trPr/>
        <w:tc>
          <w:tcPr>
            <w:tcW w:w="6008" w:type="dxa"/>
            <w:gridSpan w:val="8"/>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43" w:type="dxa"/>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2942" w:type="dxa"/>
            <w:gridSpan w:val="14"/>
            <w:tcBorders/>
            <w:shd w:fill="auto" w:val="clear"/>
          </w:tcPr>
          <w:p>
            <w:pPr>
              <w:pStyle w:val="TableContents"/>
              <w:spacing w:before="0" w:after="283"/>
              <w:rPr>
                <w:sz w:val="4"/>
                <w:szCs w:val="4"/>
              </w:rPr>
            </w:pPr>
            <w:r>
              <w:rPr>
                <w:sz w:val="4"/>
                <w:szCs w:val="4"/>
              </w:rPr>
            </w:r>
          </w:p>
        </w:tc>
      </w:tr>
    </w:tbl>
    <w:p>
      <w:pPr>
        <w:pStyle w:val="TextBody"/>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 net</w:t>
      </w:r>
    </w:p>
    <w:p>
      <w:pPr>
        <w:pStyle w:val="TextBody"/>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eliminations are primarily related to inter-segment licensing revenues recognized between the Domestic Operations and International and Other segments.</w:t>
      </w:r>
    </w:p>
    <w:p>
      <w:pPr>
        <w:pStyle w:val="TextBody"/>
        <w:spacing w:lineRule="auto" w:line="276"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 eliminations are primarily related to inter-segment programming amortization recognized between the Domestic Operations and International and Other segments.</w:t>
      </w:r>
    </w:p>
    <w:p>
      <w:pPr>
        <w:pStyle w:val="TextBody"/>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primarily due to lower employee related costs, including lower long-term incentive compensation.</w:t>
      </w:r>
    </w:p>
    <w:p>
      <w:pPr>
        <w:pStyle w:val="TextBody"/>
        <w:spacing w:before="120" w:after="120"/>
        <w:ind w:left="0" w:right="0" w:firstLine="45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Non-GAAP Financial Measures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Internally, we use revenues, net and AOI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operating income (loss) to AOI for the periods indicated:</w:t>
      </w:r>
    </w:p>
    <w:p>
      <w:pPr>
        <w:pStyle w:val="TextBody"/>
        <w:spacing w:before="120" w:after="120"/>
        <w:ind w:left="0" w:right="0" w:firstLine="495"/>
        <w:rPr/>
      </w:pPr>
      <w:r>
        <w:rPr/>
      </w:r>
    </w:p>
    <w:tbl>
      <w:tblPr>
        <w:tblW w:w="10539" w:type="dxa"/>
        <w:jc w:val="left"/>
        <w:tblInd w:w="0" w:type="dxa"/>
        <w:tblCellMar>
          <w:top w:w="28" w:type="dxa"/>
          <w:left w:w="28" w:type="dxa"/>
          <w:bottom w:w="28" w:type="dxa"/>
          <w:right w:w="28" w:type="dxa"/>
        </w:tblCellMar>
      </w:tblPr>
      <w:tblGrid>
        <w:gridCol w:w="959"/>
        <w:gridCol w:w="821"/>
        <w:gridCol w:w="825"/>
        <w:gridCol w:w="282"/>
        <w:gridCol w:w="1106"/>
        <w:gridCol w:w="145"/>
        <w:gridCol w:w="109"/>
        <w:gridCol w:w="109"/>
        <w:gridCol w:w="109"/>
        <w:gridCol w:w="330"/>
        <w:gridCol w:w="1131"/>
        <w:gridCol w:w="170"/>
        <w:gridCol w:w="109"/>
        <w:gridCol w:w="109"/>
        <w:gridCol w:w="109"/>
        <w:gridCol w:w="516"/>
        <w:gridCol w:w="1807"/>
        <w:gridCol w:w="270"/>
        <w:gridCol w:w="109"/>
        <w:gridCol w:w="109"/>
        <w:gridCol w:w="109"/>
        <w:gridCol w:w="211"/>
        <w:gridCol w:w="826"/>
        <w:gridCol w:w="159"/>
      </w:tblGrid>
      <w:tr>
        <w:trPr/>
        <w:tc>
          <w:tcPr>
            <w:tcW w:w="95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2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related charges</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(24,762)</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943"/>
        <w:gridCol w:w="809"/>
        <w:gridCol w:w="813"/>
        <w:gridCol w:w="283"/>
        <w:gridCol w:w="1111"/>
        <w:gridCol w:w="146"/>
        <w:gridCol w:w="109"/>
        <w:gridCol w:w="109"/>
        <w:gridCol w:w="109"/>
        <w:gridCol w:w="332"/>
        <w:gridCol w:w="1137"/>
        <w:gridCol w:w="171"/>
        <w:gridCol w:w="109"/>
        <w:gridCol w:w="109"/>
        <w:gridCol w:w="109"/>
        <w:gridCol w:w="520"/>
        <w:gridCol w:w="1823"/>
        <w:gridCol w:w="272"/>
        <w:gridCol w:w="109"/>
        <w:gridCol w:w="109"/>
        <w:gridCol w:w="109"/>
        <w:gridCol w:w="211"/>
        <w:gridCol w:w="826"/>
        <w:gridCol w:w="161"/>
      </w:tblGrid>
      <w:tr>
        <w:trPr/>
        <w:tc>
          <w:tcPr>
            <w:tcW w:w="943"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1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15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Our Board of Directors previously authorized a program to repurchase up to $1.5 billion of our outstanding shares of common stock (the "Stock Repurchase Program"). The Stock Repurchase Program has no pre-established closing date and may be suspended or discontinued at any time. For the three months ended March 31, 2023, we did not repurchase any of our Class A common stock. As of March 31, 2023, we had </w:t>
      </w:r>
      <w:r>
        <w:rPr>
          <w:rFonts w:ascii="Times New Roman;sans-serif" w:hAnsi="Times New Roman;sans-serif"/>
          <w:b w:val="false"/>
          <w:color w:val="000000"/>
          <w:sz w:val="20"/>
          <w:highlight w:val="white"/>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uses of cash include the production, acquisition and promotion of programming, technology investments, debt service and payments for income taxes. We continue to invest in original programming, the funding of which generally occurs six to nine months in advance of a program's airing. </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consolidated cash and cash equivalents balance of $763.9 million includes approximately $344.5 million held by foreign subsidiaries. Of this amount, approximately $225.0 million is expected to be repatriated to the United States with the remaining amount continuing to be reinvested in foreign operations. Tax expense related to the expected repatriation amount has been accrued in the current period and we do not expect to incur any significant, additional taxes related to the remaining balance.</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combination of cash-on-hand, cash generated from operating activities, availability under our revolving credit facility, borrowings under additional financing facilities and, when we have access to capital and credit markets, proceeds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the sale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then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 Given the maturity dates of our 5.00% senior notes due 2024 and our 4.75% senior notes due 2025, we may access the capital or credit markets in the near term to refinance those senior notes through privately negotiated transactions, open market repurchases, tender offers or redemptions.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2022 Form 10-K.</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was not drawn upon at March 31, 2023. The total undrawn revolver commitment is available to be drawn for our general corporate purposes.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w:t>
      </w:r>
    </w:p>
    <w:p>
      <w:pPr>
        <w:pStyle w:val="TextBody"/>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was in compliance with all of its debt covenants as of March 31, 2023.</w:t>
      </w:r>
    </w:p>
    <w:p>
      <w:pPr>
        <w:pStyle w:val="TextBody"/>
        <w:spacing w:lineRule="auto" w:line="288"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flows provided by (used in) operating, investing and financing activities for the periods indicated:</w:t>
      </w:r>
    </w:p>
    <w:tbl>
      <w:tblPr>
        <w:tblW w:w="7523" w:type="dxa"/>
        <w:jc w:val="left"/>
        <w:tblInd w:w="0" w:type="dxa"/>
        <w:tblCellMar>
          <w:top w:w="28" w:type="dxa"/>
          <w:left w:w="28" w:type="dxa"/>
          <w:bottom w:w="28" w:type="dxa"/>
          <w:right w:w="28" w:type="dxa"/>
        </w:tblCellMar>
      </w:tblPr>
      <w:tblGrid>
        <w:gridCol w:w="1740"/>
        <w:gridCol w:w="1535"/>
        <w:gridCol w:w="1539"/>
        <w:gridCol w:w="211"/>
        <w:gridCol w:w="901"/>
        <w:gridCol w:w="109"/>
        <w:gridCol w:w="109"/>
        <w:gridCol w:w="109"/>
        <w:gridCol w:w="109"/>
        <w:gridCol w:w="211"/>
        <w:gridCol w:w="796"/>
        <w:gridCol w:w="154"/>
      </w:tblGrid>
      <w:tr>
        <w:trPr/>
        <w:tc>
          <w:tcPr>
            <w:tcW w:w="174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76" w:before="120" w:after="120"/>
        <w:ind w:left="0" w:right="0" w:firstLine="495"/>
        <w:jc w:val="both"/>
        <w:rPr/>
      </w:pPr>
      <w:r>
        <w:rPr>
          <w:rFonts w:ascii="Times New Roman;sans-serif" w:hAnsi="Times New Roman;sans-serif"/>
          <w:b w:val="false"/>
          <w:color w:val="000000"/>
          <w:sz w:val="20"/>
          <w:highlight w:val="white"/>
        </w:rPr>
        <w:t xml:space="preserve">Net cash used in operating activities </w:t>
      </w:r>
      <w:r>
        <w:rPr>
          <w:rFonts w:ascii="Times New Roman;sans-serif" w:hAnsi="Times New Roman;sans-serif"/>
          <w:b w:val="false"/>
          <w:color w:val="000000"/>
          <w:sz w:val="20"/>
        </w:rPr>
        <w:t>f</w:t>
      </w:r>
      <w:r>
        <w:rPr>
          <w:rFonts w:ascii="Times New Roman;sans-serif" w:hAnsi="Times New Roman;sans-serif"/>
          <w:b w:val="false"/>
          <w:color w:val="000000"/>
          <w:sz w:val="20"/>
          <w:highlight w:val="white"/>
        </w:rPr>
        <w:t xml:space="preserve">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amounted to </w:t>
      </w:r>
      <w:r>
        <w:rPr>
          <w:rFonts w:ascii="Times New Roman;sans-serif" w:hAnsi="Times New Roman;sans-serif"/>
          <w:b w:val="false"/>
          <w:color w:val="000000"/>
          <w:sz w:val="20"/>
        </w:rPr>
        <w:t>$132.5 million</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$23.6 million</w:t>
      </w:r>
      <w:r>
        <w:rPr>
          <w:rFonts w:ascii="Times New Roman;sans-serif" w:hAnsi="Times New Roman;sans-serif"/>
          <w:b w:val="false"/>
          <w:color w:val="000000"/>
          <w:sz w:val="20"/>
          <w:highlight w:val="white"/>
        </w:rPr>
        <w:t xml:space="preserve">, respectively. </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used in operating activities primarily resulted from payments for program rights of $370.3 million and restructuring initiatives of $56.9 million, partially offset by $332.4 million of net income before amortization of program rights, depreciation and amortization, and other non-cash items. Changes in all other assets and liabilities during the quarter resulted in a net cash outflow of $37.7 million. </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net cash used in operating activities primarily resulted from payments for program rights of $340.3 million, partially offset by $361.2 million of net income before amortization of program rights, depreciation and amortization, and other non-cash items. Changes in all other assets and liabilities during the quarter resulted in an additional net cash outflow of $44.5 million. </w:t>
      </w:r>
    </w:p>
    <w:p>
      <w:pPr>
        <w:pStyle w:val="TextBody"/>
        <w:spacing w:lineRule="auto" w:line="276"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76" w:before="120" w:after="120"/>
        <w:ind w:left="0" w:right="0" w:firstLine="495"/>
        <w:jc w:val="both"/>
        <w:rPr/>
      </w:pPr>
      <w:r>
        <w:rPr>
          <w:rFonts w:ascii="Times New Roman;sans-serif" w:hAnsi="Times New Roman;sans-serif"/>
          <w:b w:val="false"/>
          <w:color w:val="000000"/>
          <w:sz w:val="20"/>
          <w:highlight w:val="white"/>
        </w:rPr>
        <w:t xml:space="preserve">Net cash used in investing activities </w:t>
      </w:r>
      <w:r>
        <w:rPr>
          <w:rFonts w:ascii="Times New Roman;sans-serif" w:hAnsi="Times New Roman;sans-serif"/>
          <w:b w:val="false"/>
          <w:color w:val="000000"/>
          <w:sz w:val="20"/>
        </w:rPr>
        <w:t>f</w:t>
      </w:r>
      <w:r>
        <w:rPr>
          <w:rFonts w:ascii="Times New Roman;sans-serif" w:hAnsi="Times New Roman;sans-serif"/>
          <w:b w:val="false"/>
          <w:color w:val="000000"/>
          <w:sz w:val="20"/>
          <w:highlight w:val="white"/>
        </w:rPr>
        <w:t xml:space="preserve">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amounted to </w:t>
      </w:r>
      <w:r>
        <w:rPr>
          <w:rFonts w:ascii="Times New Roman;sans-serif" w:hAnsi="Times New Roman;sans-serif"/>
          <w:b w:val="false"/>
          <w:color w:val="000000"/>
          <w:sz w:val="20"/>
        </w:rPr>
        <w:t>$7.0 million and $9.8 million, respectively.</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used in investing activities consisted of capital expenditures of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$11.5 million, partially offset by proceeds from the sale of investments of $4.5 million.</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net cash used in investing activities consisted of capital expenditures of $11.5 million, partially offset by a return of capital from investees of $1.7 million. </w:t>
      </w:r>
    </w:p>
    <w:p>
      <w:pPr>
        <w:pStyle w:val="TextBody"/>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120"/>
        <w:ind w:left="0" w:right="0" w:firstLine="495"/>
        <w:jc w:val="both"/>
        <w:rPr/>
      </w:pPr>
      <w:r>
        <w:rPr>
          <w:rFonts w:ascii="Times New Roman;sans-serif" w:hAnsi="Times New Roman;sans-serif"/>
          <w:b w:val="false"/>
          <w:color w:val="000000"/>
          <w:sz w:val="20"/>
        </w:rPr>
        <w:t>Net cash used in financing activities f</w:t>
      </w:r>
      <w:r>
        <w:rPr>
          <w:rFonts w:ascii="Times New Roman;sans-serif" w:hAnsi="Times New Roman;sans-serif"/>
          <w:b w:val="false"/>
          <w:color w:val="000000"/>
          <w:sz w:val="20"/>
          <w:highlight w:val="white"/>
        </w:rPr>
        <w:t xml:space="preserve">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amounted to </w:t>
      </w:r>
      <w:r>
        <w:rPr>
          <w:rFonts w:ascii="Times New Roman;sans-serif" w:hAnsi="Times New Roman;sans-serif"/>
          <w:b w:val="false"/>
          <w:color w:val="000000"/>
          <w:sz w:val="20"/>
        </w:rPr>
        <w:t>$28.3 million and $31.0 million, respectively.</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financing activities primarily consisted of distributions to noncontrolling interests of $11.5 million, principal payments on the Term Loan A Facility of $8.4 million, and taxes paid in lieu of shares issued for equity-based compensation of $6.0 million.</w:t>
      </w:r>
    </w:p>
    <w:p>
      <w:pPr>
        <w:pStyle w:val="TextBody"/>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used in financing activities consisted of taxes paid in lieu of shares issued for equity-based compensation of $20.3 million, principal payments on the Term Loan A Facility of $8.4 million, distributions to noncontrolling interests of $1.6 million, and payments on finance leases of $0.7 million.</w:t>
      </w:r>
    </w:p>
    <w:p>
      <w:pPr>
        <w:pStyle w:val="TextBody"/>
        <w:spacing w:before="120" w:after="120"/>
        <w:ind w:left="0" w:right="0" w:firstLine="495"/>
        <w:jc w:val="both"/>
        <w:rPr/>
      </w:pPr>
      <w:r>
        <w:rPr/>
      </w:r>
    </w:p>
    <w:p>
      <w:pPr>
        <w:pStyle w:val="TextBody"/>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contractual obligations not reflected on the condensed consolidated balance sheet increased $27.2 million, as compared to December 31, 2022, to $939.4 million. The increase is primarily driven by the renewal of a third-party service contract.</w:t>
      </w:r>
    </w:p>
    <w:p>
      <w:pPr>
        <w:pStyle w:val="TextBody"/>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terms and conditions of the guarantees with respect to the outstanding notes for which AMC Networks is the issuer. </w:t>
      </w:r>
    </w:p>
    <w:p>
      <w:pPr>
        <w:pStyle w:val="TextBody"/>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Note Guarantees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Debt of AMC Networks as of March 31, 2023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subsidiaries of AMC Networks do not and will not guarantee the notes.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Summarized Financial Information </w:t>
      </w:r>
    </w:p>
    <w:tbl>
      <w:tblPr>
        <w:tblW w:w="10190" w:type="dxa"/>
        <w:jc w:val="left"/>
        <w:tblInd w:w="0" w:type="dxa"/>
        <w:tblCellMar>
          <w:top w:w="28" w:type="dxa"/>
          <w:left w:w="28" w:type="dxa"/>
          <w:bottom w:w="28" w:type="dxa"/>
          <w:right w:w="28" w:type="dxa"/>
        </w:tblCellMar>
      </w:tblPr>
      <w:tblGrid>
        <w:gridCol w:w="864"/>
        <w:gridCol w:w="759"/>
        <w:gridCol w:w="762"/>
        <w:gridCol w:w="262"/>
        <w:gridCol w:w="1028"/>
        <w:gridCol w:w="135"/>
        <w:gridCol w:w="124"/>
        <w:gridCol w:w="124"/>
        <w:gridCol w:w="124"/>
        <w:gridCol w:w="353"/>
        <w:gridCol w:w="1385"/>
        <w:gridCol w:w="182"/>
        <w:gridCol w:w="109"/>
        <w:gridCol w:w="109"/>
        <w:gridCol w:w="109"/>
        <w:gridCol w:w="262"/>
        <w:gridCol w:w="1027"/>
        <w:gridCol w:w="135"/>
        <w:gridCol w:w="124"/>
        <w:gridCol w:w="124"/>
        <w:gridCol w:w="124"/>
        <w:gridCol w:w="348"/>
        <w:gridCol w:w="1363"/>
        <w:gridCol w:w="254"/>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7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2385" w:type="dxa"/>
            <w:gridSpan w:val="3"/>
            <w:vMerge w:val="continue"/>
            <w:tcBorders/>
            <w:shd w:fill="auto" w:val="clear"/>
            <w:tcMar>
              <w:top w:w="0" w:type="dxa"/>
              <w:left w:w="0" w:type="dxa"/>
              <w:bottom w:w="0" w:type="dxa"/>
              <w:right w:w="0" w:type="dxa"/>
            </w:tcMar>
            <w:vAlign w:val="center"/>
          </w:tcPr>
          <w:p>
            <w:pPr>
              <w:pStyle w:val="Normal"/>
              <w:rPr/>
            </w:pPr>
            <w:r>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524,867 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515,603 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377,264 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362,605 </w:t>
            </w:r>
          </w:p>
        </w:tc>
        <w:tc>
          <w:tcPr>
            <w:tcW w:w="2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62"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135,480 </w:t>
            </w:r>
          </w:p>
        </w:tc>
        <w:tc>
          <w:tcPr>
            <w:tcW w:w="135"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175,035 </w:t>
            </w:r>
          </w:p>
        </w:tc>
        <w:tc>
          <w:tcPr>
            <w:tcW w:w="182"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141,667 </w:t>
            </w:r>
          </w:p>
        </w:tc>
        <w:tc>
          <w:tcPr>
            <w:tcW w:w="135"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174,080 </w:t>
            </w:r>
          </w:p>
        </w:tc>
        <w:tc>
          <w:tcPr>
            <w:tcW w:w="2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171,903 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both"/>
        <w:rPr/>
      </w:pPr>
      <w:r>
        <w:rPr/>
      </w:r>
    </w:p>
    <w:tbl>
      <w:tblPr>
        <w:tblW w:w="10340" w:type="dxa"/>
        <w:jc w:val="left"/>
        <w:tblInd w:w="0" w:type="dxa"/>
        <w:tblCellMar>
          <w:top w:w="28" w:type="dxa"/>
          <w:left w:w="28" w:type="dxa"/>
          <w:bottom w:w="28" w:type="dxa"/>
          <w:right w:w="28" w:type="dxa"/>
        </w:tblCellMar>
      </w:tblPr>
      <w:tblGrid>
        <w:gridCol w:w="951"/>
        <w:gridCol w:w="835"/>
        <w:gridCol w:w="839"/>
        <w:gridCol w:w="289"/>
        <w:gridCol w:w="987"/>
        <w:gridCol w:w="149"/>
        <w:gridCol w:w="109"/>
        <w:gridCol w:w="109"/>
        <w:gridCol w:w="109"/>
        <w:gridCol w:w="389"/>
        <w:gridCol w:w="1328"/>
        <w:gridCol w:w="202"/>
        <w:gridCol w:w="109"/>
        <w:gridCol w:w="109"/>
        <w:gridCol w:w="109"/>
        <w:gridCol w:w="289"/>
        <w:gridCol w:w="987"/>
        <w:gridCol w:w="149"/>
        <w:gridCol w:w="109"/>
        <w:gridCol w:w="109"/>
        <w:gridCol w:w="109"/>
        <w:gridCol w:w="380"/>
        <w:gridCol w:w="1304"/>
        <w:gridCol w:w="281"/>
      </w:tblGrid>
      <w:tr>
        <w:trPr/>
        <w:tc>
          <w:tcPr>
            <w:tcW w:w="95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6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w:t>
            </w:r>
          </w:p>
        </w:tc>
        <w:tc>
          <w:tcPr>
            <w:tcW w:w="28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69,888 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79,020 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1,023,077 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1,258,759 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3,995,793 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3,843,407 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3,893,205 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3,706,858 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equity:</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138,001 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722,718 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157,658 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872,109 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2,945,722 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2,972,602 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330,467 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our significant accounting policies in Note 2 to the Company's Consolidated Financial Statements included in our 2022 Form 10-K. There have been no significant changes in our significant accounting policies since December 31, 2022.</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our critical accounting estimates in Item 7, "Management's Discussion and Analysis of Financial Condition and Results of Operations," in our 2022 Form 10-K. There have been no significant changes in our critical accounting estimates since December 31, 2022.</w:t>
      </w:r>
    </w:p>
    <w:p>
      <w:pPr>
        <w:pStyle w:val="TextBody"/>
        <w:spacing w:before="120" w:after="120"/>
        <w:ind w:left="0" w:right="0" w:firstLine="45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spacing w:lineRule="auto" w:line="288" w:before="120" w:after="120"/>
        <w:ind w:left="0" w:right="0" w:firstLine="495"/>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Based on the level of interest rates prevailing at March 31, 2023, the carrying value of our fixed rate debt of $2.18 billion was more than its fair value of $1.71 billion by approximately $466.9 million. The fair value of these financial instruments is estimated based on reference to quoted market prices for these or comparable securities. A hypothetical 100 basis point decrease in interest rates prevailing at March 31, 2023 would increase the estimated fair value of our fixed rate debt by approximately $48.0 million to approximately $1.76 billion.</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Interest Rate Risk</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swap contracts among various counterparties to mitigate exposure to any single financial institution. For the three months ended March 31, 2023, we did not have any interest rate swap contracts outstanding. </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$2.8 billion of debt outstanding (excluding finance leases), of which $632.8 million is outstanding under our loan facility and is subject to variable interest rates. A hypothetical 100 basis point increase in interest rates prevailing at March 31, 2023 would increase our annual interest expense by approximately $6.3 million. The interest rate paid on approximately 78% of our debt (excluding finance leases) as of March 31, 2023 is fixed.</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Foreign Currency Exchange Rate Risk</w:t>
      </w:r>
    </w:p>
    <w:p>
      <w:pPr>
        <w:pStyle w:val="TextBody"/>
        <w:spacing w:lineRule="auto" w:line="288" w:before="120" w:after="120"/>
        <w:ind w:left="0" w:right="0" w:firstLine="450"/>
        <w:jc w:val="both"/>
        <w:rPr/>
      </w:pPr>
      <w:r>
        <w:rPr>
          <w:rFonts w:ascii="Times New Roman;sans-serif" w:hAnsi="Times New Roman;sans-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highlight w:val="white"/>
        </w:rPr>
        <w:t xml:space="preserve"> </w:t>
      </w:r>
      <w:r>
        <w:rPr>
          <w:rFonts w:ascii="Times New Roman;sans-serif" w:hAnsi="Times New Roman;sans-serif"/>
          <w:b w:val="false"/>
          <w:color w:val="000000"/>
          <w:sz w:val="20"/>
          <w:highlight w:val="white"/>
        </w:rPr>
        <w:t xml:space="preserve">as a result of changes in foreign currency exchange rates. The Company recognized a $0.6 million </w:t>
      </w:r>
      <w:r>
        <w:rPr>
          <w:rFonts w:ascii="Times New Roman;sans-serif" w:hAnsi="Times New Roman;sans-serif"/>
          <w:b w:val="false"/>
          <w:color w:val="000000"/>
          <w:sz w:val="20"/>
        </w:rPr>
        <w:t>loss for the three months ended March 31, 2023, and</w:t>
      </w:r>
      <w:r>
        <w:rPr>
          <w:color w:val="000000"/>
          <w:highlight w:val="white"/>
        </w:rPr>
        <w:t xml:space="preserve"> </w:t>
      </w:r>
      <w:r>
        <w:rPr>
          <w:rFonts w:ascii="Times New Roman;sans-serif" w:hAnsi="Times New Roman;sans-serif"/>
          <w:b w:val="false"/>
          <w:color w:val="000000"/>
          <w:sz w:val="20"/>
          <w:highlight w:val="white"/>
        </w:rPr>
        <w:t xml:space="preserve">a $0.1 million loss </w:t>
      </w:r>
      <w:r>
        <w:rPr>
          <w:rFonts w:ascii="Times New Roman;sans-serif" w:hAnsi="Times New Roman;sans-serif"/>
          <w:b w:val="false"/>
          <w:color w:val="000000"/>
          <w:sz w:val="20"/>
        </w:rPr>
        <w:t>for the three months ended March 31, 2022, related to foreign currency transactions. Such amounts are included in miscellaneous, net in the condensed consolidated statements of income.</w:t>
      </w:r>
    </w:p>
    <w:p>
      <w:pPr>
        <w:pStyle w:val="TextBody"/>
        <w:spacing w:lineRule="auto" w:line="288" w:before="120" w:after="120"/>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2023, the Company's Chief Executive Officer and Chief Financial Officer concluded that the Company's disclosure controls and procedures are effective.</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the Company's internal control over financial reporting, that have materially affected, or are reasonably likely to materially affect, the Company's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14, Commitments and Contingencies to the condensed consolidated financial statements included in this Quarterly Report on Form 10-Q for a description of our legal proceedings.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pStyle w:val="TextBody"/>
        <w:spacing w:lineRule="auto" w:line="288" w:before="120" w:after="120"/>
        <w:ind w:left="0" w:right="0" w:firstLine="495"/>
        <w:jc w:val="both"/>
        <w:rPr/>
      </w:pPr>
      <w:r>
        <w:rPr>
          <w:rFonts w:ascii="Times New Roman;sans-serif" w:hAnsi="Times New Roman;sans-serif"/>
          <w:b w:val="false"/>
          <w:color w:val="000000"/>
          <w:sz w:val="20"/>
        </w:rPr>
        <w:t xml:space="preserve">For the three months ended March 31, 2023, the Company did not repurchase any of its Class A common stock. As of March 31, 2023, the Company had </w:t>
      </w:r>
      <w:r>
        <w:rPr>
          <w:rFonts w:ascii="Times New Roman;sans-serif" w:hAnsi="Times New Roman;sans-serif"/>
          <w:b w:val="false"/>
          <w:color w:val="000000"/>
          <w:sz w:val="20"/>
          <w:highlight w:val="white"/>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spacing w:before="120" w:after="120"/>
        <w:ind w:left="0" w:right="0" w:firstLine="495"/>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120"/>
        <w:ind w:left="0" w:right="0" w:hanging="720"/>
        <w:rPr/>
      </w:pPr>
      <w:r>
        <w:rPr>
          <w:rFonts w:ascii="Times New Roman;sans-serif" w:hAnsi="Times New Roman;sans-serif"/>
          <w:b/>
          <w:color w:val="000000"/>
          <w:sz w:val="20"/>
        </w:rPr>
        <w:t>(a)</w:t>
      </w:r>
      <w:r>
        <w:rPr>
          <w:rFonts w:ascii="Times New Roman;sans-serif" w:hAnsi="Times New Roman;sans-serif"/>
          <w:b w:val="false"/>
          <w:color w:val="000000"/>
          <w:sz w:val="20"/>
        </w:rPr>
        <w:t>Index to Exhibits.</w:t>
      </w:r>
    </w:p>
    <w:tbl>
      <w:tblPr>
        <w:tblW w:w="10539" w:type="dxa"/>
        <w:jc w:val="left"/>
        <w:tblInd w:w="0" w:type="dxa"/>
        <w:tblCellMar>
          <w:top w:w="28" w:type="dxa"/>
          <w:left w:w="28" w:type="dxa"/>
          <w:bottom w:w="28" w:type="dxa"/>
          <w:right w:w="28" w:type="dxa"/>
        </w:tblCellMar>
      </w:tblPr>
      <w:tblGrid>
        <w:gridCol w:w="279"/>
        <w:gridCol w:w="238"/>
        <w:gridCol w:w="239"/>
        <w:gridCol w:w="3015"/>
        <w:gridCol w:w="2793"/>
        <w:gridCol w:w="3975"/>
      </w:tblGrid>
      <w:tr>
        <w:trPr/>
        <w:tc>
          <w:tcPr>
            <w:tcW w:w="27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75" w:type="dxa"/>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mcx-3312023xex101.htm">
              <w:r>
                <w:rPr>
                  <w:rStyle w:val="InternetLink"/>
                  <w:rFonts w:ascii="Times New Roman;sans-serif" w:hAnsi="Times New Roman;sans-serif"/>
                  <w:b w:val="false"/>
                  <w:color w:val="0000FF"/>
                  <w:sz w:val="20"/>
                  <w:u w:val="single"/>
                </w:rPr>
                <w:t>Employment Agreement, dated February 15, 2023, by and between AMC Networks Inc. and Kristin Dolan</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mcx-3312023xex22.htm">
              <w:r>
                <w:rPr>
                  <w:rStyle w:val="InternetLink"/>
                  <w:rFonts w:ascii="Times New Roman;sans-serif" w:hAnsi="Times New Roman;sans-serif"/>
                  <w:b w:val="false"/>
                  <w:color w:val="0000FF"/>
                  <w:sz w:val="20"/>
                  <w:u w:val="single"/>
                </w:rPr>
                <w:t>Guarantor Subsidiaries of the Registrant</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mcx-3312023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mcx-3312023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mcx-3312023xex32.htm">
              <w:r>
                <w:rPr>
                  <w:rStyle w:val="InternetLink"/>
                  <w:rFonts w:ascii="Times New Roman;sans-serif" w:hAnsi="Times New Roman;sans-serif"/>
                  <w:b w:val="false"/>
                  <w:color w:val="0000FF"/>
                  <w:sz w:val="20"/>
                  <w:u w:val="single"/>
                </w:rPr>
                <w:t>Certifications of Chief Executive Officer and Chief Financial Officer pursuant to Section 906 of the Sarbanes-Oxley Act of 2002, 18 U.S.C. Section 1350.</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9783"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9783"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Inline XBRL document.</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color w:val="000000"/>
        </w:rPr>
      </w:pPr>
      <w:r>
        <w:rPr>
          <w:color w:val="000000"/>
        </w:rPr>
        <w:t> </w:t>
      </w:r>
    </w:p>
    <w:tbl>
      <w:tblPr>
        <w:tblW w:w="7060"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356"/>
        <w:gridCol w:w="1356"/>
        <w:gridCol w:w="192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AMC Networks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Sherin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Sherin III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Accounting Officer</w:t>
            </w:r>
          </w:p>
        </w:tc>
      </w:tr>
    </w:tbl>
    <w:p>
      <w:pPr>
        <w:pStyle w:val="TextBody"/>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right"/>
        <w:rPr>
          <w:rFonts w:ascii="Arial;sans-serif" w:hAnsi="Arial;sans-serif"/>
          <w:b/>
          <w:color w:val="000000"/>
          <w:sz w:val="24"/>
        </w:rPr>
      </w:pPr>
      <w:r>
        <w:rPr>
          <w:rFonts w:ascii="Arial;sans-serif" w:hAnsi="Arial;sans-serif"/>
          <w:b/>
          <w:color w:val="000000"/>
          <w:sz w:val="24"/>
        </w:rPr>
        <w:t>CONFIDENTIAL</w:t>
      </w:r>
    </w:p>
    <w:p>
      <w:pPr>
        <w:pStyle w:val="TextBody"/>
        <w:spacing w:before="0" w:after="0"/>
        <w:jc w:val="center"/>
        <w:rPr/>
      </w:pPr>
      <w:r>
        <w:rPr/>
        <w:drawing>
          <wp:inline distT="0" distB="63500" distL="0" distR="0">
            <wp:extent cx="2857500" cy="9906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2857500" cy="990600"/>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February 15, 2023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Kristin Dolan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AMC Networks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11 Penn Plaza</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10001</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4"/>
        </w:rPr>
        <w:t xml:space="preserve">Re: </w:t>
      </w:r>
      <w:r>
        <w:rPr>
          <w:rFonts w:ascii="Times New Roman;sans-serif" w:hAnsi="Times New Roman;sans-serif"/>
          <w:b w:val="false"/>
          <w:color w:val="000000"/>
          <w:sz w:val="24"/>
          <w:u w:val="single"/>
        </w:rPr>
        <w:t>Employment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Dear Kristin: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4"/>
        </w:rPr>
        <w:t>This letter (the “</w:t>
      </w:r>
      <w:r>
        <w:rPr>
          <w:rFonts w:ascii="Times New Roman;sans-serif" w:hAnsi="Times New Roman;sans-serif"/>
          <w:b w:val="false"/>
          <w:i/>
          <w:color w:val="000000"/>
          <w:sz w:val="24"/>
        </w:rPr>
        <w:t>Agreement</w:t>
      </w:r>
      <w:r>
        <w:rPr>
          <w:color w:val="000000"/>
        </w:rPr>
        <w:t>”</w:t>
      </w:r>
      <w:r>
        <w:rPr>
          <w:rFonts w:ascii="Times New Roman;sans-serif" w:hAnsi="Times New Roman;sans-serif"/>
          <w:b w:val="false"/>
          <w:color w:val="000000"/>
          <w:sz w:val="24"/>
        </w:rPr>
        <w:t>) will confirm the terms of your employment by AMC Networks Inc.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as an at will employee with the title of Chief Executive Officer. This Agreement will supersede and replace any and all other discussions, understandings or arrangements regarding the subject matter herein. This Agreement will be effective as of February 27, 2023 (the “</w:t>
      </w:r>
      <w:r>
        <w:rPr>
          <w:rFonts w:ascii="Times New Roman;sans-serif" w:hAnsi="Times New Roman;sans-serif"/>
          <w:b w:val="false"/>
          <w:i/>
          <w:color w:val="000000"/>
          <w:sz w:val="24"/>
        </w:rPr>
        <w:t>Effective Date</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u w:val="single"/>
        </w:rPr>
        <w:t>Term of Employment</w:t>
      </w:r>
      <w:r>
        <w:rPr>
          <w:rFonts w:ascii="Times New Roman;sans-serif" w:hAnsi="Times New Roman;sans-serif"/>
          <w:b w:val="false"/>
          <w:color w:val="000000"/>
          <w:sz w:val="24"/>
        </w:rPr>
        <w:t>. The term of this Agreement (the “</w:t>
      </w:r>
      <w:r>
        <w:rPr>
          <w:rFonts w:ascii="Times New Roman;sans-serif" w:hAnsi="Times New Roman;sans-serif"/>
          <w:b w:val="false"/>
          <w:i/>
          <w:color w:val="000000"/>
          <w:sz w:val="24"/>
        </w:rPr>
        <w:t>Term</w:t>
      </w:r>
      <w:r>
        <w:rPr>
          <w:color w:val="000000"/>
        </w:rPr>
        <w:t>”</w:t>
      </w:r>
      <w:r>
        <w:rPr>
          <w:rFonts w:ascii="Times New Roman;sans-serif" w:hAnsi="Times New Roman;sans-serif"/>
          <w:b w:val="false"/>
          <w:color w:val="000000"/>
          <w:sz w:val="24"/>
        </w:rPr>
        <w:t>) shall commence as of the Effective Date and shall automatically expire on March 31, 2026 (the “</w:t>
      </w:r>
      <w:r>
        <w:rPr>
          <w:rFonts w:ascii="Times New Roman;sans-serif" w:hAnsi="Times New Roman;sans-serif"/>
          <w:b w:val="false"/>
          <w:i/>
          <w:color w:val="000000"/>
          <w:sz w:val="24"/>
        </w:rPr>
        <w:t>Expiration Date</w:t>
      </w:r>
      <w:r>
        <w:rPr>
          <w:color w:val="000000"/>
        </w:rPr>
        <w:t>”</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88"/>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u w:val="single"/>
        </w:rPr>
        <w:t>Duties</w:t>
      </w:r>
      <w:r>
        <w:rPr>
          <w:rFonts w:ascii="Times New Roman;sans-serif" w:hAnsi="Times New Roman;sans-serif"/>
          <w:b w:val="false"/>
          <w:color w:val="000000"/>
          <w:sz w:val="24"/>
        </w:rPr>
        <w:t>. In your capacity as the Chief Executive Officer, you shall have the powers, responsibilities, duties and authority customary for the chief executive officer of corporations of the size, type and nature of the Company, and you will report solely and directly to the Chairman of the Board of Directors of the Company (the “</w:t>
      </w:r>
      <w:r>
        <w:rPr>
          <w:rFonts w:ascii="Times New Roman;sans-serif" w:hAnsi="Times New Roman;sans-serif"/>
          <w:b w:val="false"/>
          <w:i/>
          <w:color w:val="000000"/>
          <w:sz w:val="24"/>
        </w:rPr>
        <w:t>Board</w:t>
      </w:r>
      <w:r>
        <w:rPr>
          <w:color w:val="000000"/>
        </w:rPr>
        <w:t>”</w:t>
      </w:r>
      <w:r>
        <w:rPr>
          <w:rFonts w:ascii="Times New Roman;sans-serif" w:hAnsi="Times New Roman;sans-serif"/>
          <w:b w:val="false"/>
          <w:color w:val="000000"/>
          <w:sz w:val="24"/>
        </w:rPr>
        <w:t>). Subject to the provisions of this paragraph, you agree to devote substantially all of your business time and attention to the business and affairs of the Company and to perform your duties in a diligent, competent and skillful manner and in accordance with applicable law. The Company understands that you serve on the Board of Directors of Madison Square Garden Entertainment Corp. (“</w:t>
      </w:r>
      <w:r>
        <w:rPr>
          <w:rFonts w:ascii="Times New Roman;sans-serif" w:hAnsi="Times New Roman;sans-serif"/>
          <w:b w:val="false"/>
          <w:i/>
          <w:color w:val="000000"/>
          <w:sz w:val="24"/>
        </w:rPr>
        <w:t>MSGE</w:t>
      </w:r>
      <w:r>
        <w:rPr>
          <w:color w:val="000000"/>
        </w:rPr>
        <w:t>”</w:t>
      </w:r>
      <w:r>
        <w:rPr>
          <w:rFonts w:ascii="Times New Roman;sans-serif" w:hAnsi="Times New Roman;sans-serif"/>
          <w:b w:val="false"/>
          <w:color w:val="000000"/>
          <w:sz w:val="24"/>
        </w:rPr>
        <w:t>). As recognized in Article Tenth of the Company’s Amended and Restated Certificate of Incorporation (the “</w:t>
      </w:r>
      <w:r>
        <w:rPr>
          <w:rFonts w:ascii="Times New Roman;sans-serif" w:hAnsi="Times New Roman;sans-serif"/>
          <w:b w:val="false"/>
          <w:i/>
          <w:color w:val="000000"/>
          <w:sz w:val="24"/>
        </w:rPr>
        <w:t>Overlap Policy</w:t>
      </w:r>
      <w:r>
        <w:rPr>
          <w:color w:val="000000"/>
        </w:rPr>
        <w:t>”</w:t>
      </w:r>
      <w:r>
        <w:rPr>
          <w:rFonts w:ascii="Times New Roman;sans-serif" w:hAnsi="Times New Roman;sans-serif"/>
          <w:b w:val="false"/>
          <w:color w:val="000000"/>
          <w:sz w:val="24"/>
        </w:rPr>
        <w:t xml:space="preserve">), there may be certain potential conflicts of interest and fiduciary duty issues associated with your roles at the Company and MSGE. The Company recognizes and agrees that none of (i) your responsibilities at the Company and MSGE, (ii) the actual or potential conflicts of interest and fiduciary duty issues that are waived in the Overlap Policy or (iii) any actions taken, or omitted to be taken, by you in good faith to comply with your duties and responsibilities to the Company in light of your responsibilities to the Company and MSGE, shall be deemed to be a breach by you of your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75260"/>
                <wp:effectExtent l="0" t="0" r="0" b="0"/>
                <wp:wrapNone/>
                <wp:docPr id="41"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 xml:space="preserve">obligations under this Agreement (including your obligations under </w:t>
      </w:r>
      <w:r>
        <w:rPr>
          <w:rFonts w:ascii="Times New Roman;sans-serif" w:hAnsi="Times New Roman;sans-serif"/>
          <w:b w:val="false"/>
          <w:i/>
          <w:color w:val="000000"/>
          <w:sz w:val="24"/>
        </w:rPr>
        <w:t>Annex I</w:t>
      </w:r>
      <w:r>
        <w:rPr>
          <w:rFonts w:ascii="Times New Roman;sans-serif" w:hAnsi="Times New Roman;sans-serif"/>
          <w:b w:val="false"/>
          <w:color w:val="000000"/>
          <w:sz w:val="24"/>
        </w:rPr>
        <w:t xml:space="preserve">) nor shall any of the foregoing constitute “Cause” as such term is defined herein. Notwithstanding the foregoing, nothing herein shall preclude you from (i) serving as a member of the board of directors of up to three non-competitive public companies upon consent of the Company (not to be unreasonably withheld); provided that, until April 3, 2023, you may serve on up to four such boards, (ii) engaging in charitable activities and community affairs, and (iii) managing your personal investments and affairs;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activities set out in clauses (i), (ii), and (iii) shall be limited by you so as not to materially interfere, individually or in the aggregate, with the performance of your duties and responsibilities hereunder, including compliance with the covenants set forth in Annex I.</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Compensation; Benefits</w:t>
      </w:r>
      <w:r>
        <w:rPr>
          <w:rFonts w:ascii="Times New Roman;sans-serif" w:hAnsi="Times New Roman;sans-serif"/>
          <w:b w:val="false"/>
          <w:color w:val="000000"/>
          <w:sz w:val="24"/>
        </w:rPr>
        <w:t>. Beginning on the Effective Date, your annual base salary will be a minimum of $2,000,000, subject to annual review and potential increase by the Compensation Committee of the Board of Directors of the Company (the “</w:t>
      </w:r>
      <w:r>
        <w:rPr>
          <w:rFonts w:ascii="Times New Roman;sans-serif" w:hAnsi="Times New Roman;sans-serif"/>
          <w:b w:val="false"/>
          <w:i/>
          <w:color w:val="000000"/>
          <w:sz w:val="24"/>
        </w:rPr>
        <w:t>Compensation Committee</w:t>
      </w:r>
      <w:r>
        <w:rPr>
          <w:color w:val="000000"/>
        </w:rPr>
        <w:t>”</w:t>
      </w:r>
      <w:r>
        <w:rPr>
          <w:rFonts w:ascii="Times New Roman;sans-serif" w:hAnsi="Times New Roman;sans-serif"/>
          <w:b w:val="false"/>
          <w:color w:val="000000"/>
          <w:sz w:val="24"/>
        </w:rPr>
        <w:t>), in its discretion. The Compensation Committee will review your compensation package on an annual basis. As of the Effective Date, you will also participate in our discretionary annual bonus program, and your annual target bonus opportunity will be two hundred percent (200%) of actual salary dollars paid to you during the applicable year. Bonus payments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2025, if any, even if such payment is not made to you prior to the Expiration Date, which bonus shall be subject to Company and unit performance for that fiscal year as determined by the Company in its sole discretion.</w:t>
      </w:r>
    </w:p>
    <w:p>
      <w:pPr>
        <w:pStyle w:val="TextBody"/>
        <w:spacing w:before="0" w:after="0"/>
        <w:ind w:left="0" w:right="0" w:hanging="360"/>
        <w:jc w:val="both"/>
        <w:rPr/>
      </w:pPr>
      <w:r>
        <w:rPr/>
      </w:r>
    </w:p>
    <w:p>
      <w:pPr>
        <w:pStyle w:val="TextBody"/>
        <w:spacing w:lineRule="auto" w:line="288"/>
        <w:jc w:val="both"/>
        <w:rPr/>
      </w:pPr>
      <w:r>
        <w:rPr>
          <w:rFonts w:ascii="Times New Roman;sans-serif" w:hAnsi="Times New Roman;sans-serif"/>
          <w:b w:val="false"/>
          <w:color w:val="000000"/>
          <w:sz w:val="24"/>
        </w:rPr>
        <w:t xml:space="preserve">You will also participate, subject to your continued employment by the Company and actual grant by the Compensation Committee in its discretion, in such long-term equity and other incentive programs as are made available in the future to similarly situated executives at the Company. For the 2023 award cycle (anticipated to commence in March 2023) and for each award cycle during the Term, it is expected that your long-term awards will consist of annual grants of cash and/or equity awards with an annual aggregate target value of not less than $3,750,000, as determined by the Compensation Committee.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terms and conditions shall be consistent with the terms and conditions of the grant agreements received by similarly situated executives (subject to any more favorable terms set forth in this Agreement including those set forth in Annex l attached hereto).</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75260"/>
                <wp:effectExtent l="0" t="0" r="0" b="0"/>
                <wp:wrapNone/>
                <wp:docPr id="42" name="Frame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In addition, on or as soon as reasonably practicable following the Effective Date but in no event later than thirty days after the Effective Date, the Company will grant you a special award of restricted stock units with a target value of $6,000,000 (the “</w:t>
      </w:r>
      <w:r>
        <w:rPr>
          <w:rFonts w:ascii="Times New Roman;sans-serif" w:hAnsi="Times New Roman;sans-serif"/>
          <w:b w:val="false"/>
          <w:i/>
          <w:color w:val="000000"/>
          <w:sz w:val="24"/>
        </w:rPr>
        <w:t>CEO Special Equity Award</w:t>
      </w:r>
      <w:r>
        <w:rPr>
          <w:color w:val="000000"/>
        </w:rPr>
        <w:t>”</w:t>
      </w:r>
      <w:r>
        <w:rPr>
          <w:rFonts w:ascii="Times New Roman;sans-serif" w:hAnsi="Times New Roman;sans-serif"/>
          <w:b w:val="false"/>
          <w:color w:val="000000"/>
          <w:sz w:val="24"/>
        </w:rPr>
        <w:t xml:space="preserve">). Subject to your continued employment through the relevant vesting date, your CEO Special Equity Award will vest ratably on each of the first, second and third anniversary of the Effective Date, in each case, subject to your continued employment with the Company through such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your CEO Special Equity Award will vest on a Change of Control of the Company (as defined in your award agreement for your CEO Special Equity Award); and (B) subject to your execution and the effectiveness of the Severance Agreement (as defined below), your CEO Special Equity Award will vest upon termination of your employment with the Company (1) by the Company, (2) by you for “</w:t>
      </w:r>
      <w:r>
        <w:rPr>
          <w:rFonts w:ascii="Times New Roman;sans-serif" w:hAnsi="Times New Roman;sans-serif"/>
          <w:b w:val="false"/>
          <w:i/>
          <w:color w:val="000000"/>
          <w:sz w:val="24"/>
        </w:rPr>
        <w:t>Good Reason</w:t>
      </w:r>
      <w:r>
        <w:rPr>
          <w:rFonts w:ascii="Times New Roman;sans-serif" w:hAnsi="Times New Roman;sans-serif"/>
          <w:b w:val="false"/>
          <w:color w:val="000000"/>
          <w:sz w:val="24"/>
        </w:rPr>
        <w:t>,” or (3) due to your death or your physical or mental disability (at which time of such termination under clauses (1), (2) or (3) “</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does not exist) and your CEO Special Equity Award will be paid or delivered to you within a reasonable period of time (and no later than the seventy-fifth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day)) following your termination (including, for the avoidance of doubt, a termination that occurs prior to the grant of your CEO Special Equity Award). Your CEO Special Equity Award will be subject to the other terms and conditions set forth in the applicable award agreement. Notwithstanding anything else in this Agreement, the vesting provisions set forth in this paragraph will apply to the CEO Special Equity Award.</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w:t>
      </w:r>
    </w:p>
    <w:p>
      <w:pPr>
        <w:pStyle w:val="TextBody"/>
        <w:spacing w:before="0" w:after="0"/>
        <w:jc w:val="both"/>
        <w:rPr/>
      </w:pPr>
      <w:r>
        <w:rPr/>
      </w:r>
    </w:p>
    <w:p>
      <w:pPr>
        <w:pStyle w:val="TextBody"/>
        <w:spacing w:lineRule="auto" w:line="276" w:before="0" w:after="0"/>
        <w:ind w:left="0" w:right="0" w:hanging="36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Restrictive Covenants</w:t>
      </w:r>
      <w:r>
        <w:rPr>
          <w:rFonts w:ascii="Times New Roman;sans-serif" w:hAnsi="Times New Roman;sans-serif"/>
          <w:b w:val="false"/>
          <w:color w:val="000000"/>
          <w:sz w:val="24"/>
        </w:rPr>
        <w:t xml:space="preserve">. Effective as of the Effective Date, you and the Company agree to be bound by the additional covenants and provisions applicable to each that are set forth in </w:t>
      </w:r>
      <w:r>
        <w:rPr>
          <w:rFonts w:ascii="Times New Roman;sans-serif" w:hAnsi="Times New Roman;sans-serif"/>
          <w:b w:val="false"/>
          <w:i/>
          <w:color w:val="000000"/>
          <w:sz w:val="24"/>
        </w:rPr>
        <w:t xml:space="preserve">Annex I </w:t>
      </w:r>
      <w:r>
        <w:rPr>
          <w:rFonts w:ascii="Times New Roman;sans-serif" w:hAnsi="Times New Roman;sans-serif"/>
          <w:b w:val="false"/>
          <w:color w:val="000000"/>
          <w:sz w:val="24"/>
        </w:rPr>
        <w:t xml:space="preserve">attached hereto, which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shall be deemed to be a part of this Agreement.</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If your employment with the Company is terminated after the Effective Date but prior to the Expiration Date (1) by the Company or (2) by you for “</w:t>
      </w:r>
      <w:r>
        <w:rPr>
          <w:rFonts w:ascii="Times New Roman;sans-serif" w:hAnsi="Times New Roman;sans-serif"/>
          <w:b w:val="false"/>
          <w:i/>
          <w:color w:val="000000"/>
          <w:sz w:val="24"/>
        </w:rPr>
        <w:t>Good Reason,</w:t>
      </w:r>
      <w:r>
        <w:rPr>
          <w:color w:val="000000"/>
        </w:rPr>
        <w:t xml:space="preserve">” </w:t>
      </w:r>
      <w:r>
        <w:rPr>
          <w:rFonts w:ascii="Times New Roman;sans-serif" w:hAnsi="Times New Roman;sans-serif"/>
          <w:b w:val="false"/>
          <w:color w:val="000000"/>
          <w:sz w:val="24"/>
        </w:rPr>
        <w:t>and at the time of such termination under clauses (1) or (2) “</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does not exist, then, subject to your execution and the effectiveness of a severance agreement reasonably satisfactory to the Company, which severance agreement shall include, without limitation, a full and complete general release in favor of the Company and its affiliates (subject to customary carve 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(the “</w:t>
      </w:r>
      <w:r>
        <w:rPr>
          <w:rFonts w:ascii="Times New Roman;sans-serif" w:hAnsi="Times New Roman;sans-serif"/>
          <w:b w:val="false"/>
          <w:i/>
          <w:color w:val="000000"/>
          <w:sz w:val="24"/>
        </w:rPr>
        <w:t>Severance Agreement</w:t>
      </w:r>
      <w:r>
        <w:rPr>
          <w:color w:val="000000"/>
        </w:rPr>
        <w:t>”</w:t>
      </w:r>
      <w:r>
        <w:rPr>
          <w:rFonts w:ascii="Times New Roman;sans-serif" w:hAnsi="Times New Roman;sans-serif"/>
          <w:b w:val="false"/>
          <w:color w:val="000000"/>
          <w:sz w:val="24"/>
        </w:rPr>
        <w:t>), the Company will provide you with the following:</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75260"/>
                <wp:effectExtent l="0" t="0" r="0" b="0"/>
                <wp:wrapNone/>
                <wp:docPr id="43" name="Frame4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hanging="360"/>
        <w:jc w:val="both"/>
        <w:rPr/>
      </w:pPr>
      <w:r>
        <w:rPr>
          <w:rFonts w:ascii="Times New Roman;sans-serif" w:hAnsi="Times New Roman;sans-serif"/>
          <w:b w:val="false"/>
          <w:color w:val="000000"/>
          <w:sz w:val="24"/>
        </w:rPr>
        <w:t>a.Severance in an amount to be determined by the Compensation Committee (the “</w:t>
      </w:r>
      <w:r>
        <w:rPr>
          <w:rFonts w:ascii="Times New Roman;sans-serif" w:hAnsi="Times New Roman;sans-serif"/>
          <w:b w:val="false"/>
          <w:i/>
          <w:color w:val="000000"/>
          <w:sz w:val="24"/>
        </w:rPr>
        <w:t>Severance Amount</w:t>
      </w:r>
      <w:r>
        <w:rPr>
          <w:color w:val="000000"/>
        </w:rPr>
        <w:t>”</w:t>
      </w:r>
      <w:r>
        <w:rPr>
          <w:rFonts w:ascii="Times New Roman;sans-serif" w:hAnsi="Times New Roman;sans-serif"/>
          <w:b w:val="false"/>
          <w:color w:val="000000"/>
          <w:sz w:val="24"/>
        </w:rPr>
        <w:t>), but in no event less than two (2) times the sum of your annual base salary plus your target annual bonus, each as in effect at the time your employment terminates. Sixty percent (60%) of the Severance Amount (the “</w:t>
      </w:r>
      <w:r>
        <w:rPr>
          <w:rFonts w:ascii="Times New Roman;sans-serif" w:hAnsi="Times New Roman;sans-serif"/>
          <w:b w:val="false"/>
          <w:i/>
          <w:color w:val="000000"/>
          <w:sz w:val="24"/>
        </w:rPr>
        <w:t>First Payment</w:t>
      </w:r>
      <w:r>
        <w:rPr>
          <w:color w:val="000000"/>
        </w:rPr>
        <w:t>”</w:t>
      </w:r>
      <w:r>
        <w:rPr>
          <w:rFonts w:ascii="Times New Roman;sans-serif" w:hAnsi="Times New Roman;sans-serif"/>
          <w:b w:val="false"/>
          <w:color w:val="000000"/>
          <w:sz w:val="24"/>
        </w:rPr>
        <w:t>) will be payable to you on the six-month anniversary of the date your employment so terminates (the “</w:t>
      </w:r>
      <w:r>
        <w:rPr>
          <w:rFonts w:ascii="Times New Roman;sans-serif" w:hAnsi="Times New Roman;sans-serif"/>
          <w:b w:val="false"/>
          <w:i/>
          <w:color w:val="000000"/>
          <w:sz w:val="24"/>
        </w:rPr>
        <w:t>Termination Date</w:t>
      </w:r>
      <w:r>
        <w:rPr>
          <w:color w:val="000000"/>
        </w:rPr>
        <w:t>”</w:t>
      </w:r>
      <w:r>
        <w:rPr>
          <w:rFonts w:ascii="Times New Roman;sans-serif" w:hAnsi="Times New Roman;sans-serif"/>
          <w:b w:val="false"/>
          <w:color w:val="000000"/>
          <w:sz w:val="24"/>
        </w:rPr>
        <w:t xml:space="preserve">) and the remaining forty percent (40%) of the Severance Amount will be payable to you on the twelve-month anniversary of the Termination Date;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maximum portion of the First Payment that is exempt from Section 409A (as defined below) will be payable to you on or before the seventy-fifth (75) day following the date your employment so terminates;</w:t>
      </w:r>
    </w:p>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 xml:space="preserve">A prorated bonus based on the amount of your base salary earned by you during the fiscal year through the Termination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bonus, if any, will be payable to you if and when such bonuses are generally paid to similarly situated employees and will be based on your then current annual target bonus as well as Company and your business unit performance as determined by the Compensation Committee in its discretion, but without adjustment for your individual performance;</w:t>
      </w:r>
    </w:p>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 and</w:t>
      </w:r>
    </w:p>
    <w:p>
      <w:pPr>
        <w:pStyle w:val="TextBody"/>
        <w:spacing w:before="0" w:after="0"/>
        <w:jc w:val="both"/>
        <w:rPr/>
      </w:pPr>
      <w:r>
        <w:rPr/>
      </w:r>
    </w:p>
    <w:p>
      <w:pPr>
        <w:pStyle w:val="TextBody"/>
        <w:spacing w:lineRule="auto" w:line="288"/>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rPr>
        <w:t xml:space="preserve">(i) </w:t>
      </w:r>
      <w:r>
        <w:rPr>
          <w:rFonts w:ascii="Times New Roman;sans-serif" w:hAnsi="Times New Roman;sans-serif"/>
          <w:b w:val="false"/>
          <w:i/>
          <w:color w:val="000000"/>
          <w:sz w:val="24"/>
        </w:rPr>
        <w:t>Time-Vested Restricted Stock and Restricted Stock Unit Awards (including restricted stock unit awards that are subject to achievement of a performance condition and restricted stock unit awards that have no performance conditions)</w:t>
      </w:r>
      <w:r>
        <w:rPr>
          <w:rFonts w:ascii="Times New Roman;sans-serif" w:hAnsi="Times New Roman;sans-serif"/>
          <w:b w:val="false"/>
          <w:color w:val="000000"/>
          <w:sz w:val="24"/>
        </w:rPr>
        <w:t xml:space="preserve">. Each of your outstanding restricted stock or restricted stock units awards granted to you under the plans of the Company (other than the CEO Special Equity Award which shall be treated in the manner described above)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i/>
          <w:color w:val="000000"/>
          <w:sz w:val="24"/>
        </w:rPr>
        <w:t>(ii) Performance-Based Restricted Stock Unit Awards</w:t>
      </w:r>
      <w:r>
        <w:rPr>
          <w:rFonts w:ascii="Times New Roman;sans-serif" w:hAnsi="Times New Roman;sans-serif"/>
          <w:b w:val="false"/>
          <w:color w:val="000000"/>
          <w:sz w:val="24"/>
        </w:rPr>
        <w:t>. Each of your outstanding performance-based restricted stock unit (“</w:t>
      </w:r>
      <w:r>
        <w:rPr>
          <w:rFonts w:ascii="Times New Roman;sans-serif" w:hAnsi="Times New Roman;sans-serif"/>
          <w:b w:val="false"/>
          <w:i/>
          <w:color w:val="000000"/>
          <w:sz w:val="24"/>
        </w:rPr>
        <w:t>PRSUs</w:t>
      </w:r>
      <w:r>
        <w:rPr>
          <w:color w:val="000000"/>
        </w:rPr>
        <w:t>”</w:t>
      </w:r>
      <w:r>
        <w:rPr>
          <w:rFonts w:ascii="Times New Roman;sans-serif" w:hAnsi="Times New Roman;sans-serif"/>
          <w:b w:val="false"/>
          <w:color w:val="000000"/>
          <w:sz w:val="24"/>
        </w:rPr>
        <w:t xml:space="preserve">) awards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applicable performance objectives are not satisfied then any such PRSUs will be forfeited;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4"/>
        </w:rPr>
        <w:t>(iii) Each of your outstanding long-term cash performance awards (“</w:t>
      </w:r>
      <w:r>
        <w:rPr>
          <w:rFonts w:ascii="Times New Roman;sans-serif" w:hAnsi="Times New Roman;sans-serif"/>
          <w:b w:val="false"/>
          <w:i/>
          <w:color w:val="000000"/>
          <w:sz w:val="24"/>
        </w:rPr>
        <w:t>CPAs</w:t>
      </w:r>
      <w:r>
        <w:rPr>
          <w:color w:val="000000"/>
        </w:rPr>
        <w:t>”</w:t>
      </w:r>
      <w:r>
        <w:rPr>
          <w:rFonts w:ascii="Times New Roman;sans-serif" w:hAnsi="Times New Roman;sans-serif"/>
          <w:b w:val="false"/>
          <w:color w:val="000000"/>
          <w:sz w:val="24"/>
        </w:rPr>
        <w:t xml:space="preserve">)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applicable performance objectives are not satisfied then any such CPAs will be forfeited; 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(iv) 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you die after a termination of your employment that is subject to the above, your estate or beneficiaries will be provided any remaining benefits and rights under the above subsections (a) through (d).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subsections (b) and (c) above, and each of your outstanding equity, cash incentive, stock option, and stock appreciation awards granted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under the plans of the Company shall immediately vest in full, whether or not subject to performance criteria and shall be payable on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after the termination of your employment;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does not constitute a guarantee of employment or benefits for any definite period. Your employment may be terminated by you or the Company at any time, with or without notice, liability (subject to the terms of this Agreement) or cause. With the exception of the provisions that, by their term, survive your death, this Agreement shall automatically terminate upon your death.</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pStyle w:val="TextBody"/>
        <w:spacing w:before="0" w:after="0"/>
        <w:ind w:left="0" w:right="0" w:hanging="360"/>
        <w:jc w:val="both"/>
        <w:rPr/>
      </w:pPr>
      <w:r>
        <w:rPr/>
      </w:r>
    </w:p>
    <w:p>
      <w:pPr>
        <w:pStyle w:val="TextBody"/>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Times New Roman;sans-serif" w:hAnsi="Times New Roman;sans-serif"/>
          <w:b w:val="false"/>
          <w:i/>
          <w:color w:val="000000"/>
          <w:sz w:val="24"/>
        </w:rPr>
        <w:t>i.e.</w:t>
      </w:r>
      <w:r>
        <w:rPr>
          <w:rFonts w:ascii="Times New Roman;sans-serif" w:hAnsi="Times New Roman;sans-serif"/>
          <w:b w:val="false"/>
          <w:color w:val="000000"/>
          <w:sz w:val="24"/>
        </w:rPr>
        <w:t>, later payments will be reduced first) until the reduction specified is achieved.</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Representations</w:t>
      </w:r>
      <w:r>
        <w:rPr>
          <w:rFonts w:ascii="Times New Roman;sans-serif" w:hAnsi="Times New Roman;sans-serif"/>
          <w:b w:val="false"/>
          <w:color w:val="000000"/>
          <w:sz w:val="24"/>
        </w:rPr>
        <w:t xml:space="preserve">. You hereby represent to the Company that you are not subject to any contract, arrangement, agreement, policy or understanding, including any restrictive covenants or obligations owed to any third-party (other than customary confidentiality restrictions imposed by your prior employer), that would in any way prevent, restrict or limit your ability to enter into and perform your obligations under this Agreement. </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and construed in accordance with the law of the State of New York applicable to contracts made and to be performed entirely within that State.</w:t>
      </w:r>
    </w:p>
    <w:p>
      <w:pPr>
        <w:pStyle w:val="TextBody"/>
        <w:ind w:left="0" w:right="0" w:hanging="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hanging="36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Jurisdiction</w:t>
      </w:r>
      <w:r>
        <w:rPr>
          <w:rFonts w:ascii="Times New Roman;sans-serif" w:hAnsi="Times New Roman;sans-serif"/>
          <w:b w:val="false"/>
          <w:color w:val="000000"/>
          <w:sz w:val="24"/>
        </w:rPr>
        <w:t>. 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NY 10001, respectively, or to such other address as you or the Company may later designate in writing for the receipt of such notices.</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not be amended or modified otherwise than by a written agreement executed by the parties hereto or their respective successors and legal representatives.</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shall be deemed to be an original, and all of which together shall constitute one and the same agreement.</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Capitalized terms used in this Agreement, including in </w:t>
      </w:r>
      <w:r>
        <w:rPr>
          <w:rFonts w:ascii="Times New Roman;sans-serif" w:hAnsi="Times New Roman;sans-serif"/>
          <w:b w:val="false"/>
          <w:i/>
          <w:color w:val="000000"/>
          <w:sz w:val="24"/>
        </w:rPr>
        <w:t xml:space="preserve">Annex I </w:t>
      </w:r>
      <w:r>
        <w:rPr>
          <w:rFonts w:ascii="Times New Roman;sans-serif" w:hAnsi="Times New Roman;sans-serif"/>
          <w:b w:val="false"/>
          <w:color w:val="000000"/>
          <w:sz w:val="24"/>
        </w:rPr>
        <w:t>attached hereto, shall have the meanings set forth below:</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Times New Roman;sans-serif" w:hAnsi="Times New Roman;sans-serif"/>
          <w:b w:val="false"/>
          <w:i/>
          <w:color w:val="000000"/>
          <w:sz w:val="24"/>
        </w:rPr>
        <w:t>nolo contendere</w:t>
      </w:r>
      <w:r>
        <w:rPr>
          <w:rFonts w:ascii="Times New Roman;sans-serif" w:hAnsi="Times New Roman;sans-serif"/>
          <w:b w:val="false"/>
          <w:color w:val="000000"/>
          <w:sz w:val="24"/>
        </w:rPr>
        <w:t>, or imposition of unadjudicated probation for, in each case, any crime involving moral turpitude or any felony.</w:t>
      </w:r>
    </w:p>
    <w:p>
      <w:pPr>
        <w:pStyle w:val="TextBody"/>
        <w:spacing w:before="0" w:after="0"/>
        <w:jc w:val="both"/>
        <w:rPr/>
      </w:pPr>
      <w:r>
        <w:rPr/>
      </w:r>
    </w:p>
    <w:p>
      <w:pPr>
        <w:pStyle w:val="TextBody"/>
        <w:spacing w:lineRule="auto" w:line="288"/>
        <w:jc w:val="both"/>
        <w:rPr/>
      </w:pPr>
      <w:r>
        <w:rPr>
          <w:color w:val="000000"/>
        </w:rPr>
        <w:t>“</w:t>
      </w:r>
      <w:r>
        <w:rPr>
          <w:rFonts w:ascii="Times New Roman;sans-serif" w:hAnsi="Times New Roman;sans-serif"/>
          <w:b w:val="false"/>
          <w:i/>
          <w:color w:val="000000"/>
          <w:sz w:val="24"/>
        </w:rPr>
        <w:t>Good Reason</w:t>
      </w:r>
      <w:r>
        <w:rPr>
          <w:color w:val="000000"/>
        </w:rPr>
        <w:t xml:space="preserve">” </w:t>
      </w:r>
      <w:r>
        <w:rPr>
          <w:rFonts w:ascii="Times New Roman;sans-serif" w:hAnsi="Times New Roman;sans-serif"/>
          <w:b w:val="false"/>
          <w:color w:val="000000"/>
          <w:sz w:val="24"/>
        </w:rPr>
        <w:t xml:space="preserve">means that (1) without your consent, (A) your base salary or annual bonus target (as each may be increased from time to time in the Compensation Committee’s discretion) is reduced, (B) your title is diminished, (C) you report to someone other than the Chairman of the Board, (D) your responsibilities as in effect immediately after the date hereof are thereafter materially diminished, (E) the Company materially breaches its obligations to you under this Agreement or, (F) the Company requires that your principal office be located more than fifty (50) miles from Manhattan, (2) you have given the Company written notice, referring specifically to this letter and definition, that you do not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48"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 xml:space="preserve">consent to such action, (3) the Company has not corrected such action within 30 days of receiving such notice,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(4) you voluntarily terminate your employment with the Company within 90 days following the happening of the action described in subsection (1) above.</w:t>
      </w:r>
    </w:p>
    <w:p>
      <w:pPr>
        <w:pStyle w:val="TextBody"/>
        <w:spacing w:before="0" w:after="0"/>
        <w:ind w:left="0" w:right="0" w:hanging="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It is the parties’ intention that this Agreement not be construed more strictly with regard to you or the Company. This Agreement reflects the entire understanding and agreement of you and the Company with respect to the subject matter hereof and supersedes all prior understandings and agreements.</w:t>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lineRule="auto" w:line="268"/>
        <w:ind w:left="0" w:right="0" w:hanging="36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49" name="Frame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hanging="360"/>
        <w:jc w:val="center"/>
        <w:rPr/>
      </w:pPr>
      <w:r>
        <w:rPr/>
      </w:r>
    </w:p>
    <w:tbl>
      <w:tblPr>
        <w:tblW w:w="4470" w:type="dxa"/>
        <w:jc w:val="left"/>
        <w:tblInd w:w="0" w:type="dxa"/>
        <w:tblCellMar>
          <w:top w:w="28" w:type="dxa"/>
          <w:left w:w="28" w:type="dxa"/>
          <w:bottom w:w="28" w:type="dxa"/>
          <w:right w:w="28" w:type="dxa"/>
        </w:tblCellMar>
      </w:tblPr>
      <w:tblGrid>
        <w:gridCol w:w="319"/>
        <w:gridCol w:w="280"/>
        <w:gridCol w:w="280"/>
        <w:gridCol w:w="307"/>
        <w:gridCol w:w="307"/>
        <w:gridCol w:w="307"/>
        <w:gridCol w:w="778"/>
        <w:gridCol w:w="778"/>
        <w:gridCol w:w="1114"/>
      </w:tblGrid>
      <w:tr>
        <w:trPr/>
        <w:tc>
          <w:tcPr>
            <w:tcW w:w="31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47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AMC NETWORKS INC.</w:t>
            </w:r>
          </w:p>
        </w:tc>
      </w:tr>
      <w:tr>
        <w:trPr/>
        <w:tc>
          <w:tcPr>
            <w:tcW w:w="447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5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James Gallagher</w:t>
            </w:r>
          </w:p>
        </w:tc>
      </w:tr>
      <w:tr>
        <w:trPr/>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James Gallagher</w:t>
            </w:r>
          </w:p>
        </w:tc>
      </w:tr>
      <w:tr>
        <w:trPr/>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EVP and General Counsel</w:t>
            </w:r>
          </w:p>
        </w:tc>
      </w:tr>
    </w:tbl>
    <w:p>
      <w:pPr>
        <w:pStyle w:val="TextBody"/>
        <w:spacing w:before="0" w:after="0"/>
        <w:ind w:left="0" w:right="0" w:hanging="360"/>
        <w:rPr/>
      </w:pPr>
      <w:r>
        <w:rPr/>
      </w:r>
    </w:p>
    <w:p>
      <w:pPr>
        <w:pStyle w:val="TextBody"/>
        <w:spacing w:before="0" w:after="0"/>
        <w:rPr/>
      </w:pPr>
      <w:r>
        <w:rPr/>
      </w:r>
    </w:p>
    <w:tbl>
      <w:tblPr>
        <w:tblW w:w="3459" w:type="dxa"/>
        <w:jc w:val="left"/>
        <w:tblInd w:w="0" w:type="dxa"/>
        <w:tblCellMar>
          <w:top w:w="28" w:type="dxa"/>
          <w:left w:w="28" w:type="dxa"/>
          <w:bottom w:w="28" w:type="dxa"/>
          <w:right w:w="28" w:type="dxa"/>
        </w:tblCellMar>
      </w:tblPr>
      <w:tblGrid>
        <w:gridCol w:w="375"/>
        <w:gridCol w:w="329"/>
        <w:gridCol w:w="329"/>
        <w:gridCol w:w="329"/>
        <w:gridCol w:w="329"/>
        <w:gridCol w:w="329"/>
        <w:gridCol w:w="415"/>
        <w:gridCol w:w="415"/>
        <w:gridCol w:w="609"/>
      </w:tblGrid>
      <w:tr>
        <w:trPr/>
        <w:tc>
          <w:tcPr>
            <w:tcW w:w="3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345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9"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tc>
      </w:tr>
      <w:tr>
        <w:trPr/>
        <w:tc>
          <w:tcPr>
            <w:tcW w:w="345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Kristin Dolan</w:t>
            </w:r>
          </w:p>
        </w:tc>
      </w:tr>
      <w:tr>
        <w:trPr/>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Kristin Dolan</w:t>
            </w:r>
          </w:p>
        </w:tc>
      </w:tr>
    </w:tbl>
    <w:p>
      <w:pPr>
        <w:pStyle w:val="TextBody"/>
        <w:spacing w:before="0" w:after="0"/>
        <w:rPr/>
      </w:pPr>
      <w:r>
        <w:rPr/>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Date: February 15, 2023</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75260"/>
                <wp:effectExtent l="0" t="0" r="0" b="0"/>
                <wp:wrapNone/>
                <wp:docPr id="50"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i/>
          <w:color w:val="000000"/>
          <w:sz w:val="24"/>
        </w:rPr>
      </w:pPr>
      <w:r>
        <w:rPr>
          <w:rFonts w:ascii="Times New Roman;sans-serif" w:hAnsi="Times New Roman;sans-serif"/>
          <w:b/>
          <w:i/>
          <w:color w:val="000000"/>
          <w:sz w:val="24"/>
        </w:rPr>
        <w:t>ANNEX I</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This Annex constitutes part of the Agreement dated February 15, 2023, by and between Kristin Dolan (“</w:t>
      </w:r>
      <w:r>
        <w:rPr>
          <w:rFonts w:ascii="Times New Roman;sans-serif" w:hAnsi="Times New Roman;sans-serif"/>
          <w:b w:val="false"/>
          <w:i/>
          <w:color w:val="000000"/>
          <w:sz w:val="24"/>
        </w:rPr>
        <w:t>You</w:t>
      </w:r>
      <w:r>
        <w:rPr>
          <w:color w:val="000000"/>
        </w:rPr>
        <w:t>”</w:t>
      </w:r>
      <w:r>
        <w:rPr>
          <w:rFonts w:ascii="Times New Roman;sans-serif" w:hAnsi="Times New Roman;sans-serif"/>
          <w:b w:val="false"/>
          <w:color w:val="000000"/>
          <w:sz w:val="24"/>
        </w:rPr>
        <w:t>) and AMC Networks Inc.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Terms defined in the Agreement shall have the same meanings in this Annex.</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to comply with the following covenants in addition to those set forth in the Agreement.</w:t>
      </w:r>
    </w:p>
    <w:p>
      <w:pPr>
        <w:pStyle w:val="TextBody"/>
        <w:spacing w:before="0" w:after="0"/>
        <w:ind w:left="0" w:right="0" w:firstLine="1440"/>
        <w:jc w:val="both"/>
        <w:rPr/>
      </w:pPr>
      <w:r>
        <w:rPr/>
      </w:r>
    </w:p>
    <w:p>
      <w:pPr>
        <w:pStyle w:val="TextBody"/>
        <w:spacing w:lineRule="auto" w:line="288" w:before="0" w:after="0"/>
        <w:jc w:val="both"/>
        <w:rPr/>
      </w:pPr>
      <w:r>
        <w:rPr>
          <w:rFonts w:ascii="Times New Roman;sans-serif" w:hAnsi="Times New Roman;sans-serif"/>
          <w:b w:val="false"/>
          <w:color w:val="000000"/>
          <w:sz w:val="24"/>
        </w:rPr>
        <w:t>1.    </w:t>
      </w:r>
      <w:r>
        <w:rPr>
          <w:rFonts w:ascii="Times New Roman;sans-serif" w:hAnsi="Times New Roman;sans-serif"/>
          <w:b/>
          <w:color w:val="000000"/>
          <w:sz w:val="24"/>
        </w:rPr>
        <w:t>Confidentiality</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xml:space="preserve">. You agree to keep the existence and terms of this Agreement confidential (unless it is made public by the Company)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u w:val="single"/>
        </w:rPr>
        <w:t>Confidential and Proprietary Information</w:t>
      </w:r>
      <w:r>
        <w:rPr>
          <w:rFonts w:ascii="Times New Roman;sans-serif" w:hAnsi="Times New Roman;sans-serif"/>
          <w:b w:val="false"/>
          <w:color w:val="000000"/>
          <w:sz w:val="24"/>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Times New Roman;sans-serif" w:hAnsi="Times New Roman;sans-serif"/>
          <w:b w:val="false"/>
          <w:i/>
          <w:color w:val="000000"/>
          <w:sz w:val="24"/>
        </w:rPr>
        <w:t>Confidential Information</w:t>
      </w:r>
      <w:r>
        <w:rPr>
          <w:color w:val="000000"/>
        </w:rPr>
        <w:t xml:space="preserve">” </w:t>
      </w:r>
      <w:r>
        <w:rPr>
          <w:rFonts w:ascii="Times New Roman;sans-serif" w:hAnsi="Times New Roman;sans-serif"/>
          <w:b w:val="false"/>
          <w:color w:val="000000"/>
          <w:sz w:val="24"/>
        </w:rPr>
        <w:t>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sans-serif" w:hAnsi="Times New Roman;sans-serif"/>
          <w:b w:val="false"/>
          <w:i/>
          <w:color w:val="000000"/>
          <w:sz w:val="24"/>
        </w:rPr>
        <w:t>Covered Parties</w:t>
      </w:r>
      <w:r>
        <w:rPr>
          <w:color w:val="000000"/>
        </w:rPr>
        <w:t>”</w:t>
      </w:r>
      <w:r>
        <w:rPr>
          <w:rFonts w:ascii="Times New Roman;sans-serif" w:hAnsi="Times New Roman;sans-serif"/>
          <w:b w:val="false"/>
          <w:color w:val="000000"/>
          <w:sz w:val="24"/>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75260"/>
                <wp:effectExtent l="0" t="0" r="0" b="0"/>
                <wp:wrapNone/>
                <wp:docPr id="51" name="Frame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144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u w:val="single"/>
        </w:rPr>
        <w:t>Exception for Disclosure Pursuant to Law</w:t>
      </w:r>
      <w:r>
        <w:rPr>
          <w:rFonts w:ascii="Times New Roman;sans-serif" w:hAnsi="Times New Roman;sans-serif"/>
          <w:b w:val="false"/>
          <w:color w:val="000000"/>
          <w:sz w:val="24"/>
        </w:rPr>
        <w:t>. Notwithstanding the foregoing, the obligations set forth in subsection (b) above, other than with respect to subscriber or customer information, shall not apply to Confidential Information that is:</w:t>
      </w:r>
    </w:p>
    <w:p>
      <w:pPr>
        <w:pStyle w:val="TextBody"/>
        <w:spacing w:before="0" w:after="0"/>
        <w:ind w:left="0" w:right="0" w:firstLine="1440"/>
        <w:jc w:val="both"/>
        <w:rPr/>
      </w:pPr>
      <w:r>
        <w:rPr/>
      </w:r>
    </w:p>
    <w:p>
      <w:pPr>
        <w:pStyle w:val="TextBody"/>
        <w:spacing w:lineRule="auto" w:line="288" w:before="0" w:after="0"/>
        <w:ind w:left="0" w:right="0" w:hanging="270"/>
        <w:jc w:val="both"/>
        <w:rPr>
          <w:rFonts w:ascii="Times New Roman;sans-serif" w:hAnsi="Times New Roman;sans-serif"/>
          <w:b w:val="false"/>
          <w:color w:val="000000"/>
          <w:sz w:val="24"/>
        </w:rPr>
      </w:pPr>
      <w:r>
        <w:rPr>
          <w:rFonts w:ascii="Times New Roman;sans-serif" w:hAnsi="Times New Roman;sans-serif"/>
          <w:b w:val="false"/>
          <w:color w:val="000000"/>
          <w:sz w:val="24"/>
        </w:rPr>
        <w:t>1) already in the public domain;</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disclosed to you by a third party with the right to disclose it in good fait; or</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specifically exempted in writing by the applicable Covered Party from the applicability of this Agreement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r>
        <w:rPr>
          <w:rFonts w:ascii="Times New Roman;sans-serif" w:hAnsi="Times New Roman;sans-serif"/>
          <w:b w:val="false"/>
          <w:color w:val="000000"/>
          <w:sz w:val="24"/>
          <w:highlight w:val="white"/>
        </w:rPr>
        <w:t>.</w:t>
      </w:r>
      <w:r>
        <w:rPr>
          <w:color w:val="000000"/>
        </w:rPr>
        <w:t xml:space="preserve"> </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spacing w:before="0" w:after="0"/>
        <w:rPr/>
      </w:pPr>
      <w:r>
        <w:rPr/>
      </w:r>
    </w:p>
    <w:p>
      <w:pPr>
        <w:pStyle w:val="TextBody"/>
        <w:spacing w:lineRule="auto" w:line="276" w:before="0" w:after="0"/>
        <w:rPr>
          <w:rFonts w:ascii="Times New Roman;sans-serif" w:hAnsi="Times New Roman;sans-serif"/>
          <w:b/>
          <w:color w:val="000000"/>
          <w:sz w:val="24"/>
        </w:rPr>
      </w:pPr>
      <w:r>
        <w:rPr>
          <w:rFonts w:ascii="Times New Roman;sans-serif" w:hAnsi="Times New Roman;sans-serif"/>
          <w:b/>
          <w:color w:val="000000"/>
          <w:sz w:val="24"/>
        </w:rPr>
        <w:t xml:space="preserve">2.    Non-Compete </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Times New Roman;sans-serif" w:hAnsi="Times New Roman;sans-serif"/>
          <w:b w:val="false"/>
          <w:i/>
          <w:color w:val="000000"/>
          <w:sz w:val="24"/>
        </w:rPr>
        <w:t>Competitive Entity</w:t>
      </w:r>
      <w:r>
        <w:rPr>
          <w:color w:val="000000"/>
        </w:rPr>
        <w:t xml:space="preserve">” </w:t>
      </w:r>
      <w:r>
        <w:rPr>
          <w:rFonts w:ascii="Times New Roman;sans-serif" w:hAnsi="Times New Roman;sans-serif"/>
          <w:b w:val="false"/>
          <w:color w:val="000000"/>
          <w:sz w:val="24"/>
        </w:rPr>
        <w:t>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pStyle w:val="TextBody"/>
        <w:spacing w:before="0" w:after="0"/>
        <w:ind w:left="0" w:right="0" w:firstLine="1440"/>
        <w:jc w:val="both"/>
        <w:rPr/>
      </w:pPr>
      <w:r>
        <w:rPr/>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52" name="Frame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3.    Additional Understanding</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pStyle w:val="TextBody"/>
        <w:spacing w:before="0" w:after="0"/>
        <w:ind w:left="0" w:right="0" w:firstLine="1440"/>
        <w:jc w:val="both"/>
        <w:rPr/>
      </w:pPr>
      <w:r>
        <w:rPr/>
      </w:r>
    </w:p>
    <w:p>
      <w:pPr>
        <w:pStyle w:val="TextBody"/>
        <w:spacing w:lineRule="auto" w:line="288" w:before="0" w:after="0"/>
        <w:ind w:left="0" w:right="0" w:firstLine="1215"/>
        <w:jc w:val="both"/>
        <w:rPr/>
      </w:pPr>
      <w:r>
        <w:rPr>
          <w:rFonts w:ascii="Times New Roman;sans-serif" w:hAnsi="Times New Roman;sans-serif"/>
          <w:b w:val="false"/>
          <w:color w:val="000000"/>
          <w:sz w:val="24"/>
        </w:rPr>
        <w:t xml:space="preserve">This Agreement in no way restricts or prevents you from providing truthful testimony concerning the Company or its affiliates (i) as required by court order or other legal process,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you afford the Company written notice and an opportunity to respond prior to such disclosure; or (ii) in proceedings to enforce or defend your rights under this Agreement or any other written agreement between you and the Company or its affiliates.</w:t>
      </w:r>
    </w:p>
    <w:p>
      <w:pPr>
        <w:pStyle w:val="TextBody"/>
        <w:spacing w:before="0" w:after="0"/>
        <w:ind w:left="0" w:right="0" w:firstLine="1215"/>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sans-serif" w:hAnsi="Times New Roman;sans-serif"/>
          <w:b w:val="false"/>
          <w:i/>
          <w:color w:val="000000"/>
          <w:sz w:val="24"/>
        </w:rPr>
        <w:t>Materials</w:t>
      </w:r>
      <w:r>
        <w:rPr>
          <w:color w:val="000000"/>
        </w:rPr>
        <w:t>”</w:t>
      </w:r>
      <w:r>
        <w:rPr>
          <w:rFonts w:ascii="Times New Roman;sans-serif" w:hAnsi="Times New Roman;sans-serif"/>
          <w:b w:val="false"/>
          <w:color w:val="000000"/>
          <w:sz w:val="24"/>
        </w:rPr>
        <w:t>). The Company will have the sole and exclusive authority to use the Materials in any manner that it deems appropriate, in perpetuity, without additional payment to you.</w:t>
      </w:r>
    </w:p>
    <w:p>
      <w:pPr>
        <w:pStyle w:val="TextBody"/>
        <w:spacing w:before="0" w:after="0"/>
        <w:ind w:left="0" w:right="0" w:firstLine="144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4.    Further Cooperation</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pStyle w:val="TextBody"/>
        <w:spacing w:before="0" w:after="0"/>
        <w:rPr/>
      </w:pPr>
      <w:r>
        <w:rPr/>
      </w:r>
    </w:p>
    <w:p>
      <w:pPr>
        <w:pStyle w:val="TextBody"/>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expenses. You agree to provide the Company with an estimate of any such expense before it is incurred.</w:t>
      </w:r>
    </w:p>
    <w:p>
      <w:pPr>
        <w:pStyle w:val="TextBody"/>
        <w:spacing w:before="0" w:after="0"/>
        <w:ind w:left="0" w:right="0" w:firstLine="144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5.    No Hire or Solicit</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restriction does not apply to any employee who was discharged by the Company or any of its affiliates. In addition, this restriction will not prevent you from providing references.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6.    Acknowledgments</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 xml:space="preserve">You acknowledge that the restrictions contained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raise the defense that the Company has an adequate remedy at law. Nothing in this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 xml:space="preserve">shall be construed as prohibiting the Company from pursuing any other remedies at law or in equity that it may have or any other rights that it may have under any other agreement. If it is determined that any of the provisions of this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 xml:space="preserve">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w:t>
      </w:r>
    </w:p>
    <w:p>
      <w:pPr>
        <w:pStyle w:val="TextBody"/>
        <w:spacing w:before="0" w:after="0"/>
        <w:ind w:left="0" w:right="0" w:firstLine="144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7.    Survival</w:t>
      </w:r>
    </w:p>
    <w:p>
      <w:pPr>
        <w:pStyle w:val="TextBody"/>
        <w:spacing w:before="0" w:after="0"/>
        <w:jc w:val="both"/>
        <w:rPr/>
      </w:pPr>
      <w:r>
        <w:rPr/>
      </w:r>
    </w:p>
    <w:p>
      <w:pPr>
        <w:pStyle w:val="TextBody"/>
        <w:spacing w:lineRule="auto" w:line="288"/>
        <w:ind w:left="0" w:right="0" w:firstLine="720"/>
        <w:jc w:val="both"/>
        <w:rPr/>
      </w:pPr>
      <w:r>
        <w:rPr>
          <w:rFonts w:ascii="Times New Roman;sans-serif" w:hAnsi="Times New Roman;sans-serif"/>
          <w:b w:val="false"/>
          <w:color w:val="000000"/>
          <w:sz w:val="24"/>
        </w:rPr>
        <w:t xml:space="preserve">The covenants and agreement set forth in this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shall survive any termination or expiration of this Agreement and any termination of your employment with the Company, in accordance with their respective terms.</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331" w:before="0" w:after="20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22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75260"/>
                <wp:effectExtent l="0" t="0" r="0" b="0"/>
                <wp:wrapNone/>
                <wp:docPr id="54"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56.7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List of Guarantor Subsidiaries</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following subsidiaries of AMC Networks Inc. guarantee the notes issued by AMC Networks Inc.</w:t>
      </w:r>
    </w:p>
    <w:tbl>
      <w:tblPr>
        <w:tblW w:w="6042" w:type="dxa"/>
        <w:jc w:val="left"/>
        <w:tblInd w:w="0" w:type="dxa"/>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Film Holdings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Games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 Entertainment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Broadcasting &amp;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International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Productions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Premiere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TV Studios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AMC/Sundance Channel Global Networks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AMCN Properties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American Movie Classics IV Holding Corp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Animal Control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Anime Network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Anthem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Brockmire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Cobalt Productions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Comic Scribe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Crossed Pens Development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Dark Winds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Digital Store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Dispatches Productions I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Expedition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Families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Moons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Geese Productions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Ground Work Productions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I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75260"/>
                <wp:effectExtent l="0" t="0" r="0" b="0"/>
                <wp:wrapNone/>
                <wp:docPr id="55" name="Frame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426" w:type="dxa"/>
        <w:jc w:val="left"/>
        <w:tblInd w:w="0" w:type="dxa"/>
        <w:tblCellMar>
          <w:top w:w="28" w:type="dxa"/>
          <w:left w:w="28" w:type="dxa"/>
          <w:bottom w:w="28" w:type="dxa"/>
          <w:right w:w="28" w:type="dxa"/>
        </w:tblCellMar>
      </w:tblPr>
      <w:tblGrid>
        <w:gridCol w:w="1078"/>
        <w:gridCol w:w="947"/>
        <w:gridCol w:w="959"/>
        <w:gridCol w:w="109"/>
        <w:gridCol w:w="109"/>
        <w:gridCol w:w="109"/>
        <w:gridCol w:w="619"/>
        <w:gridCol w:w="619"/>
        <w:gridCol w:w="877"/>
      </w:tblGrid>
      <w:tr>
        <w:trPr/>
        <w:tc>
          <w:tcPr>
            <w:tcW w:w="1078"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Holdings LLC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Films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In Theaters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Productions I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Television Holdings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Concessions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Holdings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Infinite Frontiers,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Creative Contents Alliance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Kindred Spirit Productions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Kopus Productions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Kopus Productions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Lodge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Lodge Productions II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Making Waves Studio Productions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Mechanical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Monument Productions I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Moonhaven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Newfound Lake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NOS4A2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 Pit Properties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Peachwood Productions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Pens Down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Premier Quills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Content Distribution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Rainbow Media Enterprises, Inc.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Rainbow Media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III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Rectify Productions IV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Monday Programming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Holding Corporation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II Holding Corporation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Roughhouse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Selects VOD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Filmworks,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Shudder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56" name="Frame5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367" w:type="dxa"/>
        <w:jc w:val="left"/>
        <w:tblInd w:w="0" w:type="dxa"/>
        <w:tblCellMar>
          <w:top w:w="28" w:type="dxa"/>
          <w:left w:w="28" w:type="dxa"/>
          <w:bottom w:w="28" w:type="dxa"/>
          <w:right w:w="28" w:type="dxa"/>
        </w:tblCellMar>
      </w:tblPr>
      <w:tblGrid>
        <w:gridCol w:w="1055"/>
        <w:gridCol w:w="929"/>
        <w:gridCol w:w="941"/>
        <w:gridCol w:w="109"/>
        <w:gridCol w:w="109"/>
        <w:gridCol w:w="109"/>
        <w:gridCol w:w="619"/>
        <w:gridCol w:w="619"/>
        <w:gridCol w:w="877"/>
      </w:tblGrid>
      <w:tr>
        <w:trPr/>
        <w:tc>
          <w:tcPr>
            <w:tcW w:w="105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Sleuth Secrets Productions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Channel Originals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Film Holdings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SundanceTV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Sxion 23,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 Mystica Holding,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Universe Productions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Vampire Chronicles Productions 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Voom HD Holdings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Holdings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LLC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Studios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Woodbury Studios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jc w:val="both"/>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31.1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57" name="Frame5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9.2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Kristin A. Dolan, certify that: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494"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605"/>
        <w:gridCol w:w="605"/>
        <w:gridCol w:w="85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240"/>
        <w:ind w:left="0" w:right="0" w:hanging="90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31.2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58" name="Frame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9.2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O’Connell, certify that: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865"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297"/>
        <w:gridCol w:w="1297"/>
        <w:gridCol w:w="184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spacing w:before="0" w:after="240"/>
        <w:ind w:left="0" w:right="0" w:hanging="90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9" name="Frame5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56.7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right"/>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each of the undersigned officers of AMC Networks Inc. (“AMC Networks”) hereby certifies, to such officer’s knowledge, that AMC Networks’ Quarterly Report on Form 10-Q for the quarter ended March 31, 2023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494"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605"/>
        <w:gridCol w:w="605"/>
        <w:gridCol w:w="85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6865"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297"/>
        <w:gridCol w:w="1297"/>
        <w:gridCol w:w="184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60" name="Frame5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24411</Words>
  <CharactersWithSpaces>161469</CharactersWithSpaces>
  <Paragraphs>2865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