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22026_040601.xml.htm"/>
      <w:bookmarkStart w:id="1" w:name="ksform406222026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DOLAN JAMES LAWRENCE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KNICKERBOCKER GROUP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OYSTER BAY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AMC Global Media Inc.</w:t>
              </w:r>
            </w:hyperlink>
            <w:r>
              <w:rPr/>
              <w:t xml:space="preserve"> [ </w:t>
            </w:r>
            <w:r>
              <w:rPr>
                <w:rFonts w:ascii="Times;serif" w:hAnsi="Times;serif"/>
                <w:color w:val="0000FF"/>
                <w:sz w:val="24"/>
                <w:shd w:fill="FFFFFF" w:val="clear"/>
              </w:rPr>
              <w:t>AMCX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Member of 13(d) Group</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10,926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AMC Global Media Inc. 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(4)</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DOLAN JAMES LAWRENCE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KNICKERBOCKER GROUP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OYSTER BAY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Dolan Kristin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KNICKERBOCKER GROUP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OYSTER BAY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director stock unit is granted under the AMC Global Media Inc. Amended and Restated 2011 Stock Plan for Non-Employee Directors and represents a right to receive the cash equivalent of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director stock units are fully vested on the date of the grant and will be settled in cash on the first business day 90 days after service on the Board of Directors ceases.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under the AMC Global Media Inc. Amended and Restated 2011 Stock Plan for Non-Employee Directors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held directly by James L. Dolan, Kristin A. Dolan's spouse. Ms. Dolan disclaims beneficial ownership of these securities and this filing shall not be deemed an admission that Ms. Dolan is, for the purposes of Section 16 or for any other purpose, the beneficial owner of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L. Dolan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 A. Dolan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3028" TargetMode="External"/><Relationship Id="rId5" Type="http://schemas.openxmlformats.org/officeDocument/2006/relationships/hyperlink" Target="http://www.sec.gov/cgi-bin/browse-edgar?action=getcompany&amp;CIK=00015149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933028" TargetMode="External"/><Relationship Id="rId10" Type="http://schemas.openxmlformats.org/officeDocument/2006/relationships/hyperlink" Target="http://www.sec.gov/cgi-bin/browse-edgar?action=getcompany&amp;CIK=0001480991"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780</Words>
  <Characters>4106</Characters>
  <CharactersWithSpaces>4793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