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193040</wp:posOffset>
            </wp:positionV>
            <wp:extent cx="2855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144145</wp:posOffset>
            </wp:positionV>
            <wp:extent cx="2855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left="1420" w:hanging="541"/>
        <w:spacing w:after="0"/>
        <w:tabs>
          <w:tab w:leader="none" w:pos="14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1420" w:hanging="541"/>
        <w:spacing w:after="0"/>
        <w:tabs>
          <w:tab w:leader="none" w:pos="14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6" w:lineRule="exact"/>
        <w:rPr>
          <w:sz w:val="24"/>
          <w:szCs w:val="24"/>
          <w:color w:val="auto"/>
        </w:rPr>
      </w:pPr>
    </w:p>
    <w:p>
      <w:pPr>
        <w:ind w:left="426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214630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AMC Networks Inc.</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137795</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tbl>
      <w:tblPr>
        <w:tblLayout w:type="fixed"/>
        <w:tblInd w:w="2100" w:type="dxa"/>
        <w:tblCellMar>
          <w:top w:w="0" w:type="dxa"/>
          <w:left w:w="0" w:type="dxa"/>
          <w:bottom w:w="0" w:type="dxa"/>
          <w:right w:w="0" w:type="dxa"/>
        </w:tblCellMar>
      </w:tblPr>
      <w:tr>
        <w:trPr>
          <w:trHeight w:val="234"/>
        </w:trPr>
        <w:tc>
          <w:tcPr>
            <w:tcW w:w="536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91"/>
              </w:rPr>
              <w:t>Delaware</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27-5403694</w:t>
            </w:r>
          </w:p>
        </w:tc>
      </w:tr>
      <w:tr>
        <w:trPr>
          <w:trHeight w:val="180"/>
        </w:trPr>
        <w:tc>
          <w:tcPr>
            <w:tcW w:w="5360" w:type="dxa"/>
            <w:vAlign w:val="bottom"/>
            <w:gridSpan w:val="2"/>
          </w:tcPr>
          <w:p>
            <w:pPr>
              <w:jc w:val="center"/>
              <w:ind w:right="2928"/>
              <w:spacing w:after="0"/>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360" w:type="dxa"/>
            <w:vAlign w:val="bottom"/>
            <w:gridSpan w:val="2"/>
          </w:tcPr>
          <w:p>
            <w:pPr>
              <w:jc w:val="center"/>
              <w:ind w:right="2928"/>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536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89"/>
              </w:rPr>
              <w:t>11 Penn Plaza,</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4"/>
        </w:trPr>
        <w:tc>
          <w:tcPr>
            <w:tcW w:w="536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95"/>
              </w:rPr>
              <w:t>New York, NY</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10001</w:t>
            </w:r>
          </w:p>
        </w:tc>
      </w:tr>
      <w:tr>
        <w:trPr>
          <w:trHeight w:val="218"/>
        </w:trPr>
        <w:tc>
          <w:tcPr>
            <w:tcW w:w="5360" w:type="dxa"/>
            <w:vAlign w:val="bottom"/>
            <w:gridSpan w:val="2"/>
          </w:tcPr>
          <w:p>
            <w:pPr>
              <w:jc w:val="center"/>
              <w:ind w:right="29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gridSpan w:val="2"/>
          </w:tcPr>
          <w:p>
            <w:pPr>
              <w:jc w:val="center"/>
              <w:ind w:left="61"/>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5360" w:type="dxa"/>
            <w:vAlign w:val="bottom"/>
            <w:gridSpan w:val="2"/>
          </w:tcPr>
          <w:p>
            <w:pPr>
              <w:jc w:val="right"/>
              <w:ind w:right="1108"/>
              <w:spacing w:after="0"/>
              <w:rPr>
                <w:sz w:val="20"/>
                <w:szCs w:val="20"/>
                <w:color w:val="auto"/>
              </w:rPr>
            </w:pPr>
            <w:r>
              <w:rPr>
                <w:rFonts w:ascii="Arial" w:cs="Arial" w:eastAsia="Arial" w:hAnsi="Arial"/>
                <w:sz w:val="18"/>
                <w:szCs w:val="18"/>
                <w:b w:val="1"/>
                <w:bCs w:val="1"/>
                <w:color w:val="auto"/>
              </w:rPr>
              <w:t>(212) 324-8500</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8"/>
        </w:trPr>
        <w:tc>
          <w:tcPr>
            <w:tcW w:w="1360" w:type="dxa"/>
            <w:vAlign w:val="bottom"/>
          </w:tcPr>
          <w:p>
            <w:pPr>
              <w:spacing w:after="0"/>
              <w:rPr>
                <w:sz w:val="18"/>
                <w:szCs w:val="18"/>
                <w:color w:val="auto"/>
              </w:rPr>
            </w:pPr>
          </w:p>
        </w:tc>
        <w:tc>
          <w:tcPr>
            <w:tcW w:w="4000" w:type="dxa"/>
            <w:vAlign w:val="bottom"/>
          </w:tcPr>
          <w:p>
            <w:pPr>
              <w:jc w:val="center"/>
              <w:ind w:left="44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8"/>
        </w:trPr>
        <w:tc>
          <w:tcPr>
            <w:tcW w:w="1360" w:type="dxa"/>
            <w:vAlign w:val="bottom"/>
          </w:tcPr>
          <w:p>
            <w:pPr>
              <w:spacing w:after="0"/>
              <w:rPr>
                <w:sz w:val="16"/>
                <w:szCs w:val="16"/>
                <w:color w:val="auto"/>
              </w:rPr>
            </w:pPr>
          </w:p>
        </w:tc>
        <w:tc>
          <w:tcPr>
            <w:tcW w:w="4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r>
    </w:tbl>
    <w:p>
      <w:pPr>
        <w:spacing w:after="0" w:line="26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(as defined in Exchange Act Rule 12b-2).</w:t>
      </w:r>
    </w:p>
    <w:p>
      <w:pPr>
        <w:spacing w:after="0" w:line="138"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0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2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280" w:type="dxa"/>
            <w:vAlign w:val="bottom"/>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124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8280" w:type="dxa"/>
            <w:vAlign w:val="bottom"/>
          </w:tcPr>
          <w:p>
            <w:pPr>
              <w:spacing w:after="0"/>
              <w:rPr>
                <w:sz w:val="20"/>
                <w:szCs w:val="20"/>
                <w:color w:val="auto"/>
              </w:rPr>
            </w:pPr>
            <w:r>
              <w:rPr>
                <w:rFonts w:ascii="Arial" w:cs="Arial" w:eastAsia="Arial" w:hAnsi="Arial"/>
                <w:sz w:val="18"/>
                <w:szCs w:val="18"/>
                <w:color w:val="auto"/>
              </w:rPr>
              <w:t>The number of shares of common stock outstanding as of October 26, 2018:</w:t>
            </w:r>
          </w:p>
        </w:tc>
        <w:tc>
          <w:tcPr>
            <w:tcW w:w="1240" w:type="dxa"/>
            <w:vAlign w:val="bottom"/>
          </w:tcPr>
          <w:p>
            <w:pPr>
              <w:spacing w:after="0"/>
              <w:rPr>
                <w:sz w:val="24"/>
                <w:szCs w:val="24"/>
                <w:color w:val="auto"/>
              </w:rPr>
            </w:pPr>
          </w:p>
        </w:tc>
      </w:tr>
      <w:tr>
        <w:trPr>
          <w:trHeight w:val="432"/>
        </w:trPr>
        <w:tc>
          <w:tcPr>
            <w:tcW w:w="8280" w:type="dxa"/>
            <w:vAlign w:val="bottom"/>
          </w:tcPr>
          <w:p>
            <w:pPr>
              <w:ind w:left="1300"/>
              <w:spacing w:after="0"/>
              <w:rPr>
                <w:sz w:val="20"/>
                <w:szCs w:val="20"/>
                <w:color w:val="auto"/>
              </w:rPr>
            </w:pPr>
            <w:r>
              <w:rPr>
                <w:rFonts w:ascii="Arial" w:cs="Arial" w:eastAsia="Arial" w:hAnsi="Arial"/>
                <w:sz w:val="18"/>
                <w:szCs w:val="18"/>
                <w:color w:val="auto"/>
              </w:rPr>
              <w:t>Class A Common Stock par value $0.01 per share</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w w:val="99"/>
              </w:rPr>
              <w:t>45,045,190</w:t>
            </w:r>
          </w:p>
        </w:tc>
      </w:tr>
      <w:tr>
        <w:trPr>
          <w:trHeight w:val="270"/>
        </w:trPr>
        <w:tc>
          <w:tcPr>
            <w:tcW w:w="8280" w:type="dxa"/>
            <w:vAlign w:val="bottom"/>
          </w:tcPr>
          <w:p>
            <w:pPr>
              <w:ind w:left="1300"/>
              <w:spacing w:after="0"/>
              <w:rPr>
                <w:sz w:val="20"/>
                <w:szCs w:val="20"/>
                <w:color w:val="auto"/>
              </w:rPr>
            </w:pPr>
            <w:r>
              <w:rPr>
                <w:rFonts w:ascii="Arial" w:cs="Arial" w:eastAsia="Arial" w:hAnsi="Arial"/>
                <w:sz w:val="18"/>
                <w:szCs w:val="18"/>
                <w:color w:val="auto"/>
              </w:rPr>
              <w:t>Class B Common Stock par value $0.01 per share</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w w:val="99"/>
              </w:rPr>
              <w:t>11,484,408</w:t>
            </w:r>
          </w:p>
        </w:tc>
      </w:tr>
    </w:tbl>
    <w:p>
      <w:pPr>
        <w:sectPr>
          <w:pgSz w:w="11900" w:h="16838" w:orient="portrait"/>
          <w:cols w:equalWidth="0" w:num="1">
            <w:col w:w="11420"/>
          </w:cols>
          <w:pgMar w:left="240" w:top="517"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AMC NETWORKS INC. AND SUBSIDIARIES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58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(unaudited)</w:t>
              </w:r>
            </w:hyperlink>
          </w:p>
        </w:tc>
        <w:tc>
          <w:tcPr>
            <w:tcW w:w="7400" w:type="dxa"/>
            <w:vAlign w:val="bottom"/>
            <w:gridSpan w:val="7"/>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708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w:t>
              </w:r>
            </w:hyperlink>
          </w:p>
        </w:tc>
        <w:tc>
          <w:tcPr>
            <w:tcW w:w="6600" w:type="dxa"/>
            <w:vAlign w:val="bottom"/>
            <w:gridSpan w:val="5"/>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w:t>
              </w:r>
            </w:hyperlink>
          </w:p>
        </w:tc>
        <w:tc>
          <w:tcPr>
            <w:tcW w:w="5440" w:type="dxa"/>
            <w:vAlign w:val="bottom"/>
            <w:gridSpan w:val="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6300" w:type="dxa"/>
            <w:vAlign w:val="bottom"/>
            <w:gridSpan w:val="4"/>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602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7020" w:type="dxa"/>
            <w:vAlign w:val="bottom"/>
            <w:gridSpan w:val="15"/>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Item 2. Management’s Discussion and Analysis of Financial Condition and Results of Operations</w:t>
              </w:r>
            </w:hyperlink>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900" w:type="dxa"/>
            <w:vAlign w:val="bottom"/>
            <w:gridSpan w:val="14"/>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Item 3. Quantitative and Qualitative Disclosures About Market Risk</w:t>
              </w:r>
            </w:hyperlink>
          </w:p>
        </w:tc>
        <w:tc>
          <w:tcPr>
            <w:tcW w:w="21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7"/>
            <w:shd w:val="clear" w:color="auto" w:fill="0000EE"/>
          </w:tcPr>
          <w:p>
            <w:pPr>
              <w:spacing w:after="0" w:line="20" w:lineRule="exact"/>
              <w:rPr>
                <w:sz w:val="1"/>
                <w:szCs w:val="1"/>
                <w:color w:val="auto"/>
              </w:rPr>
            </w:pPr>
          </w:p>
        </w:tc>
        <w:tc>
          <w:tcPr>
            <w:tcW w:w="544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900" w:type="dxa"/>
            <w:vAlign w:val="bottom"/>
            <w:gridSpan w:val="1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4. Controls and Procedures</w:t>
              </w:r>
            </w:hyperlink>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580" w:type="dxa"/>
            <w:vAlign w:val="bottom"/>
            <w:gridSpan w:val="17"/>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 OTHER INFORMATION</w:t>
              </w:r>
            </w:hyperlink>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Item 1.</w:t>
              </w:r>
            </w:hyperlink>
          </w:p>
        </w:tc>
        <w:tc>
          <w:tcPr>
            <w:tcW w:w="1980" w:type="dxa"/>
            <w:vAlign w:val="bottom"/>
            <w:tcBorders>
              <w:top w:val="single" w:sz="8" w:color="0000EE"/>
            </w:tcBorders>
            <w:gridSpan w:val="5"/>
          </w:tcPr>
          <w:p>
            <w:pPr>
              <w:ind w:left="20"/>
              <w:spacing w:after="0"/>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782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54</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Item 2.</w:t>
              </w:r>
            </w:hyperlink>
          </w:p>
        </w:tc>
        <w:tc>
          <w:tcPr>
            <w:tcW w:w="9800" w:type="dxa"/>
            <w:vAlign w:val="bottom"/>
            <w:gridSpan w:val="14"/>
          </w:tcPr>
          <w:p>
            <w:pPr>
              <w:ind w:left="20"/>
              <w:spacing w:after="0"/>
              <w:rPr>
                <w:rFonts w:ascii="Arial" w:cs="Arial" w:eastAsia="Arial" w:hAnsi="Arial"/>
                <w:sz w:val="18"/>
                <w:szCs w:val="18"/>
                <w:color w:val="0000EE"/>
              </w:rPr>
            </w:pPr>
            <w:hyperlink w:anchor="page56">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9"/>
            <w:shd w:val="clear" w:color="auto" w:fill="0000EE"/>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Item 5.</w:t>
              </w:r>
            </w:hyperlink>
          </w:p>
        </w:tc>
        <w:tc>
          <w:tcPr>
            <w:tcW w:w="4360" w:type="dxa"/>
            <w:vAlign w:val="bottom"/>
            <w:gridSpan w:val="12"/>
          </w:tcPr>
          <w:p>
            <w:pPr>
              <w:ind w:left="20"/>
              <w:spacing w:after="0"/>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48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6.</w:t>
              </w:r>
            </w:hyperlink>
          </w:p>
        </w:tc>
        <w:tc>
          <w:tcPr>
            <w:tcW w:w="620" w:type="dxa"/>
            <w:vAlign w:val="bottom"/>
            <w:gridSpan w:val="2"/>
          </w:tcPr>
          <w:p>
            <w:pPr>
              <w:ind w:left="20"/>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Exhibits</w:t>
              </w:r>
            </w:hyperlink>
          </w:p>
        </w:tc>
        <w:tc>
          <w:tcPr>
            <w:tcW w:w="700" w:type="dxa"/>
            <w:vAlign w:val="bottom"/>
          </w:tcPr>
          <w:p>
            <w:pPr>
              <w:spacing w:after="0"/>
              <w:rPr>
                <w:sz w:val="21"/>
                <w:szCs w:val="21"/>
                <w:color w:val="auto"/>
              </w:rPr>
            </w:pPr>
          </w:p>
        </w:tc>
        <w:tc>
          <w:tcPr>
            <w:tcW w:w="8480" w:type="dxa"/>
            <w:vAlign w:val="bottom"/>
            <w:gridSpan w:val="11"/>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18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EE"/>
                <w:w w:val="96"/>
              </w:rPr>
            </w:pPr>
            <w:hyperlink w:anchor="page58">
              <w:r>
                <w:rPr>
                  <w:rFonts w:ascii="Arial" w:cs="Arial" w:eastAsia="Arial" w:hAnsi="Arial"/>
                  <w:sz w:val="18"/>
                  <w:szCs w:val="18"/>
                  <w:b w:val="1"/>
                  <w:bCs w:val="1"/>
                  <w:color w:val="0000EE"/>
                  <w:w w:val="96"/>
                </w:rPr>
                <w:t>SIGNATURES</w:t>
              </w:r>
            </w:hyperlink>
          </w:p>
        </w:tc>
        <w:tc>
          <w:tcPr>
            <w:tcW w:w="942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63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rPr>
          <w:sz w:val="20"/>
          <w:szCs w:val="20"/>
          <w:color w:val="auto"/>
        </w:rPr>
      </w:pPr>
      <w:r>
        <w:rPr>
          <w:rFonts w:ascii="Arial" w:cs="Arial" w:eastAsia="Arial" w:hAnsi="Arial"/>
          <w:sz w:val="18"/>
          <w:szCs w:val="18"/>
          <w:b w:val="1"/>
          <w:bCs w:val="1"/>
          <w:color w:val="auto"/>
        </w:rPr>
        <w:t>Item 1. Financial Statements.</w:t>
      </w:r>
    </w:p>
    <w:p>
      <w:pPr>
        <w:ind w:left="4040"/>
        <w:spacing w:after="0"/>
        <w:rPr>
          <w:sz w:val="20"/>
          <w:szCs w:val="20"/>
          <w:color w:val="auto"/>
        </w:rPr>
      </w:pPr>
      <w:r>
        <w:rPr>
          <w:rFonts w:ascii="Arial" w:cs="Arial" w:eastAsia="Arial" w:hAnsi="Arial"/>
          <w:sz w:val="16"/>
          <w:szCs w:val="16"/>
          <w:b w:val="1"/>
          <w:bCs w:val="1"/>
          <w:color w:val="auto"/>
        </w:rPr>
        <w:t>AMC NETWORKS INC. AND SUBSIDIARIES</w:t>
      </w:r>
    </w:p>
    <w:p>
      <w:pPr>
        <w:ind w:left="3780"/>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spacing w:after="0" w:line="212" w:lineRule="auto"/>
        <w:rPr>
          <w:sz w:val="20"/>
          <w:szCs w:val="20"/>
          <w:color w:val="auto"/>
        </w:rPr>
      </w:pPr>
      <w:r>
        <w:rPr>
          <w:rFonts w:ascii="Arial" w:cs="Arial" w:eastAsia="Arial" w:hAnsi="Arial"/>
          <w:sz w:val="16"/>
          <w:szCs w:val="16"/>
          <w:b w:val="1"/>
          <w:bCs w:val="1"/>
          <w:color w:val="auto"/>
        </w:rPr>
        <w:t>(in thousands, except per share amounts)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160" w:type="dxa"/>
            <w:vAlign w:val="bottom"/>
          </w:tcPr>
          <w:p>
            <w:pPr>
              <w:spacing w:after="0"/>
              <w:rPr>
                <w:sz w:val="18"/>
                <w:szCs w:val="18"/>
                <w:color w:val="auto"/>
              </w:rPr>
            </w:pPr>
          </w:p>
        </w:tc>
        <w:tc>
          <w:tcPr>
            <w:tcW w:w="164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December 31, 2017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564,717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558,783</w:t>
            </w:r>
          </w:p>
        </w:tc>
        <w:tc>
          <w:tcPr>
            <w:tcW w:w="0" w:type="dxa"/>
            <w:vAlign w:val="bottom"/>
          </w:tcPr>
          <w:p>
            <w:pPr>
              <w:spacing w:after="0"/>
              <w:rPr>
                <w:sz w:val="1"/>
                <w:szCs w:val="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9"/>
              </w:rPr>
              <w:t>Accounts receivable, trade (including amounts due from related parties, net, less allowance for doubtful</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accounts of $12,949 and $9,691)</w:t>
            </w:r>
          </w:p>
        </w:tc>
        <w:tc>
          <w:tcPr>
            <w:tcW w:w="18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777,950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775,891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program rights, net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470,254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453,450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118,569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91,726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1,931,490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1,879,850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Property and equipment, net of accumulated depreciation of $290,229 and $259,919</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225,468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183,514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Program rights, net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1,152,451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1,319,279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carriage fees, net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20,191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29,924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469,757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457,242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705,382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695,158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 net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635,541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447,937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5,161,957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5,032,985</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97,508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102,197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240,892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263,076</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program rights obligations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356,157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327,549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46,433</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9,375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4,847</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769,870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744,102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Program rights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397,592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534,980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3,095,628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3,099,257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26,277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tax liability, net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154,110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109,698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178,160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136,122</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4,617,782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4,650,436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Redeemable noncontrolling interests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252,536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218,604</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660" w:type="dxa"/>
            <w:vAlign w:val="bottom"/>
          </w:tcPr>
          <w:p>
            <w:pPr>
              <w:ind w:left="40"/>
              <w:spacing w:after="0"/>
              <w:rPr>
                <w:sz w:val="20"/>
                <w:szCs w:val="20"/>
                <w:color w:val="auto"/>
              </w:rPr>
            </w:pPr>
            <w:r>
              <w:rPr>
                <w:rFonts w:ascii="Arial" w:cs="Arial" w:eastAsia="Arial" w:hAnsi="Arial"/>
                <w:sz w:val="16"/>
                <w:szCs w:val="16"/>
                <w:color w:val="auto"/>
                <w:w w:val="93"/>
              </w:rPr>
              <w:t>Class A Common Stock, $0.01 par value, 360,000 shares authorized, 63,235 and 62,721 shares issued and 45,025</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60"/>
              <w:spacing w:after="0"/>
              <w:rPr>
                <w:sz w:val="20"/>
                <w:szCs w:val="20"/>
                <w:color w:val="auto"/>
              </w:rPr>
            </w:pPr>
            <w:r>
              <w:rPr>
                <w:rFonts w:ascii="Arial" w:cs="Arial" w:eastAsia="Arial" w:hAnsi="Arial"/>
                <w:sz w:val="16"/>
                <w:szCs w:val="16"/>
                <w:color w:val="auto"/>
              </w:rPr>
              <w:t>and 49,601 shares outstanding, respectively</w:t>
            </w:r>
          </w:p>
        </w:tc>
        <w:tc>
          <w:tcPr>
            <w:tcW w:w="18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B Common Stock, $0.01 par value, 90,000 shares authorized, 11,484 shares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18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232,882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191,303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Accumulated earnings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1,157,063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766,725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 at cost (18,210 and 13,120 shares Class A Common Stock,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(976,840)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(709,440)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(150,846)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(114,386)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AMC Networks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263,006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134,944</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Non-redeemable noncontrolling interests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28,633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29,001</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291,639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163,945</w:t>
            </w:r>
          </w:p>
        </w:tc>
        <w:tc>
          <w:tcPr>
            <w:tcW w:w="0" w:type="dxa"/>
            <w:vAlign w:val="bottom"/>
          </w:tcPr>
          <w:p>
            <w:pPr>
              <w:spacing w:after="0"/>
              <w:rPr>
                <w:sz w:val="1"/>
                <w:szCs w:val="1"/>
                <w:color w:val="auto"/>
              </w:rPr>
            </w:pPr>
          </w:p>
        </w:tc>
      </w:tr>
      <w:tr>
        <w:trPr>
          <w:trHeight w:val="244"/>
        </w:trPr>
        <w:tc>
          <w:tcPr>
            <w:tcW w:w="766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5,161,957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5,032,985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364" w:right="239" w:bottom="104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043" w:gutter="0" w:footer="0" w:header="0"/>
          <w:type w:val="continuous"/>
        </w:sectPr>
      </w:pPr>
    </w:p>
    <w:bookmarkStart w:id="3" w:name="page4"/>
    <w:bookmarkEnd w:id="3"/>
    <w:p>
      <w:pPr>
        <w:ind w:left="404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CONDENSED CONSOLIDATED STATEMENTS OF INCOME</w:t>
      </w:r>
    </w:p>
    <w:p>
      <w:pPr>
        <w:ind w:left="4300"/>
        <w:spacing w:after="0" w:line="235" w:lineRule="auto"/>
        <w:rPr>
          <w:sz w:val="20"/>
          <w:szCs w:val="20"/>
          <w:color w:val="auto"/>
        </w:rPr>
      </w:pPr>
      <w:r>
        <w:rPr>
          <w:rFonts w:ascii="Arial" w:cs="Arial" w:eastAsia="Arial" w:hAnsi="Arial"/>
          <w:sz w:val="16"/>
          <w:szCs w:val="16"/>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660" w:type="dxa"/>
            <w:vAlign w:val="bottom"/>
            <w:gridSpan w:val="4"/>
          </w:tcPr>
          <w:p>
            <w:pPr>
              <w:jc w:val="right"/>
              <w:ind w:right="110"/>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Revenues, net (including revenues, net from related parties of $1,605,</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57"/>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$1,515, $4,779 and $4,594, respectively)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696,875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648,023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2,199,083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2,078,757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Technical and operating (excluding 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346,398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1,043,572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956,200</w:t>
            </w: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w w:val="99"/>
              </w:rPr>
              <w:t>Selling, general and administrative (including charges from related</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620" w:type="dxa"/>
            <w:vAlign w:val="bottom"/>
          </w:tcPr>
          <w:p>
            <w:pPr>
              <w:ind w:left="600"/>
              <w:spacing w:after="0"/>
              <w:rPr>
                <w:sz w:val="20"/>
                <w:szCs w:val="20"/>
                <w:color w:val="auto"/>
              </w:rPr>
            </w:pPr>
            <w:r>
              <w:rPr>
                <w:rFonts w:ascii="Arial" w:cs="Arial" w:eastAsia="Arial" w:hAnsi="Arial"/>
                <w:sz w:val="18"/>
                <w:szCs w:val="18"/>
                <w:color w:val="auto"/>
              </w:rPr>
              <w:t>parties of $232, $216, $900 and $1,205, respectively)</w:t>
            </w:r>
          </w:p>
        </w:tc>
        <w:tc>
          <w:tcPr>
            <w:tcW w:w="1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156,242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138,688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494,067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464,670</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65,037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28,148</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3,887</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532,276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494,669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1,609,298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1,517,942</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153,354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589,785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560,815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(96,609)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5,102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15,453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10,841</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Miscellaneous, net</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28,762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30,989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42,448</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(46,324)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160,326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130,960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520,620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514,491</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(173,399)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116,660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90,836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387,528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341,092</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(15,276)</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AMC Networks'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111,257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87,002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374,308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325,816</w:t>
            </w:r>
          </w:p>
        </w:tc>
      </w:tr>
      <w:tr>
        <w:trPr>
          <w:trHeight w:val="217"/>
        </w:trPr>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per share attributable to AMC Networks' stockholders: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4.89</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65,960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57,779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64,447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59,281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66,651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660" w:type="dxa"/>
            <w:vAlign w:val="bottom"/>
            <w:gridSpan w:val="4"/>
          </w:tcPr>
          <w:p>
            <w:pPr>
              <w:jc w:val="right"/>
              <w:ind w:right="111"/>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90,836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387,528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341,092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63,475</w:t>
            </w: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Unrealized loss on interest rate swaps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on available for sale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9,534</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Other comprehensive income, before income taxes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(32,679)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72,974</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Other comprehensive income, net of income taxes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(32,679)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69,479</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354,849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410,571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(17,997)</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AMC Networks'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105,348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106,053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342,895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392,574</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9"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Nine Months Ended September 30,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Net income including noncontrolling interests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387,528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341,092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64,034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65,037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Impairment and related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17,112</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52,006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41,412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and write-off of program rights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684,289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667,060</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Amortization of deferred carriage fees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13,107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13,204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81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Unrealized foreign currency transaction gain</w:t>
            </w:r>
          </w:p>
        </w:tc>
        <w:tc>
          <w:tcPr>
            <w:tcW w:w="280" w:type="dxa"/>
            <w:vAlign w:val="bottom"/>
            <w:shd w:val="clear" w:color="auto" w:fill="CCEEFF"/>
          </w:tcPr>
          <w:p>
            <w:pPr>
              <w:spacing w:after="0"/>
              <w:rPr>
                <w:sz w:val="24"/>
                <w:szCs w:val="2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(14,658)</w:t>
            </w:r>
          </w:p>
        </w:tc>
        <w:tc>
          <w:tcPr>
            <w:tcW w:w="0" w:type="dxa"/>
            <w:vAlign w:val="bottom"/>
          </w:tcPr>
          <w:p>
            <w:pPr>
              <w:spacing w:after="0"/>
              <w:rPr>
                <w:sz w:val="1"/>
                <w:szCs w:val="1"/>
                <w:color w:val="auto"/>
              </w:rPr>
            </w:pPr>
          </w:p>
        </w:tc>
      </w:tr>
      <w:tr>
        <w:trPr>
          <w:trHeight w:val="94"/>
        </w:trPr>
        <w:tc>
          <w:tcPr>
            <w:tcW w:w="8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13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8100" w:type="dxa"/>
            <w:vAlign w:val="bottom"/>
          </w:tcPr>
          <w:p>
            <w:pPr>
              <w:ind w:left="700"/>
              <w:spacing w:after="0"/>
              <w:rPr>
                <w:sz w:val="20"/>
                <w:szCs w:val="20"/>
                <w:color w:val="auto"/>
              </w:rPr>
            </w:pPr>
            <w:r>
              <w:rPr>
                <w:rFonts w:ascii="Arial" w:cs="Arial" w:eastAsia="Arial" w:hAnsi="Arial"/>
                <w:sz w:val="16"/>
                <w:szCs w:val="16"/>
                <w:color w:val="auto"/>
              </w:rPr>
              <w:t>Unrealized gain on derivative contracts, net</w:t>
            </w:r>
          </w:p>
        </w:tc>
        <w:tc>
          <w:tcPr>
            <w:tcW w:w="28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(40,848)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(27,598)</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81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280" w:type="dxa"/>
            <w:vAlign w:val="bottom"/>
            <w:shd w:val="clear" w:color="auto" w:fill="CCEEFF"/>
          </w:tcPr>
          <w:p>
            <w:pPr>
              <w:spacing w:after="0"/>
              <w:rPr>
                <w:sz w:val="24"/>
                <w:szCs w:val="24"/>
                <w:color w:val="auto"/>
              </w:rPr>
            </w:pPr>
          </w:p>
        </w:tc>
        <w:tc>
          <w:tcPr>
            <w:tcW w:w="13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5,746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6,530</w:t>
            </w:r>
          </w:p>
        </w:tc>
        <w:tc>
          <w:tcPr>
            <w:tcW w:w="0" w:type="dxa"/>
            <w:vAlign w:val="bottom"/>
          </w:tcPr>
          <w:p>
            <w:pPr>
              <w:spacing w:after="0"/>
              <w:rPr>
                <w:sz w:val="1"/>
                <w:szCs w:val="1"/>
                <w:color w:val="auto"/>
              </w:rPr>
            </w:pPr>
          </w:p>
        </w:tc>
      </w:tr>
      <w:tr>
        <w:trPr>
          <w:trHeight w:val="94"/>
        </w:trPr>
        <w:tc>
          <w:tcPr>
            <w:tcW w:w="8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13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8100" w:type="dxa"/>
            <w:vAlign w:val="bottom"/>
          </w:tcPr>
          <w:p>
            <w:pPr>
              <w:ind w:left="70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24"/>
                <w:szCs w:val="24"/>
                <w:color w:val="auto"/>
              </w:rPr>
            </w:pP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Bad debt expense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3,638</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39,404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9,325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(4,617)</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(13,316)</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(27,769)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(69,463)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Program rights and obligations, net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(720,243)</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(24,538)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(6,529)</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Deferred carriage fees, net</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(4,246)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payable, accrued liabilities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(8,633)</w:t>
            </w:r>
          </w:p>
        </w:tc>
        <w:tc>
          <w:tcPr>
            <w:tcW w:w="0" w:type="dxa"/>
            <w:vAlign w:val="bottom"/>
          </w:tcPr>
          <w:p>
            <w:pPr>
              <w:spacing w:after="0"/>
              <w:rPr>
                <w:sz w:val="1"/>
                <w:szCs w:val="1"/>
                <w:color w:val="auto"/>
              </w:rPr>
            </w:pPr>
          </w:p>
        </w:tc>
      </w:tr>
      <w:tr>
        <w:trPr>
          <w:trHeight w:val="217"/>
        </w:trPr>
        <w:tc>
          <w:tcPr>
            <w:tcW w:w="8100" w:type="dxa"/>
            <w:vAlign w:val="bottom"/>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471,812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273,573</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(60,774)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(61,794)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of capital from investees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Investment in and loans to investees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(90,080)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(43,000)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acquisition of a business, net of cash acquired</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00" w:type="dxa"/>
            <w:vAlign w:val="bottom"/>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(185,885)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(104,794)</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Proceeds from the issuance of long-term debt</w:t>
            </w:r>
          </w:p>
        </w:tc>
        <w:tc>
          <w:tcPr>
            <w:tcW w:w="2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1,536,000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payments on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(1,257,965)</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Payments for financing costs</w:t>
            </w:r>
          </w:p>
        </w:tc>
        <w:tc>
          <w:tcPr>
            <w:tcW w:w="2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(10,405)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Deemed repurchases of restricted stock units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(13,373)</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Purchase of treasury stock</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(267,400)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(347,334)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stock option exercises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Principal payments on capital lease obligations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(3,428)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(16,110)</w:t>
            </w:r>
          </w:p>
        </w:tc>
        <w:tc>
          <w:tcPr>
            <w:tcW w:w="0" w:type="dxa"/>
            <w:vAlign w:val="bottom"/>
          </w:tcPr>
          <w:p>
            <w:pPr>
              <w:spacing w:after="0"/>
              <w:rPr>
                <w:sz w:val="1"/>
                <w:szCs w:val="1"/>
                <w:color w:val="auto"/>
              </w:rPr>
            </w:pPr>
          </w:p>
        </w:tc>
      </w:tr>
      <w:tr>
        <w:trPr>
          <w:trHeight w:val="217"/>
        </w:trPr>
        <w:tc>
          <w:tcPr>
            <w:tcW w:w="8100" w:type="dxa"/>
            <w:vAlign w:val="bottom"/>
          </w:tcPr>
          <w:p>
            <w:pPr>
              <w:ind w:left="11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(292,028)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(112,615)</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56,164</w:t>
            </w:r>
          </w:p>
        </w:tc>
        <w:tc>
          <w:tcPr>
            <w:tcW w:w="0" w:type="dxa"/>
            <w:vAlign w:val="bottom"/>
          </w:tcPr>
          <w:p>
            <w:pPr>
              <w:spacing w:after="0"/>
              <w:rPr>
                <w:sz w:val="1"/>
                <w:szCs w:val="1"/>
                <w:color w:val="auto"/>
              </w:rPr>
            </w:pP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12,035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14,736</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481,389</w:t>
            </w:r>
          </w:p>
        </w:tc>
        <w:tc>
          <w:tcPr>
            <w:tcW w:w="0" w:type="dxa"/>
            <w:vAlign w:val="bottom"/>
          </w:tcPr>
          <w:p>
            <w:pPr>
              <w:spacing w:after="0"/>
              <w:rPr>
                <w:sz w:val="1"/>
                <w:szCs w:val="1"/>
                <w:color w:val="auto"/>
              </w:rPr>
            </w:pPr>
          </w:p>
        </w:tc>
      </w:tr>
      <w:tr>
        <w:trPr>
          <w:trHeight w:val="244"/>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564,717</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552,289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60" w:top="369" w:right="239" w:bottom="935"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60" w:top="369" w:right="239" w:bottom="935"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own and operate entertainment businesses and assets. The Company is comprised of two operating segments:</w:t>
      </w:r>
    </w:p>
    <w:p>
      <w:pPr>
        <w:spacing w:after="0" w:line="170" w:lineRule="exact"/>
        <w:rPr>
          <w:sz w:val="20"/>
          <w:szCs w:val="20"/>
          <w:color w:val="auto"/>
        </w:rPr>
      </w:pPr>
    </w:p>
    <w:p>
      <w:pPr>
        <w:jc w:val="both"/>
        <w:ind w:left="660" w:hanging="328"/>
        <w:spacing w:after="0" w:line="302" w:lineRule="auto"/>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five national programming networks, AMC Studios operations and AMC Broadcasting &amp;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Our national programming networks are AMC, WE tv, BBC AMERICA, IFC and SundanceTV in the U.S.; and AMC and IFC in Canada.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154" w:lineRule="exact"/>
        <w:rPr>
          <w:rFonts w:ascii="Arial" w:cs="Arial" w:eastAsia="Arial" w:hAnsi="Arial"/>
          <w:sz w:val="16"/>
          <w:szCs w:val="16"/>
          <w:i w:val="1"/>
          <w:iCs w:val="1"/>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Principally includes AMC Networks International (AMCNI), the Company's international programming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a portfolio of channels in Europe, Latin America, the Middle East and parts of Asia and Africa; IFC Films, the Company's independent film distribution business; Levity Entertainment Group ("Levity") (acquired April 20, 2018), our production services and comedy venues company; and our subscription streaming services, Sundance Now and Shudder. AMCNI – DMC, the broadcast solutions unit of certain networks of AMCNI and third-party networks is included through the date sold, July 12,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These unaudited condensed consolidated financial statements include the accounts of AMC Networks and its majority owned or controlled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transactions and balances have been eliminated in consolidation.</w:t>
      </w:r>
    </w:p>
    <w:p>
      <w:pPr>
        <w:spacing w:after="0" w:line="2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2017 contained in the Company's Annual Report on Form 10-K ("2017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Program Rights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periodically reviews the programming usefulness of its licensed and owned original program rights based on a series of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a write-off of the unamortized cost is included in technical and operating expense. Program rights write-offs were $11.4 million and $8.0 million for the three months ended September 30, 2018 and September 30, 2017, respectively. Program rights write-offs were $20.6 million and $9.7 million for the nine months ended September 30, 2018 and September 30, 2017,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derivative assets and liabilities, certain stock compensation awards, the useful lives and methodologies used to amortize and assess recoverability of program rights, the estimated useful lives of intangible assets, valuation and recoverability of goodwill and intangible assets and income tax assets and liabilities.</w:t>
      </w:r>
    </w:p>
    <w:p>
      <w:pPr>
        <w:sectPr>
          <w:pgSz w:w="11900" w:h="16838" w:orient="portrait"/>
          <w:cols w:equalWidth="0" w:num="1">
            <w:col w:w="11420"/>
          </w:cols>
          <w:pgMar w:left="240" w:top="125"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7" w:name="page8"/>
    <w:bookmarkEnd w:id="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The Company adopted Accounting Standards Update ("ASU") No. 2016-01 </w:t>
      </w:r>
      <w:r>
        <w:rPr>
          <w:rFonts w:ascii="Arial" w:cs="Arial" w:eastAsia="Arial" w:hAnsi="Arial"/>
          <w:sz w:val="16"/>
          <w:szCs w:val="16"/>
          <w:i w:val="1"/>
          <w:iCs w:val="1"/>
          <w:color w:val="auto"/>
        </w:rPr>
        <w:t>Financial Instruments-Recognition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on January 1, 2018, which requires that investments in equity securities (excluding equity method investments) be measured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with changes in fair value recognized in earnings. Under prior accounting guidance, changes in fair value of available-for-sale equity securities were recorded in other comprehensive income. The adoption did not have a significant impact to these condensed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Revenue Recognition Standard</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on January 1, 2018, using the modified retrospective method for all contracts not completed as of the date of adoption. The reported results as of and for the three and nine month periods ended September 30, 2018 reflect the application of the new standard, while the reported results for 2017 have not been adjusted to reflect the new standard and were prepared under prior revenue recognition accounting guidance.</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adoption of the new standard did not result in significant changes in the way the Company records distribution and advertising revenues. However, as a result of applying the new standard, there are certain components of the Company’s distribution revenues where the new standard generally results in earlier recognition of revenue compared to its historical policies due to: (i) the requirement to estimate and recognize variable consideration prior to such amounts becoming fixed and determinable, (ii) recognition of royalties in the period of usage, and (iii) recognition of certain arrangements with minimum guarantees on a time-based (straight-line) basis. See Note 2 for more information. As a result of adopting Topic 606, the Company recorded an increase to opening retained earnings of approximately $12.8 million, net of tax, as of January 1, 2018.</w:t>
      </w:r>
    </w:p>
    <w:p>
      <w:pPr>
        <w:spacing w:after="0" w:line="17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changes to the opening balances of current assets, total assets, current liabilities and total liabilities resulting from the adoption of the new guidance.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7"/>
                <w:szCs w:val="17"/>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Impact of</w:t>
            </w:r>
          </w:p>
        </w:tc>
        <w:tc>
          <w:tcPr>
            <w:tcW w:w="300" w:type="dxa"/>
            <w:vAlign w:val="bottom"/>
          </w:tcPr>
          <w:p>
            <w:pPr>
              <w:spacing w:after="0"/>
              <w:rPr>
                <w:sz w:val="17"/>
                <w:szCs w:val="17"/>
                <w:color w:val="auto"/>
              </w:rPr>
            </w:pPr>
          </w:p>
        </w:tc>
        <w:tc>
          <w:tcPr>
            <w:tcW w:w="1400" w:type="dxa"/>
            <w:vAlign w:val="bottom"/>
          </w:tcPr>
          <w:p>
            <w:pPr>
              <w:jc w:val="right"/>
              <w:ind w:right="393"/>
              <w:spacing w:after="0"/>
              <w:rPr>
                <w:sz w:val="20"/>
                <w:szCs w:val="20"/>
                <w:color w:val="auto"/>
              </w:rPr>
            </w:pPr>
            <w:r>
              <w:rPr>
                <w:rFonts w:ascii="Arial" w:cs="Arial" w:eastAsia="Arial" w:hAnsi="Arial"/>
                <w:sz w:val="16"/>
                <w:szCs w:val="16"/>
                <w:b w:val="1"/>
                <w:bCs w:val="1"/>
                <w:color w:val="auto"/>
              </w:rPr>
              <w:t>January 1,</w:t>
            </w:r>
          </w:p>
        </w:tc>
      </w:tr>
      <w:tr>
        <w:trPr>
          <w:trHeight w:val="237"/>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Adoption</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2018</w:t>
            </w: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1,879,850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1,883,508</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5,032,985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19,899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5,052,884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744,937</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4,650,436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7,115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4,657,551</w:t>
            </w:r>
          </w:p>
        </w:tc>
      </w:tr>
    </w:tbl>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amount by which each financial statement line item has been affected in the current reporting period by the application of Topic 606 compared to historical policies is not material, therefore, comparative disclosures have been omitted.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In February 2016, the Financial Accounting Standards Board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requires lessees to record most of their leases on the balance sheet, which will be recognized as a right-of-use asset and a lease liability. The Company will be required to classify each separate lease component as an operating or finance lease at the lease commencement date. Initial measurement of the right-of-use asset and lease liability is the same for operating and finance leases, however expense recognition and amortization of the right-of-use asset differs. Operating leases will reflect lease expense on a straight-line basis similar to current operating leases. The straight-line expense will reflect the interest expense on the lease liability (effective interest method) and amortization of the right-of-use asset, which will be presented as a single line item in the operating expense section of the income statement. Finance leases will reflect a front-loaded expense pattern similar to the pattern for current capital leases. ASU 2016-02 is effective for the first quarter of 2019, with early adoption permitted. The adoption will include updates provided under ASU 2018-10, </w:t>
      </w:r>
      <w:r>
        <w:rPr>
          <w:rFonts w:ascii="Arial" w:cs="Arial" w:eastAsia="Arial" w:hAnsi="Arial"/>
          <w:sz w:val="17"/>
          <w:szCs w:val="17"/>
          <w:i w:val="1"/>
          <w:iCs w:val="1"/>
          <w:color w:val="auto"/>
        </w:rPr>
        <w:t>Codification Improvements to Topic</w:t>
      </w:r>
      <w:r>
        <w:rPr>
          <w:rFonts w:ascii="Arial" w:cs="Arial" w:eastAsia="Arial" w:hAnsi="Arial"/>
          <w:sz w:val="17"/>
          <w:szCs w:val="17"/>
          <w:color w:val="auto"/>
        </w:rPr>
        <w:t xml:space="preserve"> </w:t>
      </w:r>
      <w:r>
        <w:rPr>
          <w:rFonts w:ascii="Arial" w:cs="Arial" w:eastAsia="Arial" w:hAnsi="Arial"/>
          <w:sz w:val="17"/>
          <w:szCs w:val="17"/>
          <w:i w:val="1"/>
          <w:iCs w:val="1"/>
          <w:color w:val="auto"/>
        </w:rPr>
        <w:t>842, Leases</w:t>
      </w:r>
      <w:r>
        <w:rPr>
          <w:rFonts w:ascii="Arial" w:cs="Arial" w:eastAsia="Arial" w:hAnsi="Arial"/>
          <w:sz w:val="17"/>
          <w:szCs w:val="17"/>
          <w:color w:val="auto"/>
        </w:rPr>
        <w:t>, as well as ASU 2018-11,</w:t>
      </w:r>
      <w:r>
        <w:rPr>
          <w:rFonts w:ascii="Arial" w:cs="Arial" w:eastAsia="Arial" w:hAnsi="Arial"/>
          <w:sz w:val="17"/>
          <w:szCs w:val="17"/>
          <w:i w:val="1"/>
          <w:iCs w:val="1"/>
          <w:color w:val="auto"/>
        </w:rPr>
        <w:t xml:space="preserve"> Leases (Topic 842), Targeted Improvements</w:t>
      </w:r>
      <w:r>
        <w:rPr>
          <w:rFonts w:ascii="Arial" w:cs="Arial" w:eastAsia="Arial" w:hAnsi="Arial"/>
          <w:sz w:val="17"/>
          <w:szCs w:val="17"/>
          <w:color w:val="auto"/>
        </w:rPr>
        <w:t>. The Company is currently determining its implementation approach and</w:t>
      </w:r>
      <w:r>
        <w:rPr>
          <w:rFonts w:ascii="Arial" w:cs="Arial" w:eastAsia="Arial" w:hAnsi="Arial"/>
          <w:sz w:val="17"/>
          <w:szCs w:val="17"/>
          <w:i w:val="1"/>
          <w:iCs w:val="1"/>
          <w:color w:val="auto"/>
        </w:rPr>
        <w:t xml:space="preserve"> </w:t>
      </w:r>
      <w:r>
        <w:rPr>
          <w:rFonts w:ascii="Arial" w:cs="Arial" w:eastAsia="Arial" w:hAnsi="Arial"/>
          <w:sz w:val="17"/>
          <w:szCs w:val="17"/>
          <w:color w:val="auto"/>
        </w:rPr>
        <w:t>assessing the impact the adoption will have on its consolidated financial statements.</w:t>
      </w:r>
    </w:p>
    <w:p>
      <w:pPr>
        <w:spacing w:after="0" w:line="17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ASU 2018-13 changes the disclosure requirements for fair value measurements and is effective for the first quarter of 2020, with early adoption permitted. ASU 2018-13 changes disclosure requirements related to transfers between Level I and II assets, as well as several aspects surrounding the valuation process and unrealized gains and losses related to Level III assets. The Company is currently evaluating the impact the adoption of the modified disclosure requirements will have on its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is recognized when, or as, performance obligations under the terms of a contract are satisfied, which generally occurs when, or as, control of the promised products or services is transferred to customers. Revenue is measured as the amount</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8" w:name="page9"/>
    <w:bookmarkEnd w:id="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consideration the Company expects to receive in exchange for transferring products or services to a customer ("transaction price"). To the extent the transaction price includes variable consideration, the Company estimates the amount of variable consideration that should be included in the transaction price utilizing the most likely amount to which the Company expects to be entitled.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that is reasonably available. Amounts collected on behalf of others (including taxes), where the Company is an agent, are excluded from revenue.</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When determining the transaction price of a contract, an adjustment is made if payment from a customer occurs either significantly before or significantly after performance, resulting in a significant financing component. Applying a practical expedient in the new standard, the Company does not assess whether a significant financing component exists if the period between when the Company performs its obligations under the contract and when the customer pays is one year or less.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The Company determines standalone selling prices based on the price at which the performance obligation is sold separately. If the standalone selling price is not observable through past transactions, the Company estimates the standalone selling price considering available information such as market conditions and internal pricing guidelines related to the performance obligations.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Contracts may be modified to account for changes in contract specifications and requirements. Contract modifications exist when the modification either creates new or changes existing enforceable rights and obligations. The effect of a contract modification on the transaction price and measure of progress for the performance obligation to which it relates, is recognized as an adjustment to revenue (either as an increase in or a reduction of revenue) on a cumulative catch-up basis.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primarily earns revenue from the distribution of its programming services, including licensing of its programming and other content, and advertising. The Company’s revenue recognition policies that summarize the nature, amount, timing and uncertainty associated with each major source of revenue from contracts with customers is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majority of the Company’s distribution revenues relate to sales-based and usage-based royalties which are recognized on the later of (i) when the subsequent sale or usage occurs and (ii) when the performance obligation to which some or all of the sales-based or usage-based royalty has been allocated has been satisfied or partially satisfied. Occasionally, the Company incurs costs to obtain a distribution contract and these costs are amortized over the period of the related distribution contract as a reduction of revenue.</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Subscription fee revenue: Subscription fees are earned from cable and other multichannel video programming distribution platforms, including direct broadcast satellite ("DBS"), platforms operated by telecommunications providers and virtual multichannel video programming distributors (collectively "distributors"), for the rights to use the Company's network programming under multi-year contracts, commonly referred to as "affiliation agreements." The Company's performance obligation under affiliation agreements is a license of functional intellectual property that is satisfied as the Company provides its programming over the term of the agreement. The transaction price is represented by subscription fees that are generally based upon (i) contractual rates applied to the number of the distributor's subscribers who receive or can receive our programming ("rate-per-subscriber"), or (ii) fixed contractual monthly fees ("fixed fee").</w:t>
      </w:r>
    </w:p>
    <w:p>
      <w:pPr>
        <w:spacing w:after="0" w:line="1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rate-per-subscriber agreements, the Company applies the sales-based or usage-based royalty guidance, and accordingly, recognizes revenue in the period of the distributor’s usage, based on the subscription fee earned during the period.</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Fixed fee affiliation agreements are generally billed in monthly installments, and such amounts may vary over the term of the contract. In cases where the invoice amount corresponds directly with the value to the affiliate of the performance to-date, the Company recognizes revenue based on the invoiced amount. In cases where changes in fees during the contract term do not correspond directly to the value of the performance to-date (for example, if the fees vary over the contract term due to a significant financing or credit risk component), the Company recognizes the total amount of fixed transaction price over the contract period using a time-based (e.g., straight-line) measure of progress.</w:t>
      </w:r>
    </w:p>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Certain of the Company’s fixed fee affiliation agreements contain guaranteed minimum fees that are recoupable during the term of the agreement, and variable fees based on rates-per-subscriber after the guaranteed minimum is recouped. The Company recognizes revenue for the fixed consideration over the minimum guarantee period and recognizes variable fees only when cumulative consideration exceeds the minimum guarantee.</w:t>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9" w:name="page10"/>
    <w:bookmarkEnd w:id="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Subscription revenue from the Company's direct-to-consumer subscription streaming services is recognized as the streaming service is provided to customers.</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Content licensing revenue: The Company licenses its original programming content to certain distributors under subscription video on-demand ("SVOD"), pay-per-view ("PPV") and electronic sell-through ("EST") arrangements. Under these arrangements, our performance obligation is a license to functional intellectual property that provides the distributor the right to use our programming as it exists at a point in time. The satisfaction of the Company’s performance obligation, and related recognition of revenue, occurs when the content is delivered to the licensee and the license period has begun.The Company’s performance obligation in a content license arrangement pertains to each distinct unit of content, which is generally each season of an episodic series. The Company typically delivers all episodes of a season for a series concurrently and the licensee’s rights to exploit the content is the same across all of the episodes.</w:t>
      </w:r>
    </w:p>
    <w:p>
      <w:pPr>
        <w:spacing w:after="0" w:line="18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SVOD arrangements, the Company adjusts the transaction price for the time value of money in cases where license fees are paid over several years. SVOD licensing revenue is recognized at the later of the beginning of the license period, or when we provide the programming to the distributor. The Company recognizes a contract asset for the difference between the revenue recognized and the amount we are permitted to invoice.</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PPV and EST license fee arrangements, the Company applies the sales-based or usage-based royalty guidance and recognizes revenue in the period of end-customer purchases, based on the fees earned during the period.</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also licenses trademarks, logos, brands, derivative character copyrights, etc. under multi-year arrangements. Under these arrangements, the Company may receive a non-refundable minimum guarantee that is recoupable against a volume-based royalty throughout the term of the agreement. The Company adjusts the transaction price for the time value of money in cases where license fees are paid over several years. The Company recognizes revenue for the minimum guarantee on a straight-line basis over the term of the agreement, and recognizes variable fees only when cumulative consideration exceeds the minimum guarantee.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production services arrangements, the Company recognizes revenue based on the percentage of cost incurred to total estimated cost of the contract.</w:t>
      </w:r>
    </w:p>
    <w:p>
      <w:pPr>
        <w:spacing w:after="0" w:line="24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payment terms vary by the type and location of customer. Generally, payment terms are 30-45 days after revenue is earned. In certain limited circumstances, agreements with customers have payment terms in excess of one-year after satisfaction of the performance obligation.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generates revenues from the sale of advertising time on its networks. In such arrangements, the Company generally promises to air a certain number of commercials (spots) and to generate guaranteed viewer ratings for an audience demographic (impressions) over a period that generally does not exceed one year. The promise to deliver impressions by airing spots represents the Company’s performance obligation. Advertising revenues are recognized as commercials are aired, to the extent that guaranteed viewer ratings are achieved. A contract liability is recognized to the extent the guaranteed viewer ratings are not met, and is subsequently recognized as revenue either when the Company provides the required additional advertising or the guarantee obligation contractually expires, which is generally within one year. Generally, payment terms are 30 days after revenue is earned.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new standard requires disclosure of the aggregate amount of transaction price that is allocated to performance obligations that have not yet been satisfied as of September 30, 2018. However, the guidance does not apply to sales-based or usage-based royalty arrangements and also provides certain practical expedients that allow companies to omit this disclosure requirement for (i) contracts with an original expected length of one year or less, (ii) contracts for which revenue is recognized at the amount to which the Company has the right to invoice for services performed and (iii) variable consideration related to a wholly unsatisfied performance obligation.</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2018, other than contracts for which the Company has applied the practical expedients, the aggregate amount of transaction price allocated to remaining performance obligations was not material to our consolidated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timing of revenue recognition, billings and cash collections results in billed receivables, contract assets and contract liabilities in the condensed consolidated balance sheet.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certain types of contracts with customers, the Company may recognize revenue in advance of the contractual right to invoice the customer, resulting in an amount recorded to contract assets. Once the Company has an unconditional right to consideration under a contract, the contract assets are reclassified to account receivables.</w:t>
      </w:r>
    </w:p>
    <w:p>
      <w:pPr>
        <w:spacing w:after="0" w:line="18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When consideration is received, or such consideration is unconditionally due, from a customer prior to transferring goods or services to the customer under the terms of a contract, a contract liability is recorded. Contract liabilities are recognized as revenue when, or as, control of the products or services is transferred to the customer and all revenue recognition criteria have been met. The primary source of the Company’s contract liabilities relates to advertising sales arrangements and content licensing arrangements. As noted above, the Company’s programming networks generally guarantee viewer ratings for its programming. If these guaranteed viewer ratings are not met, the Company is required to provide additional advertising units to the advertiser. For these types of arrangements, a portion of the related revenue is deferred if the guaranteed ratings are not met, representing a contract liability, and is subsequently recognized either when the Company provides the required additional advertising time or the guarantee obligation contractually expires. In certain content licensing arrangements, payment may be received in advance of a distributor's ability to exhibit a program. Such payments are recorded as a contract liability and subsequently recognized when the program becomes available for exhibition.</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7"/>
              </w:rPr>
              <w:t>September 30, 2018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1"/>
              </w:rPr>
              <w:t xml:space="preserve">December 31, 2017 </w:t>
            </w:r>
            <w:r>
              <w:rPr>
                <w:rFonts w:ascii="Arial" w:cs="Arial" w:eastAsia="Arial" w:hAnsi="Arial"/>
                <w:sz w:val="21"/>
                <w:szCs w:val="21"/>
                <w:b w:val="1"/>
                <w:bCs w:val="1"/>
                <w:color w:val="auto"/>
                <w:w w:val="91"/>
                <w:vertAlign w:val="superscript"/>
              </w:rPr>
              <w:t>(a)</w:t>
            </w: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Balances from contracts with customers: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Accounts receivable (including long-term, included in Other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986,500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926,089</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Contract assets, long-term (included in Other assets)</w:t>
            </w: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liabilities (Deferred revenue)</w:t>
            </w: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61,289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46,433</w:t>
            </w:r>
          </w:p>
        </w:tc>
      </w:tr>
      <w:tr>
        <w:trPr>
          <w:trHeight w:val="27"/>
        </w:trPr>
        <w:tc>
          <w:tcPr>
            <w:tcW w:w="7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As noted above, prior period amounts have not been adjusted under the modified retrospective method.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 recognized for the nine months ended September 30, 2018 relating to the contract liability at December 31, 2017 was $38.7 million.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2800" w:type="dxa"/>
            <w:vAlign w:val="bottom"/>
            <w:gridSpan w:val="3"/>
          </w:tcPr>
          <w:p>
            <w:pPr>
              <w:jc w:val="right"/>
              <w:ind w:right="92"/>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8"/>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56,875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63,683</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58,519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65,960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dilution:</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690</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57,779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64,447</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59,281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66,651</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Approximately 1.5 million and 1.0 million restricted stock units outstanding as of September 30, 2018 and September 30, 2017, respectively, have been excluded from diluted weighted average common shares outstanding since a performance condition for these awards was not met in each of the respective periods. As of September 30, 2017, there were approximately 0.4 million stock options that would have been anti-dilutive to the diluted weighted average common shares outstanding.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On March 7, 2016, the Company announced that its Board of Directors authorized a program to repurchase up to $500 million of its outstanding shares of common stock (the "Stock Repurchase Program"). On June 6, 2017, the Board of Directors approved an increase of $500 million and on June 13, 2018, the Board of Directors approved an additional increase of $500 million in the amount authorized for a total of $1.5 billion authorized under the Stock Repurchase Program. The Stock Repurchase Program has no pre-established closing date and may be suspended or discontinued at any time. For the nine months ended September 30, 2018, the Company repurchased 5.1 million shares of its Class A Common Stock at an average purchase price of approximately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$52.53 per share. As of September 30, 2018, the Company has $575.2 million available for repurchase under the Stock Repurchase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expense of $3.1 million for the three and nine months ended September 30, 2018, respectively, due to severance charges incurred related to a management initiative which commenced in the third quarter of 2018, resulting in employee terminations at our corporate headquarters and AMCNI. We expect additional charges in the fourth quarter of 2018. All amounts remain outstanding at September 30, 2018.</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expense of $1.3 million and $3.9 million for the three and nine months ended September 30, 2017, respectively, related to corporate headquarter severance charges in connection with the restructuring initiative launched during the second half of 2016 and charges incurred at AMCNI related to costs associated with the termination of distribution in certain territories.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Levity Entertainment Group LLC</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20, 2018, the Company acquired a 57% controlling interest in Levity Entertainment Group LLC ("Levity"), a production services and comedy venues company, for a total purchase price of $48.4 million. The purchase price consisted of $35.0 million payment for the outstanding Class B Common Units of Levity and the acquisition of Series L Preferred Units for $13.4 million. The Company views this acquisition as complementary to its business and programming content strategy.</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accounted for the acquisition of Levity using the acquisition method of accounting. The acquisition method of accounting requires, among other things, that the assets acquired and liabilities assumed in a business combination be measured at their estimated respective fair values as of the closing date of the acquisition. Goodwill recognized in connection with this transaction represents primarily the potential economic benefits that the Company believes may arise from the acquisition. The goodwill associated with the Levity acquisition is generally deductible for tax purposes.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acquisition accounting for Levity as reflected in these condensed consolidated financial statements is preliminary and based on current estimates and currently available information, and is subject to revision based on final determinations of fair value and final allocations of purchase price to the identifiable assets and liabilities acquired. The primary estimated fair values that are not yet finalized relate to the valuation of property and equipment, intangible assets, other assets, current and noncurrent liabilities, and redeemable noncontrolling interests.</w:t>
      </w:r>
    </w:p>
    <w:p>
      <w:pPr>
        <w:spacing w:after="0" w:line="187"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The following table summarizes the preliminary valuation of the tangible and identifiable intangible assets acquired and liabilities assumed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controlling interest</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48,350</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30,573</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6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78,923</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Allocation to net assets acquired:</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13,471</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17,251</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20,663</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46,413</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(23,647)</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(21,394)</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Noncontrolling interests acquired</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net assets acquired</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54,709</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24,214</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6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78,923</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unaudited pro forma financial information is based on (i) the historical financial statements of AMC Networks and (ii) the historical financial statements of Levity and is intended to provide information about how the acquisition may have</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affected the Company's historical consolidated financial statements if it had occurred as of January 1, 2017. The unaudited pro forma information has been prepared for comparative purposes only and includes adjustments for estimated additional depreciation and amortization expense as a result of tangible and identifiable intangible assets acquired. The pro forma information is not necessarily indicative of the results of operations that would have been achieved had the acquisition taken place on the date indicated or that may result in the future.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Pro Forma Financial Information for the</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9"/>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260" w:type="dxa"/>
            <w:vAlign w:val="bottom"/>
          </w:tcPr>
          <w:p>
            <w:pPr>
              <w:spacing w:after="0"/>
              <w:rPr>
                <w:sz w:val="18"/>
                <w:szCs w:val="18"/>
                <w:color w:val="auto"/>
              </w:rPr>
            </w:pPr>
          </w:p>
        </w:tc>
        <w:tc>
          <w:tcPr>
            <w:tcW w:w="1900" w:type="dxa"/>
            <w:vAlign w:val="bottom"/>
          </w:tcPr>
          <w:p>
            <w:pPr>
              <w:jc w:val="right"/>
              <w:ind w:right="333"/>
              <w:spacing w:after="0"/>
              <w:rPr>
                <w:sz w:val="20"/>
                <w:szCs w:val="20"/>
                <w:color w:val="auto"/>
              </w:rPr>
            </w:pPr>
            <w:r>
              <w:rPr>
                <w:rFonts w:ascii="Arial" w:cs="Arial" w:eastAsia="Arial" w:hAnsi="Arial"/>
                <w:sz w:val="16"/>
                <w:szCs w:val="16"/>
                <w:b w:val="1"/>
                <w:bCs w:val="1"/>
                <w:color w:val="auto"/>
                <w:w w:val="98"/>
              </w:rPr>
              <w:t>Nine months ended</w:t>
            </w:r>
          </w:p>
        </w:tc>
      </w:tr>
      <w:tr>
        <w:trPr>
          <w:trHeight w:val="237"/>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September 30, 2017</w:t>
            </w:r>
          </w:p>
        </w:tc>
        <w:tc>
          <w:tcPr>
            <w:tcW w:w="260" w:type="dxa"/>
            <w:vAlign w:val="bottom"/>
          </w:tcPr>
          <w:p>
            <w:pPr>
              <w:spacing w:after="0"/>
              <w:rPr>
                <w:sz w:val="20"/>
                <w:szCs w:val="20"/>
                <w:color w:val="auto"/>
              </w:rPr>
            </w:pPr>
          </w:p>
        </w:tc>
        <w:tc>
          <w:tcPr>
            <w:tcW w:w="1900" w:type="dxa"/>
            <w:vAlign w:val="bottom"/>
          </w:tcPr>
          <w:p>
            <w:pPr>
              <w:jc w:val="right"/>
              <w:ind w:right="313"/>
              <w:spacing w:after="0"/>
              <w:rPr>
                <w:sz w:val="20"/>
                <w:szCs w:val="20"/>
                <w:color w:val="auto"/>
              </w:rPr>
            </w:pPr>
            <w:r>
              <w:rPr>
                <w:rFonts w:ascii="Arial" w:cs="Arial" w:eastAsia="Arial" w:hAnsi="Arial"/>
                <w:sz w:val="16"/>
                <w:szCs w:val="16"/>
                <w:b w:val="1"/>
                <w:bCs w:val="1"/>
                <w:color w:val="auto"/>
                <w:w w:val="99"/>
              </w:rPr>
              <w:t>September 30, 2017</w:t>
            </w: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689,550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2,181,295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from operations, net of income taxes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4"/>
              <w:spacing w:after="0"/>
              <w:rPr>
                <w:sz w:val="20"/>
                <w:szCs w:val="20"/>
                <w:color w:val="auto"/>
              </w:rPr>
            </w:pPr>
            <w:r>
              <w:rPr>
                <w:rFonts w:ascii="Arial" w:cs="Arial" w:eastAsia="Arial" w:hAnsi="Arial"/>
                <w:sz w:val="18"/>
                <w:szCs w:val="18"/>
                <w:color w:val="auto"/>
              </w:rPr>
              <w:t>87,728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326,854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per share,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4"/>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4.90</w:t>
            </w:r>
          </w:p>
        </w:tc>
      </w:tr>
    </w:tbl>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Revenues, net and operating income attributable to Levity of $68.1 million and $2.2 million, respectively are included in the condensed consolidated statement of income from the acquisition date, April 20, 2018, to September 30, 2018. For the nine months ended September 30, 2018, the Company incurred acquisition related costs of $1.3 million which are included in selling, general and administrative expense in the condensed consolidated statement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holds several investments and loans in non-consolidated entities. Equity method investments were $103.2 million at September 30, 2018 and $61.3 million at December 31, 2017. In September 2018, the Company recognized an impairment charge of $3.5 million related to the partial write-down of an equity method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RLJE</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January 5, 2018, a subsidiary of the Company entered into a Stock Purchase Agreement (the "Stock Purchase Agreement") with JH Partners Evergreen Fund, L.P., Forrestal, LLC, JH Investment Partners III, L.P., and JH Investment Partners GP Fund III, LLC (collectively, "JH Partners"). Under the terms of the Stock Purchase Agreement, the Company purchased (i) 678,095 shares of common stock of RLJ Entertainment, Inc., ("RLJE"), (ii) 747,945 warrants to purchase shares of common stock of RLJE with an adjusted exercise price of $1.50 per share issued, and (iii) 7,479.432 shares of Series D-1 preferred stock of RLJE. The total purchase price was $17.2 million.</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July 29, 2018, the Company, Digital Entertainment Holdings LLC, a wholly-owned subsidiary of the Company ("DEH"), and River Merger Sub Inc., a wholly-owned subsidiary of DEH ("Merger Sub"), and RLJE entered into an Agreement and Plan of Merger (the "Merger Agreement") pursuant to which the Company has agreed to acquire all of the outstanding shares of RLJE not currently owned by the Company or entities affiliated with Robert L. Johnson. The Merger Agreement provides that, upon the terms and subject to the conditions set forth therein, Merger Sub will merge with and into RLJE, with RLJE continuing as the surviving corporation and a subsidiary of DEH (the "Merger").</w:t>
      </w:r>
    </w:p>
    <w:p>
      <w:pPr>
        <w:spacing w:after="0" w:line="18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Pursuant to the Merger Agreement, at the effective time of the Merger (the "Effective Time"), each share of RLJE’s common stock, par value $0.001 per share (the "RLJE Common Stock"), issued and outstanding immediately prior to the Effective Time, except for certain excluded shares (which include shares beneficially owned by the Company, DEH and their affiliates), will be automatically converted into the right to receive $6.25 in cash without interest (the "Per Share Merger Consideration"). The Merger Agreement also includes provisions for the payment at the Effective Time of consideration, calculated based on the amount of the Per Share Merger Consideration, to the holders of outstanding RLJE preferred stock who elect to receive such cash consideration and holders of warrants to purchase RLJE Common Stock, except for certain excluded shares (which include shares beneficially owned by the Company, DEH and their affiliates). Such holders of outstanding RLJE preferred stock will be entitled to receive $7.86 per underlying share of RLJE Common Stock, in accordance with the terms of the RLJE preferred stock, if they elect cash as their consideration. Such holders of outstanding warrants will be paid the difference between $6.25 and the per share exercise price of their warrants.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RLJE - Subsequent Events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October 31, 2018, the Company completed the acquisition of RLJE pursuant to the terms of the Merger Agreement. At the Effective Time, Merger Sub merged with and into RLJE, with RLJE continuing as the surviving corporation and a wholly owned subsidiary of DEH. The Merger Agreement was approved by the common stockholders of RLJE at a special meeting held</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44"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earlier on October 31, 2018. The total cash purchase price paid by the Company to acquire the RLJE securities not previously owned by the Company or entities affiliated with Mr. Johnson is approximately $58.9 million (assuming all preferred stock holders elect cash as their consideration).</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Following the Effective Time, DEH was renamed “RLJ Entertainment Holdings LLC” (“RLJE Holdings”). RLJE Holdings is a majority owned subsidiary of the Company, with a minority stake of 17% held by affiliates of Mr. Johnson. The Company has entered into arrangements with Mr. Johnson related to the governance of RLJE Holdings and RLJE following the Merger.</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DEH and RLJE were parties to a Credit and Guaranty Agreement entered into on October 14, 2016 pursuant to which DEH provided term loans to RLJE (the “RLJE Term Loans”). In connection with the RLJE Credit and Guaranty Agreement, DEH received Class A, Class B and Class C warrants to purchase at least 20 million shares of RLJE’s common stock, at a price of $3.00 per share (the “RLJE Warrants”).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October 1, 2018, DEH fully exercised the remainder of its Class A warrant at $3.00 per share and was issued 3.3 million shares of RLJE Common Stock in exchange for the cancellation of $10.0 million of Tranche B of the RLJE Term Loans. On October 1, 2018, DEH also partially exercised its Class B warrant at $3.00 per share and was issued 3.4 million shares of RLJE Common Stock in exchange for the cancellation of $10.1 million of Tranche B of the RLJE Term Loans. As a result of the warrant exercises, the Company obtained a 51% controlling interest in RLJE.</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October 30, 2018, DEH fully exercised the remainder of its Class B warrant at $3.00 per share and was issued 6.6 million shares of RLJE Common Stock in exchange for the cancellation of $19.9 million of Tranche B of the RLJE Term Loans. On October 30, 2018, DEH also fully exercised its Class C warrant at $3.00 per share and was issued 5.0 million shares of RLJE Common Stock in exchange for the cancellation of $15.0 million of Tranche B of the RLJE Term Loans. As a result of the warrant exercises, the full amount of Tranche B of the RLJE Term Loans was cancelled.</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the acquisition of RLJE, on October 31, 2018, RLJE Holdings and RLJE amended and restated the existing Credit and Guaranty Agreement. Pursuant to the amended and restated Credit and Guaranty Agreement, the aggregate principal amount of the RLJE Term Loans were increased by $5 million (for a total of $28 million in outstanding RLJE Term Loans as of October 31, 2018) and the maturity date of the RLJE Term Loans was extended until October 31, 2021. In addition, the amended and restated Credit and Guaranty Agreement permits RLJE to borrow up to an additional $12 million in RLJE Term Loans at any point until October 31, 2021. Interest on the RLJE Term Loans will be payable to RLJE Holdings in cash at a rate of 7.00% per annum.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included in Miscellaneous, net in the condensed consolidated statement of income.</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Investments in marketable equity securities were $5.3 million at September 30, 2018 and $10.7 million at December 31, 2017 and are included in Other assets in the condensed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included in Miscellaneous, net in the condensed consolidated statement of income.</w:t>
      </w:r>
    </w:p>
    <w:p>
      <w:pPr>
        <w:spacing w:after="0" w:line="1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March 5, 2018, the Company made an investment in fuboTV Inc. of $25.0 million, and on April 6, 2018, the Company provided a senior secured term loan to fuboTV Inc. of $25.0 million with a maturity date of April 6, 2023.</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June 2018, the Company recognized an impairment charge of $10.0 million related to the partial write-down of certain non-marketable equity securities.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Investments in non-marketable equity securities were $71.8 million at September 30, 2018 and $46.8 million at December 31, 2017 and are included in Other assets in the condensed consolidated balance sheet.</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International</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National Networks</w:t>
            </w: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and Other</w:t>
            </w:r>
          </w:p>
        </w:tc>
        <w:tc>
          <w:tcPr>
            <w:tcW w:w="420" w:type="dxa"/>
            <w:vAlign w:val="bottom"/>
          </w:tcPr>
          <w:p>
            <w:pPr>
              <w:spacing w:after="0"/>
              <w:rPr>
                <w:sz w:val="20"/>
                <w:szCs w:val="20"/>
                <w:color w:val="auto"/>
              </w:rPr>
            </w:pPr>
          </w:p>
        </w:tc>
        <w:tc>
          <w:tcPr>
            <w:tcW w:w="1380" w:type="dxa"/>
            <w:vAlign w:val="bottom"/>
          </w:tcPr>
          <w:p>
            <w:pPr>
              <w:jc w:val="right"/>
              <w:ind w:right="631"/>
              <w:spacing w:after="0"/>
              <w:rPr>
                <w:sz w:val="20"/>
                <w:szCs w:val="20"/>
                <w:color w:val="auto"/>
              </w:rPr>
            </w:pPr>
            <w:r>
              <w:rPr>
                <w:rFonts w:ascii="Arial" w:cs="Arial" w:eastAsia="Arial" w:hAnsi="Arial"/>
                <w:sz w:val="16"/>
                <w:szCs w:val="16"/>
                <w:b w:val="1"/>
                <w:bCs w:val="1"/>
                <w:color w:val="auto"/>
              </w:rPr>
              <w:t>Total</w:t>
            </w:r>
          </w:p>
        </w:tc>
      </w:tr>
      <w:tr>
        <w:trPr>
          <w:trHeight w:val="250"/>
        </w:trPr>
        <w:tc>
          <w:tcPr>
            <w:tcW w:w="5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695,158</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24,214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24,214</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"second component" goodwill</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(13,006)</w:t>
            </w:r>
          </w:p>
        </w:tc>
      </w:tr>
      <w:tr>
        <w:trPr>
          <w:trHeight w:val="27"/>
        </w:trPr>
        <w:tc>
          <w:tcPr>
            <w:tcW w:w="5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238,775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466,607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705,382</w:t>
            </w: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the carrying amount of goodwill for the International and Other segment relates to the acquisition of Levity (see Note 5).</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reduction of $1.0 million in the carrying amount of goodwill for the National Networks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September 30, 2018</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133"/>
              <w:spacing w:after="0"/>
              <w:rPr>
                <w:sz w:val="20"/>
                <w:szCs w:val="20"/>
                <w:color w:val="auto"/>
              </w:rPr>
            </w:pPr>
            <w:r>
              <w:rPr>
                <w:rFonts w:ascii="Arial" w:cs="Arial" w:eastAsia="Arial" w:hAnsi="Arial"/>
                <w:sz w:val="16"/>
                <w:szCs w:val="16"/>
                <w:b w:val="1"/>
                <w:bCs w:val="1"/>
                <w:color w:val="auto"/>
              </w:rPr>
              <w:t>Estimated Useful</w:t>
            </w: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jc w:val="right"/>
              <w:ind w:right="533"/>
              <w:spacing w:after="0"/>
              <w:rPr>
                <w:sz w:val="20"/>
                <w:szCs w:val="20"/>
                <w:color w:val="auto"/>
              </w:rPr>
            </w:pPr>
            <w:r>
              <w:rPr>
                <w:rFonts w:ascii="Arial" w:cs="Arial" w:eastAsia="Arial" w:hAnsi="Arial"/>
                <w:sz w:val="16"/>
                <w:szCs w:val="16"/>
                <w:b w:val="1"/>
                <w:bCs w:val="1"/>
                <w:color w:val="auto"/>
              </w:rPr>
              <w:t>Lives</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543,570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(188,571)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354,999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 to 25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years</w:t>
            </w: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73,973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(16,344)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57,629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 to 20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7,508</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to 15 years</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677,617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(227,760)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449,857</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697,517</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(227,760)</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469,757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1"/>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December 31, 2017</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527,713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(167,911)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359,802</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32,877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53,761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39,341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639,157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(201,815)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437,342</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659,057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(201,815)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457,242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amortizable intangible assets is a result of the acquisition of Levity (see Note 5).</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Aggregate amortization expense for amortizable intangible assets for the nine months ended September 30, 2018 and 2017 was $29.1 million and $28.5 million, respectively. Estimated aggregate amortization expense for intangible assets subject to</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amortization for each of the following five years is: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73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Arial" w:cs="Arial" w:eastAsia="Arial" w:hAnsi="Arial"/>
                <w:sz w:val="16"/>
                <w:szCs w:val="16"/>
                <w:b w:val="1"/>
                <w:bCs w:val="1"/>
                <w:color w:val="auto"/>
              </w:rPr>
              <w:t>Years Ending December 31,</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5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38,556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5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5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39,025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7420" w:type="dxa"/>
            <w:vAlign w:val="bottom"/>
            <w:gridSpan w:val="4"/>
          </w:tcPr>
          <w:p>
            <w:pPr>
              <w:spacing w:after="0"/>
              <w:rPr>
                <w:sz w:val="20"/>
                <w:szCs w:val="20"/>
                <w:color w:val="auto"/>
              </w:rPr>
            </w:pPr>
            <w:r>
              <w:rPr>
                <w:rFonts w:ascii="Arial" w:cs="Arial" w:eastAsia="Arial" w:hAnsi="Arial"/>
                <w:sz w:val="18"/>
                <w:szCs w:val="18"/>
                <w:b w:val="1"/>
                <w:bCs w:val="1"/>
                <w:color w:val="auto"/>
              </w:rPr>
              <w:t>Note 8. Accrued Liabilities</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7380" w:type="dxa"/>
            <w:vAlign w:val="bottom"/>
            <w:gridSpan w:val="3"/>
          </w:tcPr>
          <w:p>
            <w:pPr>
              <w:ind w:left="400"/>
              <w:spacing w:after="0"/>
              <w:rPr>
                <w:sz w:val="20"/>
                <w:szCs w:val="20"/>
                <w:color w:val="auto"/>
              </w:rPr>
            </w:pPr>
            <w:r>
              <w:rPr>
                <w:rFonts w:ascii="Arial" w:cs="Arial" w:eastAsia="Arial" w:hAnsi="Arial"/>
                <w:sz w:val="18"/>
                <w:szCs w:val="18"/>
                <w:color w:val="auto"/>
              </w:rPr>
              <w:t>Accrued liabilities consist of the following:</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73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86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2018</w:t>
            </w:r>
          </w:p>
        </w:tc>
        <w:tc>
          <w:tcPr>
            <w:tcW w:w="200" w:type="dxa"/>
            <w:vAlign w:val="bottom"/>
          </w:tcPr>
          <w:p>
            <w:pPr>
              <w:spacing w:after="0"/>
              <w:rPr>
                <w:sz w:val="24"/>
                <w:szCs w:val="24"/>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2017</w:t>
            </w: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73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30,262</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Employee related costs</w:t>
            </w:r>
          </w:p>
        </w:tc>
        <w:tc>
          <w:tcPr>
            <w:tcW w:w="2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84,200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117,850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102,845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95,406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240,892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263,076</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9. Long-term Debt</w:t>
            </w: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2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7380" w:type="dxa"/>
            <w:vAlign w:val="bottom"/>
            <w:gridSpan w:val="3"/>
          </w:tcPr>
          <w:p>
            <w:pPr>
              <w:ind w:left="400"/>
              <w:spacing w:after="0"/>
              <w:rPr>
                <w:sz w:val="20"/>
                <w:szCs w:val="20"/>
                <w:color w:val="auto"/>
              </w:rPr>
            </w:pPr>
            <w:r>
              <w:rPr>
                <w:rFonts w:ascii="Arial" w:cs="Arial" w:eastAsia="Arial" w:hAnsi="Arial"/>
                <w:sz w:val="18"/>
                <w:szCs w:val="18"/>
                <w:color w:val="auto"/>
              </w:rPr>
              <w:t>The Company's long-term debt consists of the following:</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Borders>
              <w:bottom w:val="single" w:sz="8" w:color="CCEEFF"/>
            </w:tcBorders>
          </w:tcPr>
          <w:p>
            <w:pPr>
              <w:spacing w:after="0"/>
              <w:rPr>
                <w:sz w:val="24"/>
                <w:szCs w:val="24"/>
                <w:color w:val="auto"/>
              </w:rPr>
            </w:pPr>
          </w:p>
        </w:tc>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5"/>
              </w:rPr>
              <w:t>September 30, 2018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6"/>
                <w:szCs w:val="16"/>
                <w:b w:val="1"/>
                <w:bCs w:val="1"/>
                <w:color w:val="auto"/>
                <w:w w:val="95"/>
              </w:rPr>
              <w:t>December 31, 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shd w:val="clear" w:color="auto" w:fill="CCEEFF"/>
          </w:tcPr>
          <w:p>
            <w:pPr>
              <w:spacing w:after="0"/>
              <w:rPr>
                <w:sz w:val="23"/>
                <w:szCs w:val="23"/>
                <w:color w:val="auto"/>
              </w:rPr>
            </w:pPr>
          </w:p>
        </w:tc>
        <w:tc>
          <w:tcPr>
            <w:tcW w:w="738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340"/>
              <w:spacing w:after="0"/>
              <w:rPr>
                <w:sz w:val="20"/>
                <w:szCs w:val="20"/>
                <w:color w:val="auto"/>
              </w:rPr>
            </w:pPr>
            <w:r>
              <w:rPr>
                <w:rFonts w:ascii="Arial" w:cs="Arial" w:eastAsia="Arial" w:hAnsi="Arial"/>
                <w:sz w:val="18"/>
                <w:szCs w:val="18"/>
                <w:color w:val="auto"/>
              </w:rPr>
              <w:t>4.75% Notes due August 2025</w:t>
            </w:r>
          </w:p>
        </w:tc>
        <w:tc>
          <w:tcPr>
            <w:tcW w:w="20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5.00% Notes due April 2024</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340"/>
              <w:spacing w:after="0"/>
              <w:rPr>
                <w:sz w:val="20"/>
                <w:szCs w:val="20"/>
                <w:color w:val="auto"/>
              </w:rPr>
            </w:pPr>
            <w:r>
              <w:rPr>
                <w:rFonts w:ascii="Arial" w:cs="Arial" w:eastAsia="Arial" w:hAnsi="Arial"/>
                <w:sz w:val="18"/>
                <w:szCs w:val="18"/>
                <w:color w:val="auto"/>
              </w:rPr>
              <w:t>4.75% Notes due December 2022</w:t>
            </w:r>
          </w:p>
        </w:tc>
        <w:tc>
          <w:tcPr>
            <w:tcW w:w="20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Unamortized discount</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(30,360)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Unamortized deferred financing costs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3,105,003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3,099,257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9,375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Noncurrent portion of long-term debt</w:t>
            </w: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3,095,628</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3,099,257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September 30, 2018. Total undrawn revolver commitments are available to be drawn for general corporate purposes of the Company.</w:t>
      </w:r>
    </w:p>
    <w:p>
      <w:pPr>
        <w:spacing w:after="0" w:line="170" w:lineRule="exact"/>
        <w:rPr>
          <w:sz w:val="20"/>
          <w:szCs w:val="20"/>
          <w:color w:val="auto"/>
        </w:rPr>
      </w:pPr>
    </w:p>
    <w:p>
      <w:pPr>
        <w:ind w:left="60" w:firstLine="405"/>
        <w:spacing w:after="0" w:line="308" w:lineRule="auto"/>
        <w:rPr>
          <w:sz w:val="20"/>
          <w:szCs w:val="20"/>
          <w:color w:val="auto"/>
        </w:rPr>
      </w:pPr>
      <w:r>
        <w:rPr>
          <w:rFonts w:ascii="Arial" w:cs="Arial" w:eastAsia="Arial" w:hAnsi="Arial"/>
          <w:sz w:val="17"/>
          <w:szCs w:val="17"/>
          <w:color w:val="auto"/>
        </w:rPr>
        <w:t>As a result of the acquisition of Levity, the Company has two lines of credit totaling $5 million. The lines of credit bear interest at the greater of 3.5% or the prime rate and mature on August 25, 2019. There were no outstanding borrowings on either line of credit as of September 30,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September 30, 2018 and December 31,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I</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II</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70"/>
        </w:trPr>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4240" w:type="dxa"/>
            <w:vAlign w:val="bottom"/>
            <w:tcBorders>
              <w:top w:val="single" w:sz="8" w:color="CCEEFF"/>
              <w:bottom w:val="single" w:sz="8" w:color="CCEEFF"/>
            </w:tcBorders>
            <w:shd w:val="clear" w:color="auto" w:fill="CCEEFF"/>
          </w:tcPr>
          <w:p>
            <w:pPr>
              <w:ind w:left="920"/>
              <w:spacing w:after="0"/>
              <w:rPr>
                <w:sz w:val="20"/>
                <w:szCs w:val="20"/>
                <w:color w:val="auto"/>
              </w:rPr>
            </w:pPr>
            <w:r>
              <w:rPr>
                <w:rFonts w:ascii="Arial" w:cs="Arial" w:eastAsia="Arial" w:hAnsi="Arial"/>
                <w:sz w:val="16"/>
                <w:szCs w:val="16"/>
                <w:b w:val="1"/>
                <w:bCs w:val="1"/>
                <w:color w:val="auto"/>
              </w:rPr>
              <w:t>At September 30, 2018: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1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196"/>
        </w:trPr>
        <w:tc>
          <w:tcPr>
            <w:tcW w:w="5040" w:type="dxa"/>
            <w:vAlign w:val="bottom"/>
            <w:tcBorders>
              <w:top w:val="single" w:sz="8" w:color="auto"/>
            </w:tcBorders>
            <w:gridSpan w:val="4"/>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Cash equivalents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35,709</w:t>
            </w:r>
          </w:p>
        </w:tc>
      </w:tr>
      <w:tr>
        <w:trPr>
          <w:trHeight w:val="243"/>
        </w:trPr>
        <w:tc>
          <w:tcPr>
            <w:tcW w:w="40" w:type="dxa"/>
            <w:vAlign w:val="bottom"/>
          </w:tcPr>
          <w:p>
            <w:pPr>
              <w:spacing w:after="0"/>
              <w:rPr>
                <w:sz w:val="21"/>
                <w:szCs w:val="21"/>
                <w:color w:val="auto"/>
              </w:rPr>
            </w:pPr>
          </w:p>
        </w:tc>
        <w:tc>
          <w:tcPr>
            <w:tcW w:w="5000" w:type="dxa"/>
            <w:vAlign w:val="bottom"/>
            <w:gridSpan w:val="3"/>
          </w:tcPr>
          <w:p>
            <w:pPr>
              <w:ind w:left="3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5,339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5,339</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48,987</w:t>
            </w:r>
          </w:p>
        </w:tc>
      </w:tr>
      <w:tr>
        <w:trPr>
          <w:trHeight w:val="243"/>
        </w:trPr>
        <w:tc>
          <w:tcPr>
            <w:tcW w:w="40" w:type="dxa"/>
            <w:vAlign w:val="bottom"/>
          </w:tcPr>
          <w:p>
            <w:pPr>
              <w:spacing w:after="0"/>
              <w:rPr>
                <w:sz w:val="21"/>
                <w:szCs w:val="21"/>
                <w:color w:val="auto"/>
              </w:rPr>
            </w:pPr>
          </w:p>
        </w:tc>
        <w:tc>
          <w:tcPr>
            <w:tcW w:w="5000" w:type="dxa"/>
            <w:vAlign w:val="bottom"/>
            <w:gridSpan w:val="3"/>
          </w:tcPr>
          <w:p>
            <w:pPr>
              <w:ind w:left="32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3,188</w:t>
            </w:r>
          </w:p>
        </w:tc>
      </w:tr>
      <w:tr>
        <w:trPr>
          <w:trHeight w:val="243"/>
        </w:trPr>
        <w:tc>
          <w:tcPr>
            <w:tcW w:w="40" w:type="dxa"/>
            <w:vAlign w:val="bottom"/>
          </w:tcPr>
          <w:p>
            <w:pPr>
              <w:spacing w:after="0"/>
              <w:rPr>
                <w:sz w:val="21"/>
                <w:szCs w:val="21"/>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Other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78,586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78,586</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50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4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Foreign currency derivatives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3,587</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b w:val="1"/>
                <w:bCs w:val="1"/>
                <w:color w:val="auto"/>
              </w:rPr>
              <w:t>At December 31, 2017: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196"/>
        </w:trPr>
        <w:tc>
          <w:tcPr>
            <w:tcW w:w="5040" w:type="dxa"/>
            <w:vAlign w:val="bottom"/>
            <w:tcBorders>
              <w:top w:val="single" w:sz="8" w:color="auto"/>
            </w:tcBorders>
            <w:gridSpan w:val="4"/>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100,615</w:t>
            </w:r>
          </w:p>
        </w:tc>
      </w:tr>
      <w:tr>
        <w:trPr>
          <w:trHeight w:val="243"/>
        </w:trPr>
        <w:tc>
          <w:tcPr>
            <w:tcW w:w="40" w:type="dxa"/>
            <w:vAlign w:val="bottom"/>
          </w:tcPr>
          <w:p>
            <w:pPr>
              <w:spacing w:after="0"/>
              <w:rPr>
                <w:sz w:val="21"/>
                <w:szCs w:val="21"/>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10,709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10,709</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9,948</w:t>
            </w:r>
          </w:p>
        </w:tc>
      </w:tr>
      <w:tr>
        <w:trPr>
          <w:trHeight w:val="243"/>
        </w:trPr>
        <w:tc>
          <w:tcPr>
            <w:tcW w:w="40" w:type="dxa"/>
            <w:vAlign w:val="bottom"/>
          </w:tcPr>
          <w:p>
            <w:pPr>
              <w:spacing w:after="0"/>
              <w:rPr>
                <w:sz w:val="21"/>
                <w:szCs w:val="21"/>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1,444</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w:t>
            </w:r>
          </w:p>
        </w:tc>
      </w:tr>
      <w:tr>
        <w:trPr>
          <w:trHeight w:val="243"/>
        </w:trPr>
        <w:tc>
          <w:tcPr>
            <w:tcW w:w="40" w:type="dxa"/>
            <w:vAlign w:val="bottom"/>
          </w:tcPr>
          <w:p>
            <w:pPr>
              <w:spacing w:after="0"/>
              <w:rPr>
                <w:sz w:val="21"/>
                <w:szCs w:val="21"/>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Other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30,891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37,065</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50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4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Foreign currency derivatives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4,475</w:t>
            </w:r>
          </w:p>
        </w:tc>
      </w:tr>
    </w:tbl>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cash equivalents and marketable securities are classified within Level I of the fair value hierarchy because they are valued using quoted market prices.</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Company's interest rate swap contracts, foreign currency derivatives and the embedded derivative for the interest on the RLJE Term Loans to be paid in shares of RLJE common stock (see Note 11) are classified within Level II of the fair value hierarchy as their fair values are determined based on a market approach valuation technique that uses readily observable market parameters and the consideration of counterparty risk.</w:t>
      </w:r>
    </w:p>
    <w:p>
      <w:pPr>
        <w:spacing w:after="0" w:line="166"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On October 14, 2016, DEH and RLJE entered into a Credit and Guaranty Agreement pursuant to which DEH provided to RLJE the RLJE Term Loans and received the RLJE Warrants. Prior to July 29, 2018, the RLJE Warrants held by the Company were classified within Level III of the fair value hierarchy. The Company determined the value of the RLJE Warrants using a Black Scholes option pricing model. Inputs to the model were stock price volatility, contractual warrant terms (remaining life of the warrants), exercise price, risk-free interest rate, and the RLJE stock price. The equity volatility used was based on the equity volatility of RLJE with an adjustment for the changes in the capital structure of RLJE. In arriving at the concluded value of the warrants, a discount for the lack of marketability (DLOM) of 32% was applied. The DLOM, which is unobservable, is determined using the Finnerty Average-Strike Put Option Marketability Discount Model (Finnerty Model), which was applied with a security-specific volatility for the warrants. As a result of the Merger Agreement entered into on July 29, 2018 (see Note 6), the value of the RLJE Warrants was determined as the difference between the RLJE stock price and the per share exercise price of the RLJE Warrants. As a result of the change in valuation method, a value of $60.0 million was reclassified from Level III to Level II within the fair value hierarchy.</w:t>
      </w:r>
    </w:p>
    <w:p>
      <w:pPr>
        <w:spacing w:after="0" w:line="19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and nine months ended September 30, 2018, the Company recorded a gain of $20.6 million and $30.2 million, respectively, related to the RLJE Warrants which is included in Miscellaneous, net in the condensed consolidated statement of</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7" w:name="page18"/>
    <w:bookmarkEnd w:id="1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income. For the three and nine months ended September 30, 2017, the Company recorded a gain of $2.0 million and $19.1 million, respectively.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September 30, 2018, the Company does not have any assets or liabilities measured at fair value on a recurring basis that would be considered Level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III.</w:t>
      </w:r>
    </w:p>
    <w:p>
      <w:pPr>
        <w:spacing w:after="0" w:line="2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measurements are also used in nonrecurring valuations performed in connection with acquisition accounting. These nonrecurring valuations primarily include the valuation of affiliate and customer relationships intangible assets, advertiser relationship intangible assets and property and equipment. All of our nonrecurring valuations use significant unobservable inputs and therefore fall under Level III of the fair value hierarchy.</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 Debt and Senior Notes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gridSpan w:val="6"/>
          </w:tcPr>
          <w:p>
            <w:pPr>
              <w:jc w:val="right"/>
              <w:ind w:right="1213"/>
              <w:spacing w:after="0"/>
              <w:rPr>
                <w:sz w:val="20"/>
                <w:szCs w:val="20"/>
                <w:color w:val="auto"/>
              </w:rPr>
            </w:pPr>
            <w:r>
              <w:rPr>
                <w:rFonts w:ascii="Arial" w:cs="Arial" w:eastAsia="Arial" w:hAnsi="Arial"/>
                <w:sz w:val="16"/>
                <w:szCs w:val="16"/>
                <w:b w:val="1"/>
                <w:bCs w:val="1"/>
                <w:color w:val="auto"/>
              </w:rPr>
              <w:t>September 30, 2018</w:t>
            </w: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6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ind w:left="24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74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0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ind w:left="22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02"/>
        </w:trPr>
        <w:tc>
          <w:tcPr>
            <w:tcW w:w="7400" w:type="dxa"/>
            <w:vAlign w:val="bottom"/>
            <w:tcBorders>
              <w:top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6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739,061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748,125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786,026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768,000</w:t>
            </w:r>
          </w:p>
        </w:tc>
        <w:tc>
          <w:tcPr>
            <w:tcW w:w="20" w:type="dxa"/>
            <w:vAlign w:val="bottom"/>
          </w:tcPr>
          <w:p>
            <w:pPr>
              <w:spacing w:after="0"/>
              <w:rPr>
                <w:sz w:val="21"/>
                <w:szCs w:val="21"/>
                <w:color w:val="auto"/>
              </w:rPr>
            </w:pPr>
          </w:p>
        </w:tc>
      </w:tr>
      <w:tr>
        <w:trPr>
          <w:trHeight w:val="243"/>
        </w:trPr>
        <w:tc>
          <w:tcPr>
            <w:tcW w:w="880" w:type="dxa"/>
            <w:vAlign w:val="bottom"/>
            <w:gridSpan w:val="2"/>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985,700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985,000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594,216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598,500</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3,105,003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3,099,625</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1"/>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gridSpan w:val="6"/>
          </w:tcPr>
          <w:p>
            <w:pPr>
              <w:jc w:val="right"/>
              <w:ind w:right="1213"/>
              <w:spacing w:after="0"/>
              <w:rPr>
                <w:sz w:val="20"/>
                <w:szCs w:val="20"/>
                <w:color w:val="auto"/>
              </w:rPr>
            </w:pPr>
            <w:r>
              <w:rPr>
                <w:rFonts w:ascii="Arial" w:cs="Arial" w:eastAsia="Arial" w:hAnsi="Arial"/>
                <w:sz w:val="16"/>
                <w:szCs w:val="16"/>
                <w:b w:val="1"/>
                <w:bCs w:val="1"/>
                <w:color w:val="auto"/>
              </w:rPr>
              <w:t>December 31, 2017</w:t>
            </w: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8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513"/>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74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2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ind w:left="26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02"/>
        </w:trPr>
        <w:tc>
          <w:tcPr>
            <w:tcW w:w="7400" w:type="dxa"/>
            <w:vAlign w:val="bottom"/>
            <w:tcBorders>
              <w:top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6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737,140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748,125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784,757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793,000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gridSpan w:val="2"/>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984,056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1,012,500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593,304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612,750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3,099,257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3,166,375</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2018, the Company had interest rate swap contracts outstanding with notional amounts aggregating $200.0 million that are not designated as hedging instruments. The Company's outstanding interest rate swap contracts matured in October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exposed to foreign currency risk to the extent that we enter into transactions denominated in currencies other than our or our subsidiaries' respective functional currencies (non-functional currency risk), such as affiliation agreements, programming</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contracts, certain accounts payable and trade receivables (including intercompany amounts) that are denominated in a currency other than the applicable functional currency.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Derivatives</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RLJE Warrants held by the Company meet the definition of a derivative and are included in Other assets in the consolidated balance sheet. In addition, the interest on the RLJE Term Loans to be paid in shares of RLJE common stock is an embedded derivative. Both the RLJE Warrants and the embedded derivative for the future interest to be paid in shares of RLJE common stock are remeasured at the end of each period with changes in fair value recorded in the consolidated statements of income. For the three months ended September 30, 2018 and 2017, the Company recorded a gain of $27.2 million and $4.4 million, respectively, and for the nine months ended September 30, 2018 and 2017, the Company recorded a gain of $39.5 million and $26.8 million, respectively, related to these derivatives, which is included in Miscellaneous, net in the condensed consolidated statement of income.</w:t>
      </w:r>
    </w:p>
    <w:p>
      <w:pPr>
        <w:spacing w:after="0" w:line="16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values of the Company's derivative financial instruments not designated as hedging instruments included in the condensed consolidated balance sheets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360" w:type="dxa"/>
            <w:vAlign w:val="bottom"/>
            <w:gridSpan w:val="2"/>
          </w:tcPr>
          <w:p>
            <w:pPr>
              <w:ind w:left="1620"/>
              <w:spacing w:after="0"/>
              <w:rPr>
                <w:sz w:val="20"/>
                <w:szCs w:val="20"/>
                <w:color w:val="auto"/>
              </w:rPr>
            </w:pPr>
            <w:r>
              <w:rPr>
                <w:rFonts w:ascii="Arial" w:cs="Arial" w:eastAsia="Arial" w:hAnsi="Arial"/>
                <w:sz w:val="16"/>
                <w:szCs w:val="16"/>
                <w:b w:val="1"/>
                <w:bCs w:val="1"/>
                <w:color w:val="auto"/>
              </w:rPr>
              <w:t>Balance Sheet</w:t>
            </w: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7"/>
        </w:trPr>
        <w:tc>
          <w:tcPr>
            <w:tcW w:w="40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4360" w:type="dxa"/>
            <w:vAlign w:val="bottom"/>
            <w:gridSpan w:val="2"/>
          </w:tcPr>
          <w:p>
            <w:pPr>
              <w:ind w:left="1820"/>
              <w:spacing w:after="0"/>
              <w:rPr>
                <w:sz w:val="20"/>
                <w:szCs w:val="20"/>
                <w:color w:val="auto"/>
              </w:rPr>
            </w:pPr>
            <w:r>
              <w:rPr>
                <w:rFonts w:ascii="Arial" w:cs="Arial" w:eastAsia="Arial" w:hAnsi="Arial"/>
                <w:sz w:val="16"/>
                <w:szCs w:val="16"/>
                <w:b w:val="1"/>
                <w:bCs w:val="1"/>
                <w:color w:val="auto"/>
              </w:rPr>
              <w:t>Location</w:t>
            </w:r>
          </w:p>
        </w:tc>
        <w:tc>
          <w:tcPr>
            <w:tcW w:w="180" w:type="dxa"/>
            <w:vAlign w:val="bottom"/>
          </w:tcPr>
          <w:p>
            <w:pPr>
              <w:spacing w:after="0"/>
              <w:rPr>
                <w:sz w:val="20"/>
                <w:szCs w:val="20"/>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2017</w:t>
            </w:r>
          </w:p>
        </w:tc>
      </w:tr>
      <w:tr>
        <w:trPr>
          <w:trHeight w:val="202"/>
        </w:trPr>
        <w:tc>
          <w:tcPr>
            <w:tcW w:w="4000" w:type="dxa"/>
            <w:vAlign w:val="bottom"/>
            <w:tcBorders>
              <w:top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Assets</w:t>
            </w:r>
          </w:p>
        </w:tc>
        <w:tc>
          <w:tcPr>
            <w:tcW w:w="4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0" w:type="dxa"/>
            <w:vAlign w:val="bottom"/>
            <w:tcBorders>
              <w:top w:val="single" w:sz="8" w:color="CCEEFF"/>
            </w:tcBorders>
            <w:shd w:val="clear" w:color="auto" w:fill="CCEEFF"/>
          </w:tcPr>
          <w:p>
            <w:pPr>
              <w:spacing w:after="0"/>
              <w:rPr>
                <w:sz w:val="4"/>
                <w:szCs w:val="4"/>
                <w:color w:val="auto"/>
              </w:rPr>
            </w:pPr>
          </w:p>
        </w:tc>
        <w:tc>
          <w:tcPr>
            <w:tcW w:w="4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4000" w:type="dxa"/>
            <w:vAlign w:val="bottom"/>
            <w:gridSpan w:val="4"/>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500" w:type="dxa"/>
            <w:vAlign w:val="bottom"/>
          </w:tcPr>
          <w:p>
            <w:pPr>
              <w:jc w:val="right"/>
              <w:ind w:right="29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943</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2,858</w:t>
            </w:r>
          </w:p>
        </w:tc>
      </w:tr>
      <w:tr>
        <w:trPr>
          <w:trHeight w:val="243"/>
        </w:trPr>
        <w:tc>
          <w:tcPr>
            <w:tcW w:w="4000" w:type="dxa"/>
            <w:vAlign w:val="bottom"/>
            <w:gridSpan w:val="4"/>
          </w:tcPr>
          <w:p>
            <w:pPr>
              <w:ind w:left="40"/>
              <w:spacing w:after="0"/>
              <w:rPr>
                <w:sz w:val="20"/>
                <w:szCs w:val="20"/>
                <w:color w:val="auto"/>
              </w:rPr>
            </w:pPr>
            <w:r>
              <w:rPr>
                <w:rFonts w:ascii="Arial" w:cs="Arial" w:eastAsia="Arial" w:hAnsi="Arial"/>
                <w:sz w:val="18"/>
                <w:szCs w:val="18"/>
                <w:color w:val="auto"/>
              </w:rPr>
              <w:t>Interest rate swap contracts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1,444</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derivatives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37,065</w:t>
            </w:r>
          </w:p>
        </w:tc>
      </w:tr>
      <w:tr>
        <w:trPr>
          <w:trHeight w:val="203"/>
        </w:trPr>
        <w:tc>
          <w:tcPr>
            <w:tcW w:w="400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20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r>
      <w:tr>
        <w:trPr>
          <w:trHeight w:val="243"/>
        </w:trPr>
        <w:tc>
          <w:tcPr>
            <w:tcW w:w="4000" w:type="dxa"/>
            <w:vAlign w:val="bottom"/>
            <w:gridSpan w:val="4"/>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3,252</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amounts of gains and losses related to the Company's derivative financial instruments designated as hedging instruments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80"/>
        <w:spacing w:after="0" w:line="282" w:lineRule="auto"/>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3"/>
        </w:trPr>
        <w:tc>
          <w:tcPr>
            <w:tcW w:w="3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or (Loss) on Derivatives</w:t>
            </w:r>
          </w:p>
        </w:tc>
        <w:tc>
          <w:tcPr>
            <w:tcW w:w="10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 of Gain or</w:t>
            </w:r>
          </w:p>
        </w:tc>
        <w:tc>
          <w:tcPr>
            <w:tcW w:w="3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1020" w:type="dxa"/>
            <w:vAlign w:val="bottom"/>
          </w:tcPr>
          <w:p>
            <w:pPr>
              <w:spacing w:after="0"/>
              <w:rPr>
                <w:sz w:val="18"/>
                <w:szCs w:val="18"/>
                <w:color w:val="auto"/>
              </w:rPr>
            </w:pPr>
          </w:p>
        </w:tc>
        <w:tc>
          <w:tcPr>
            <w:tcW w:w="2320" w:type="dxa"/>
            <w:vAlign w:val="bottom"/>
            <w:gridSpan w:val="3"/>
          </w:tcPr>
          <w:p>
            <w:pPr>
              <w:jc w:val="center"/>
              <w:ind w:right="960"/>
              <w:spacing w:after="0"/>
              <w:rPr>
                <w:sz w:val="20"/>
                <w:szCs w:val="20"/>
                <w:color w:val="auto"/>
              </w:rPr>
            </w:pPr>
            <w:r>
              <w:rPr>
                <w:rFonts w:ascii="Arial" w:cs="Arial" w:eastAsia="Arial" w:hAnsi="Arial"/>
                <w:sz w:val="16"/>
                <w:szCs w:val="16"/>
                <w:b w:val="1"/>
                <w:bCs w:val="1"/>
                <w:color w:val="auto"/>
                <w:w w:val="93"/>
              </w:rPr>
              <w:t>Recognized in OCI</w:t>
            </w: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(Loss) in Earnings</w:t>
            </w:r>
          </w:p>
        </w:tc>
        <w:tc>
          <w:tcPr>
            <w:tcW w:w="1000" w:type="dxa"/>
            <w:vAlign w:val="bottom"/>
          </w:tcPr>
          <w:p>
            <w:pPr>
              <w:spacing w:after="0"/>
              <w:rPr>
                <w:sz w:val="18"/>
                <w:szCs w:val="18"/>
                <w:color w:val="auto"/>
              </w:rPr>
            </w:pPr>
          </w:p>
        </w:tc>
        <w:tc>
          <w:tcPr>
            <w:tcW w:w="2260" w:type="dxa"/>
            <w:vAlign w:val="bottom"/>
            <w:gridSpan w:val="3"/>
          </w:tcPr>
          <w:p>
            <w:pPr>
              <w:jc w:val="right"/>
              <w:ind w:right="1020"/>
              <w:spacing w:after="0"/>
              <w:rPr>
                <w:sz w:val="20"/>
                <w:szCs w:val="20"/>
                <w:color w:val="auto"/>
              </w:rPr>
            </w:pPr>
            <w:r>
              <w:rPr>
                <w:rFonts w:ascii="Arial" w:cs="Arial" w:eastAsia="Arial" w:hAnsi="Arial"/>
                <w:sz w:val="16"/>
                <w:szCs w:val="16"/>
                <w:b w:val="1"/>
                <w:bCs w:val="1"/>
                <w:color w:val="auto"/>
                <w:w w:val="96"/>
              </w:rPr>
              <w:t>into Earnings (a)</w:t>
            </w:r>
          </w:p>
        </w:tc>
      </w:tr>
      <w:tr>
        <w:trPr>
          <w:trHeight w:val="33"/>
        </w:trPr>
        <w:tc>
          <w:tcPr>
            <w:tcW w:w="33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r>
      <w:tr>
        <w:trPr>
          <w:trHeight w:val="231"/>
        </w:trPr>
        <w:tc>
          <w:tcPr>
            <w:tcW w:w="3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Three Months Ended September 30,</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Three Months Ended September 30,</w:t>
            </w:r>
          </w:p>
        </w:tc>
      </w:tr>
      <w:tr>
        <w:trPr>
          <w:trHeight w:val="33"/>
        </w:trPr>
        <w:tc>
          <w:tcPr>
            <w:tcW w:w="10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31"/>
        </w:trPr>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32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26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2017</w:t>
            </w:r>
          </w:p>
        </w:tc>
      </w:tr>
      <w:tr>
        <w:trPr>
          <w:trHeight w:val="33"/>
        </w:trPr>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-8255</wp:posOffset>
            </wp:positionV>
            <wp:extent cx="721233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560" w:space="120"/>
            <w:col w:w="8740"/>
          </w:cols>
          <w:pgMar w:left="240" w:top="125" w:right="239" w:bottom="1440" w:gutter="0" w:footer="0" w:header="0"/>
          <w:type w:val="continuous"/>
        </w:sectPr>
      </w:pPr>
    </w:p>
    <w:p>
      <w:pPr>
        <w:ind w:left="80"/>
        <w:spacing w:after="0"/>
        <w:tabs>
          <w:tab w:leader="none" w:pos="2680" w:val="left"/>
          <w:tab w:leader="none" w:pos="3980" w:val="left"/>
          <w:tab w:leader="none" w:pos="4440" w:val="left"/>
          <w:tab w:leader="none" w:pos="5700" w:val="left"/>
          <w:tab w:leader="none" w:pos="6480" w:val="left"/>
          <w:tab w:leader="none" w:pos="8160" w:val="left"/>
          <w:tab w:leader="none" w:pos="9420" w:val="left"/>
          <w:tab w:leader="none" w:pos="9840" w:val="left"/>
          <w:tab w:leader="none" w:pos="1102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31750</wp:posOffset>
            </wp:positionV>
            <wp:extent cx="207518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5180" cy="2603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31750</wp:posOffset>
            </wp:positionV>
            <wp:extent cx="211836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18360" cy="26035"/>
                    </a:xfrm>
                    <a:prstGeom prst="rect">
                      <a:avLst/>
                    </a:prstGeom>
                    <a:noFill/>
                  </pic:spPr>
                </pic:pic>
              </a:graphicData>
            </a:graphic>
          </wp:anchor>
        </w:drawing>
      </w:r>
    </w:p>
    <w:p>
      <w:pPr>
        <w:spacing w:after="0" w:line="273" w:lineRule="exact"/>
        <w:rPr>
          <w:sz w:val="20"/>
          <w:szCs w:val="20"/>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hedging relationships or related to any amount excluded from the assessment of hedge effectiveness for the three months ended September 30, 2018 and 2017.</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40"/>
        <w:spacing w:after="0" w:line="282" w:lineRule="auto"/>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3"/>
        </w:trPr>
        <w:tc>
          <w:tcPr>
            <w:tcW w:w="3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or (Loss) on Derivatives</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Location of Gain or</w:t>
            </w:r>
          </w:p>
        </w:tc>
        <w:tc>
          <w:tcPr>
            <w:tcW w:w="33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1020" w:type="dxa"/>
            <w:vAlign w:val="bottom"/>
          </w:tcPr>
          <w:p>
            <w:pPr>
              <w:spacing w:after="0"/>
              <w:rPr>
                <w:sz w:val="18"/>
                <w:szCs w:val="18"/>
                <w:color w:val="auto"/>
              </w:rPr>
            </w:pPr>
          </w:p>
        </w:tc>
        <w:tc>
          <w:tcPr>
            <w:tcW w:w="2320" w:type="dxa"/>
            <w:vAlign w:val="bottom"/>
            <w:gridSpan w:val="3"/>
          </w:tcPr>
          <w:p>
            <w:pPr>
              <w:jc w:val="center"/>
              <w:ind w:right="960"/>
              <w:spacing w:after="0"/>
              <w:rPr>
                <w:sz w:val="20"/>
                <w:szCs w:val="20"/>
                <w:color w:val="auto"/>
              </w:rPr>
            </w:pPr>
            <w:r>
              <w:rPr>
                <w:rFonts w:ascii="Arial" w:cs="Arial" w:eastAsia="Arial" w:hAnsi="Arial"/>
                <w:sz w:val="16"/>
                <w:szCs w:val="16"/>
                <w:b w:val="1"/>
                <w:bCs w:val="1"/>
                <w:color w:val="auto"/>
                <w:w w:val="93"/>
              </w:rPr>
              <w:t>Recognized in OCI</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(Loss) in Earnings</w:t>
            </w:r>
          </w:p>
        </w:tc>
        <w:tc>
          <w:tcPr>
            <w:tcW w:w="1040" w:type="dxa"/>
            <w:vAlign w:val="bottom"/>
          </w:tcPr>
          <w:p>
            <w:pPr>
              <w:spacing w:after="0"/>
              <w:rPr>
                <w:sz w:val="18"/>
                <w:szCs w:val="18"/>
                <w:color w:val="auto"/>
              </w:rPr>
            </w:pPr>
          </w:p>
        </w:tc>
        <w:tc>
          <w:tcPr>
            <w:tcW w:w="2260" w:type="dxa"/>
            <w:vAlign w:val="bottom"/>
            <w:gridSpan w:val="3"/>
          </w:tcPr>
          <w:p>
            <w:pPr>
              <w:jc w:val="right"/>
              <w:ind w:right="1020"/>
              <w:spacing w:after="0"/>
              <w:rPr>
                <w:sz w:val="20"/>
                <w:szCs w:val="20"/>
                <w:color w:val="auto"/>
              </w:rPr>
            </w:pPr>
            <w:r>
              <w:rPr>
                <w:rFonts w:ascii="Arial" w:cs="Arial" w:eastAsia="Arial" w:hAnsi="Arial"/>
                <w:sz w:val="16"/>
                <w:szCs w:val="16"/>
                <w:b w:val="1"/>
                <w:bCs w:val="1"/>
                <w:color w:val="auto"/>
                <w:w w:val="96"/>
              </w:rPr>
              <w:t>into Earnings (a)</w:t>
            </w:r>
          </w:p>
        </w:tc>
      </w:tr>
      <w:tr>
        <w:trPr>
          <w:trHeight w:val="33"/>
        </w:trPr>
        <w:tc>
          <w:tcPr>
            <w:tcW w:w="33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231"/>
        </w:trPr>
        <w:tc>
          <w:tcPr>
            <w:tcW w:w="3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Nine Months Ended September 30,</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10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31"/>
        </w:trPr>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32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26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2017</w:t>
            </w:r>
          </w:p>
        </w:tc>
      </w:tr>
      <w:tr>
        <w:trPr>
          <w:trHeight w:val="33"/>
        </w:trPr>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-8255</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520" w:space="120"/>
            <w:col w:w="8780"/>
          </w:cols>
          <w:pgMar w:left="240" w:top="125" w:right="239" w:bottom="1440" w:gutter="0" w:footer="0" w:header="0"/>
          <w:type w:val="continuous"/>
        </w:sectPr>
      </w:pPr>
    </w:p>
    <w:p>
      <w:pPr>
        <w:ind w:left="40"/>
        <w:spacing w:after="0"/>
        <w:tabs>
          <w:tab w:leader="none" w:pos="2640" w:val="left"/>
          <w:tab w:leader="none" w:pos="3960" w:val="left"/>
          <w:tab w:leader="none" w:pos="4400" w:val="left"/>
          <w:tab w:leader="none" w:pos="5580" w:val="left"/>
          <w:tab w:leader="none" w:pos="6440" w:val="left"/>
          <w:tab w:leader="none" w:pos="8140" w:val="left"/>
          <w:tab w:leader="none" w:pos="9420" w:val="left"/>
          <w:tab w:leader="none" w:pos="9840" w:val="left"/>
          <w:tab w:leader="none" w:pos="1102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306</w:t>
      </w:r>
      <w:r>
        <w:rPr>
          <w:sz w:val="20"/>
          <w:szCs w:val="20"/>
          <w:color w:val="auto"/>
        </w:rPr>
        <w:tab/>
      </w: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31750</wp:posOffset>
            </wp:positionV>
            <wp:extent cx="209232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2325" cy="2603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31750</wp:posOffset>
            </wp:positionV>
            <wp:extent cx="211836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18360" cy="26035"/>
                    </a:xfrm>
                    <a:prstGeom prst="rect">
                      <a:avLst/>
                    </a:prstGeom>
                    <a:noFill/>
                  </pic:spPr>
                </pic:pic>
              </a:graphicData>
            </a:graphic>
          </wp:anchor>
        </w:drawing>
      </w:r>
    </w:p>
    <w:p>
      <w:pPr>
        <w:spacing w:after="0" w:line="273" w:lineRule="exact"/>
        <w:rPr>
          <w:sz w:val="20"/>
          <w:szCs w:val="20"/>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hedging relationships or related to any amount excluded from the assessment of hedge effectiveness for the nine months ended September 30, 2018 and 2017.</w:t>
      </w:r>
    </w:p>
    <w:p>
      <w:pPr>
        <w:sectPr>
          <w:pgSz w:w="11900" w:h="16838" w:orient="portrait"/>
          <w:cols w:equalWidth="0" w:num="1">
            <w:col w:w="11420"/>
          </w:cols>
          <w:pgMar w:left="240" w:top="125" w:right="239" w:bottom="1440" w:gutter="0" w:footer="0" w:header="0"/>
          <w:type w:val="continuous"/>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amounts of gains and losses related to the Company's derivative financial instruments not designated as hedging instruments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2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Location of Gain or (Loss)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Recognized in Earnings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2980" w:type="dxa"/>
            <w:vAlign w:val="bottom"/>
          </w:tcPr>
          <w:p>
            <w:pPr>
              <w:spacing w:after="0"/>
              <w:rPr>
                <w:sz w:val="18"/>
                <w:szCs w:val="18"/>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on Derivatives</w:t>
            </w:r>
          </w:p>
        </w:tc>
        <w:tc>
          <w:tcPr>
            <w:tcW w:w="140" w:type="dxa"/>
            <w:vAlign w:val="bottom"/>
          </w:tcPr>
          <w:p>
            <w:pPr>
              <w:spacing w:after="0"/>
              <w:rPr>
                <w:sz w:val="18"/>
                <w:szCs w:val="18"/>
                <w:color w:val="auto"/>
              </w:rPr>
            </w:pPr>
          </w:p>
        </w:tc>
        <w:tc>
          <w:tcPr>
            <w:tcW w:w="5660" w:type="dxa"/>
            <w:vAlign w:val="bottom"/>
            <w:gridSpan w:val="10"/>
          </w:tcPr>
          <w:p>
            <w:pPr>
              <w:jc w:val="right"/>
              <w:ind w:right="552"/>
              <w:spacing w:after="0"/>
              <w:rPr>
                <w:sz w:val="20"/>
                <w:szCs w:val="20"/>
                <w:color w:val="auto"/>
              </w:rPr>
            </w:pPr>
            <w:r>
              <w:rPr>
                <w:rFonts w:ascii="Arial" w:cs="Arial" w:eastAsia="Arial" w:hAnsi="Arial"/>
                <w:sz w:val="16"/>
                <w:szCs w:val="16"/>
                <w:b w:val="1"/>
                <w:bCs w:val="1"/>
                <w:color w:val="auto"/>
              </w:rPr>
              <w:t>Amount of Gain or (Loss) Recognized in Earnings on Derivatives</w:t>
            </w:r>
          </w:p>
        </w:tc>
      </w:tr>
      <w:tr>
        <w:trPr>
          <w:trHeight w:val="33"/>
        </w:trPr>
        <w:tc>
          <w:tcPr>
            <w:tcW w:w="298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r>
      <w:tr>
        <w:trPr>
          <w:trHeight w:val="231"/>
        </w:trPr>
        <w:tc>
          <w:tcPr>
            <w:tcW w:w="29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20"/>
                <w:szCs w:val="20"/>
                <w:color w:val="auto"/>
              </w:rPr>
            </w:pPr>
          </w:p>
        </w:tc>
        <w:tc>
          <w:tcPr>
            <w:tcW w:w="2660" w:type="dxa"/>
            <w:vAlign w:val="bottom"/>
            <w:gridSpan w:val="4"/>
          </w:tcPr>
          <w:p>
            <w:pPr>
              <w:jc w:val="right"/>
              <w:ind w:right="112"/>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33"/>
        </w:trPr>
        <w:tc>
          <w:tcPr>
            <w:tcW w:w="2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Miscellaneous, net</w:t>
            </w:r>
          </w:p>
        </w:tc>
        <w:tc>
          <w:tcPr>
            <w:tcW w:w="1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(4,487)</w:t>
            </w:r>
          </w:p>
        </w:tc>
      </w:tr>
      <w:tr>
        <w:trPr>
          <w:trHeight w:val="27"/>
        </w:trPr>
        <w:tc>
          <w:tcPr>
            <w:tcW w:w="2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derivatives</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Miscellaneous, net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26,836</w:t>
            </w:r>
          </w:p>
        </w:tc>
      </w:tr>
      <w:tr>
        <w:trPr>
          <w:trHeight w:val="257"/>
        </w:trPr>
        <w:tc>
          <w:tcPr>
            <w:tcW w:w="2980" w:type="dxa"/>
            <w:vAlign w:val="bottom"/>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26,725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38,510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22,320</w:t>
            </w:r>
          </w:p>
        </w:tc>
      </w:tr>
      <w:tr>
        <w:trPr>
          <w:trHeight w:val="20"/>
        </w:trPr>
        <w:tc>
          <w:tcPr>
            <w:tcW w:w="29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ind w:firstLine="459"/>
        <w:spacing w:after="0" w:line="271" w:lineRule="auto"/>
        <w:rPr>
          <w:sz w:val="20"/>
          <w:szCs w:val="20"/>
          <w:color w:val="auto"/>
        </w:rPr>
      </w:pPr>
      <w:r>
        <w:rPr>
          <w:rFonts w:ascii="Arial" w:cs="Arial" w:eastAsia="Arial" w:hAnsi="Arial"/>
          <w:sz w:val="17"/>
          <w:szCs w:val="17"/>
          <w:color w:val="auto"/>
        </w:rPr>
        <w:t>For the three and nine months ended September 30, 2018, income tax expense was $43.7 million and $133.1 million, respectively, representing an effective tax rate of 27% and 26%, respectively, as compared to the federal statutory rate of 21%. For the three months ended September 30, 2018, the effective tax rate differs from the federal statutory rate primarily due to tax expense from foreign subsidiary earnings indefinitely reinvested outside the U.S. of $5.6 million and state and local income tax expense of $3.4 million. For the nine months ended September 30, 2018, the effective tax rate differs from the federal statutory rate due primarily to tax expense of $15.8 million for an increase in valuation allowances for foreign taxes and U.S. foreign tax credits; state and local income tax expense of $9.5 million; a tax benefit of $8.3 million for the one-time rate change on deferred tax assets and liabilities that resulted from the extension of certain television production cost deductions included in the Bipartisan Budget Act of 2018 (enacted February 9, 2018); and a tax benefit from foreign subsidiary earnings of $0.6 million.</w:t>
      </w:r>
    </w:p>
    <w:p>
      <w:pPr>
        <w:spacing w:after="0" w:line="17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For the three and nine months ended September 30, 2017, income tax expense was $40.1 million and $173.4 million, respectively, representing an effective tax rate of 31% and 34%, respectively. The effective tax rate differs from the federal statutory rate of 35% due primarily to tax benefit from the domestic production activities deduction of $2.8 million and $13.1 million, tax expense of $5.5 million and tax benefit of $1.2 million from foreign subsidiary earnings indefinitely reinvested outside the U.S., tax benefit of $8.4 million and $0.9 million resulting from a decrease in the valuation allowances for foreign and local taxes, tax benefit of $0.6 million and tax expense of $2.0 million relating to uncertain tax positions (including accrued interest) and state and local income tax expense of $2.4 million and $8.4 million for the three and nine months ended September 30, 2017, respectively.</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September 30, 2018, the Company had foreign tax credit carry forwards of approximately $15.6 million, expiring on various dates from 2024 through 2025. These carryforwards have been reduced by a valuation allowance of $15.6 million as it is more likely than not that these carry forwards will not be realized. For the nine months ended September 30, 2018, $1.0 million relating to amortization of tax deductible second component goodwill was realized as a reduction in tax liability (as determined on a 'with-and-without' approach).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2018, the Company's contractual obligations not reflected on the Company's condensed consolidated balance sheet decreased $244.9 million to $1.1 billion. The decrease relates to payments for program commitments and the expiration of Company guarantees for certain production related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$280 million The parties each filed motions for summary judgment. Oral arguments of the summary judgment motions took place on September 15, 2017. On April 19, 2018, the Court</w:t>
      </w:r>
    </w:p>
    <w:p>
      <w:pPr>
        <w:sectPr>
          <w:pgSz w:w="11900" w:h="16838" w:orient="portrait"/>
          <w:cols w:equalWidth="0" w:num="1">
            <w:col w:w="11420"/>
          </w:cols>
          <w:pgMar w:left="240" w:top="125" w:right="239" w:bottom="1440"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granted the Company’s motion for leave to submit supplemental summary judgment briefing. A hearing on the supplemental summary judgment submissions was held on June 13, 2018. The Company believes that the asserted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18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On January 18, 2018, the 2013 Plaintiffs filed a second action in New York Supreme Court in connection with Darabont’s services on </w:t>
      </w:r>
      <w:r>
        <w:rPr>
          <w:rFonts w:ascii="Arial" w:cs="Arial" w:eastAsia="Arial" w:hAnsi="Arial"/>
          <w:sz w:val="17"/>
          <w:szCs w:val="17"/>
          <w:i w:val="1"/>
          <w:iCs w:val="1"/>
          <w:color w:val="auto"/>
        </w:rPr>
        <w:t>The Walking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Dead </w:t>
      </w:r>
      <w:r>
        <w:rPr>
          <w:rFonts w:ascii="Arial" w:cs="Arial" w:eastAsia="Arial" w:hAnsi="Arial"/>
          <w:sz w:val="17"/>
          <w:szCs w:val="17"/>
          <w:color w:val="auto"/>
        </w:rPr>
        <w:t>television series and agreements between the parties related thereto. The claims in the action allegedly arise from Plaintiffs' audit of their participation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statements covering the accounting period from inception of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through September 30, 2014. Plaintiffs seek no less than $20 million in damages on claims for breach of contract, breach of the covenant of good faith and fair dealing, and declaratory relief. The Company filed an Answer to the Complaint on April 16, 2018. On August 30, 2018, Plaintiff's filed an Amended Compliant, and on September 19, 2018, the Company answered. The parties have agreed to consolidate this action for a joint trial with the action Plaintiffs filed in the New York Supreme Court on December 17, 2013. The Company believes that the asserted claims are without merit, denies the allegations and will defend the case vigorously. At this time, no determination can be made as to the ultimate outcome of this litigation or the potential liability, if any, on the part of the Company.</w:t>
      </w:r>
    </w:p>
    <w:p>
      <w:pPr>
        <w:spacing w:after="0" w:line="179"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as well as </w:t>
      </w:r>
      <w:r>
        <w:rPr>
          <w:rFonts w:ascii="Arial" w:cs="Arial" w:eastAsia="Arial" w:hAnsi="Arial"/>
          <w:sz w:val="17"/>
          <w:szCs w:val="17"/>
          <w:i w:val="1"/>
          <w:iCs w:val="1"/>
          <w:color w:val="auto"/>
        </w:rPr>
        <w:t>Fear the Walking Dead</w:t>
      </w:r>
      <w:r>
        <w:rPr>
          <w:rFonts w:ascii="Arial" w:cs="Arial" w:eastAsia="Arial" w:hAnsi="Arial"/>
          <w:sz w:val="17"/>
          <w:szCs w:val="17"/>
          <w:color w:val="auto"/>
        </w:rPr>
        <w:t xml:space="preserve"> and/or </w:t>
      </w:r>
      <w:r>
        <w:rPr>
          <w:rFonts w:ascii="Arial" w:cs="Arial" w:eastAsia="Arial" w:hAnsi="Arial"/>
          <w:sz w:val="17"/>
          <w:szCs w:val="17"/>
          <w:i w:val="1"/>
          <w:iCs w:val="1"/>
          <w:color w:val="auto"/>
        </w:rPr>
        <w:t>Talking Dead</w:t>
      </w:r>
      <w:r>
        <w:rPr>
          <w:rFonts w:ascii="Arial" w:cs="Arial" w:eastAsia="Arial" w:hAnsi="Arial"/>
          <w:sz w:val="17"/>
          <w:szCs w:val="17"/>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loan-out companies), along with Charles Eglee and his loan-out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because their agreements contained exclusive New York jurisdiction provisions. On October 23, 2017, the parties stipulated to discontinuing the New York Action without prejudice and consolidating all of the claims in the California Action. The California Plaintiffs seek compensatory and punitive damages and restitution. The Company filed an Answer on April 30, 2018 and believes that the asserted claims are without merit and will vigorously defend against them. At this time, no determination can be made as to the ultimate outcome of this litigation or the potential liability, if any, on the part of the Company.</w:t>
      </w:r>
    </w:p>
    <w:p>
      <w:pPr>
        <w:spacing w:after="0" w:line="18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Equity Plans</w:t>
      </w:r>
    </w:p>
    <w:p>
      <w:pPr>
        <w:spacing w:after="0" w:line="22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March 2018, AMC Networks granted 684,737 restricted stock units ("RSUs") and 537,403 performance restricted stock units ("PRSUs") to certain executive officers and employees under the AMC Networks Inc. 2016 Employee Stock Plan. The RSUs vest ratably over a three-year period and the vesting criteria for 195,028 RSUs include the achievement of certain performance targets by the Company. The PRSUs vest on the third anniversary of the grant date.</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target number of PRSUs granted represents the right to receive a corresponding number of shares, subject to adjustment based on the performance of the Company against target performance criteria for a three-year period. The number of shares issuable at the end of the applicable measurement period ranges from 0% to 200% of the target PRSU award.</w:t>
      </w:r>
    </w:p>
    <w:p>
      <w:pPr>
        <w:spacing w:after="0" w:line="18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nine months ended September 30, 2018, 720,657 RSUs of AMC Networks Class A Common Stock previously issued to employees of the Company vested. On the vesting date, 295,973 RSUs were surrendered to the Company to cover the required statutory tax withholding obligations and 424,684 new shares of AMC Networks Class A Common Stock were issued in respect of the remaining RSUs. The units surrendered to satisfy the employees' statutory minimum tax withholding obligations for the applicable income and other employment tax had an aggregate value of $15.7 million, which has been reflected as a financing activity in the condensed consolidated statement of cash flows for the nine months ended September 30, 2018.</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Share-based compensation expense included in selling, general and administrative expense, for the three and nine months ended September 30, 2018 was $16.9 million and $52.0 million, respectively, and $13.8 million and $41.4 million, respectively, for the three and nine months ended September 30, 2017,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As of September 30, 2018, there was $105.4 million of total unrecognized share-based compensation cost related to outstanding unvested share-based awards. The unrecognized compensation cost is expected to be recognized over a weighted-average remaining period of approximately 2.3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Redeemable Noncontrolling Interests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activity related to redeemable noncontrolling interest for the nine months ended September 30,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31, 2017</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Acquired</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earnings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Distributions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September 30, 2018</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306"/>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326"/>
        <w:spacing w:after="0"/>
        <w:rPr>
          <w:sz w:val="20"/>
          <w:szCs w:val="20"/>
          <w:color w:val="auto"/>
        </w:rPr>
      </w:pPr>
      <w:r>
        <w:rPr>
          <w:rFonts w:ascii="Arial" w:cs="Arial" w:eastAsia="Arial" w:hAnsi="Arial"/>
          <w:sz w:val="16"/>
          <w:szCs w:val="16"/>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-5959475</wp:posOffset>
            </wp:positionH>
            <wp:positionV relativeFrom="paragraph">
              <wp:posOffset>33020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8" w:lineRule="exact"/>
        <w:rPr>
          <w:sz w:val="20"/>
          <w:szCs w:val="20"/>
          <w:color w:val="auto"/>
        </w:rPr>
      </w:pPr>
    </w:p>
    <w:p>
      <w:pPr>
        <w:ind w:left="1326" w:hanging="1326"/>
        <w:spacing w:after="0"/>
        <w:tabs>
          <w:tab w:leader="none" w:pos="1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218,604</w:t>
      </w:r>
    </w:p>
    <w:p>
      <w:pPr>
        <w:spacing w:after="0" w:line="63" w:lineRule="exact"/>
        <w:rPr>
          <w:rFonts w:ascii="Arial" w:cs="Arial" w:eastAsia="Arial" w:hAnsi="Arial"/>
          <w:sz w:val="18"/>
          <w:szCs w:val="18"/>
          <w:color w:val="auto"/>
        </w:rPr>
      </w:pPr>
    </w:p>
    <w:p>
      <w:pPr>
        <w:ind w:left="1426"/>
        <w:spacing w:after="0"/>
        <w:rPr>
          <w:rFonts w:ascii="Arial" w:cs="Arial" w:eastAsia="Arial" w:hAnsi="Arial"/>
          <w:sz w:val="18"/>
          <w:szCs w:val="18"/>
          <w:color w:val="auto"/>
        </w:rPr>
      </w:pPr>
      <w:r>
        <w:rPr>
          <w:rFonts w:ascii="Arial" w:cs="Arial" w:eastAsia="Arial" w:hAnsi="Arial"/>
          <w:sz w:val="18"/>
          <w:szCs w:val="18"/>
          <w:color w:val="auto"/>
        </w:rPr>
        <w:t>30,573</w:t>
      </w:r>
    </w:p>
    <w:p>
      <w:pPr>
        <w:spacing w:after="0" w:line="63" w:lineRule="exact"/>
        <w:rPr>
          <w:rFonts w:ascii="Arial" w:cs="Arial" w:eastAsia="Arial" w:hAnsi="Arial"/>
          <w:sz w:val="18"/>
          <w:szCs w:val="18"/>
          <w:color w:val="auto"/>
        </w:rPr>
      </w:pPr>
    </w:p>
    <w:p>
      <w:pPr>
        <w:ind w:left="1426"/>
        <w:spacing w:after="0"/>
        <w:rPr>
          <w:rFonts w:ascii="Arial" w:cs="Arial" w:eastAsia="Arial" w:hAnsi="Arial"/>
          <w:sz w:val="18"/>
          <w:szCs w:val="18"/>
          <w:color w:val="auto"/>
        </w:rPr>
      </w:pPr>
      <w:r>
        <w:rPr>
          <w:rFonts w:ascii="Arial" w:cs="Arial" w:eastAsia="Arial" w:hAnsi="Arial"/>
          <w:sz w:val="18"/>
          <w:szCs w:val="18"/>
          <w:color w:val="auto"/>
        </w:rPr>
        <w:t>12,692</w:t>
      </w:r>
    </w:p>
    <w:p>
      <w:pPr>
        <w:spacing w:after="0" w:line="63" w:lineRule="exact"/>
        <w:rPr>
          <w:rFonts w:ascii="Arial" w:cs="Arial" w:eastAsia="Arial" w:hAnsi="Arial"/>
          <w:sz w:val="18"/>
          <w:szCs w:val="18"/>
          <w:color w:val="auto"/>
        </w:rPr>
      </w:pPr>
    </w:p>
    <w:p>
      <w:pPr>
        <w:ind w:left="1446"/>
        <w:spacing w:after="0"/>
        <w:rPr>
          <w:rFonts w:ascii="Arial" w:cs="Arial" w:eastAsia="Arial" w:hAnsi="Arial"/>
          <w:sz w:val="18"/>
          <w:szCs w:val="18"/>
          <w:color w:val="auto"/>
        </w:rPr>
      </w:pPr>
      <w:r>
        <w:rPr>
          <w:rFonts w:ascii="Arial" w:cs="Arial" w:eastAsia="Arial" w:hAnsi="Arial"/>
          <w:sz w:val="17"/>
          <w:szCs w:val="17"/>
          <w:color w:val="auto"/>
        </w:rPr>
        <w:t>(9,333)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-5959475</wp:posOffset>
            </wp:positionH>
            <wp:positionV relativeFrom="paragraph">
              <wp:posOffset>-302895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-5959475</wp:posOffset>
            </wp:positionH>
            <wp:positionV relativeFrom="paragraph">
              <wp:posOffset>39370</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8" w:lineRule="exact"/>
        <w:rPr>
          <w:sz w:val="20"/>
          <w:szCs w:val="20"/>
          <w:color w:val="auto"/>
        </w:rPr>
      </w:pPr>
    </w:p>
    <w:p>
      <w:pPr>
        <w:ind w:left="1326" w:hanging="1326"/>
        <w:spacing w:after="0"/>
        <w:tabs>
          <w:tab w:leader="none" w:pos="13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252,536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74" w:space="720"/>
            <w:col w:w="2026"/>
          </w:cols>
          <w:pgMar w:left="240" w:top="125" w:right="239" w:bottom="1440" w:gutter="0" w:footer="0" w:header="0"/>
          <w:type w:val="continuous"/>
        </w:sectPr>
      </w:pPr>
    </w:p>
    <w:p>
      <w:pPr>
        <w:spacing w:after="0" w:line="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redeemable noncontrolling interest acquired relates to acquisition of Levity. The terms of the agreement provide the noncontrolling interest holders with a right to put 50% of their interests to the Company on the fourth anniversary of the agreement and a right to put all of their interests to the Company on the sixth anniversary of the agreement. The put rights are at fair market value.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Related Party Transactions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Members of the Dolan Family, for purposes of Section 13(d) of the Securities Exchange Act of 1934, as amended, including trusts for the benefit of the Dolan Family, collectively beneficially own all of the AMC Networks outstanding Class B Common Stock and own approximately 3% of the AMC Networks' outstanding Class A Common Stock. Such shares of the AMC Networks Class A Common Stock and Class B Common Stock, collectively, represent approximately 73% of the aggregate voting power of AMC Networks' outstanding common stock. Members of the Dolan Family are also the controlling stockholders of The Madison Square Garden Company ("MSG") and MSG Networks Inc. ("MSG Networks").</w:t>
      </w:r>
    </w:p>
    <w:p>
      <w:pPr>
        <w:spacing w:after="0" w:line="1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and its related parties routinely enter into transactions with each other in the ordinary course of business. Revenues, net from related parties amounted to $1.6 million and $1.5 million for the three months ended September 30, 2018 and 2017, respectively, and $4.8 million and $4.6 million for the nine months ended September 30, 2018 and 2017, respectively. Amounts charged to the Company, included in selling, general and administrative expenses, pursuant to transactions with its related parties amounted to $0.2 million for the three months ended September 30, 2018 and 2017, respectively, and $0.9 million and $1.2 million for the nine months ended September 30, 2018 and 2017, respectively.</w:t>
      </w:r>
    </w:p>
    <w:p>
      <w:pPr>
        <w:spacing w:after="0" w:line="17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June 16, 2016, AMC Networks entered into an arrangement with the Dolan Family Office, LLC ("DFO"), MSG and MSG Networks providing for the sharing of certain expenses associated with executive office space which will be available to Charles F. Dolan (the Executive Chairman and a director of the Company and a director of MSG and MSG Networks), James L. Dolan (the Executive Chairman and a director of MSG and MSG Networks and a director of the Company), and the DFO which is controlled by Charles F. Dolan. The Company's share of office expenses is not material.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Cash Flows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non-cash investing and financing activities and other supplemental data are as follows:</w:t>
      </w:r>
    </w:p>
    <w:p>
      <w:pPr>
        <w:spacing w:after="0" w:line="280"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2017</w:t>
            </w: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Treasury stock not yet settled</w:t>
            </w:r>
          </w:p>
        </w:tc>
        <w:tc>
          <w:tcPr>
            <w:tcW w:w="3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2,000</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 of RLJE Warrants</w:t>
            </w:r>
          </w:p>
        </w:tc>
        <w:tc>
          <w:tcPr>
            <w:tcW w:w="3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5,001</w:t>
            </w: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Capital expenditures incurred but not yet paid</w:t>
            </w:r>
          </w:p>
        </w:tc>
        <w:tc>
          <w:tcPr>
            <w:tcW w:w="3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3,761</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Data:</w:t>
            </w:r>
          </w:p>
        </w:tc>
        <w:tc>
          <w:tcPr>
            <w:tcW w:w="3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Cash interest paid</w:t>
            </w:r>
          </w:p>
        </w:tc>
        <w:tc>
          <w:tcPr>
            <w:tcW w:w="3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97,437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65,442</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paid, net</w:t>
            </w:r>
          </w:p>
        </w:tc>
        <w:tc>
          <w:tcPr>
            <w:tcW w:w="3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181,129</w:t>
            </w:r>
          </w:p>
        </w:tc>
      </w:tr>
      <w:tr>
        <w:trPr>
          <w:trHeight w:val="567"/>
        </w:trPr>
        <w:tc>
          <w:tcPr>
            <w:tcW w:w="4660" w:type="dxa"/>
            <w:vAlign w:val="bottom"/>
          </w:tcPr>
          <w:p>
            <w:pPr>
              <w:spacing w:after="0"/>
              <w:rPr>
                <w:sz w:val="24"/>
                <w:szCs w:val="24"/>
                <w:color w:val="auto"/>
              </w:rPr>
            </w:pPr>
          </w:p>
        </w:tc>
        <w:tc>
          <w:tcPr>
            <w:tcW w:w="3240" w:type="dxa"/>
            <w:vAlign w:val="bottom"/>
          </w:tcPr>
          <w:p>
            <w:pPr>
              <w:jc w:val="right"/>
              <w:ind w:right="201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22" w:name="page23"/>
    <w:bookmarkEnd w:id="2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classifies its operations into two operating segments: National Networks and International and Other. These operating segments represent strategic business units that are managed separately.</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generally allocates all corporate overhead costs within operating expenses to the Company's two operating segments based upon their proportionate estimated usage of services, including such costs as executive salaries and benefits, costs of maintaining corporate headquarters, facilities and common support functions (such as human resources, legal, finance, strategic planning and information technology) as well as sales support functions and creative and production services.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evaluates segment performance based on several factors, of which the primary financial measure is operating segment adjusted operating income ("AOI"), a non-GAAP measure, defined as operating income (loss) before depreciation and amortization, share-based compensation expense or benefit, impairment and related charges (including gains or losses on sales or dispositions of businesses), and restructuring expense or credit. The Company has presented the components that reconcile adjusted operating income to operating income, an accepted GAAP measure, and other information as to the continuing operations of the Company's operating segments below.</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 2018</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199,714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20,128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219,842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360,607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131,644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477,033</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560,321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151,772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696,875</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188,107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164,599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13,860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16,934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4,486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22,011</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210,417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211,169</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62"/>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 2017</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197,891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20,691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218,582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343,551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92,069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429,441</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541,442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112,760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648,023</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179,624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11,598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13,817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11,036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11,036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20,938</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199,694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8,203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200,409</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54"/>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5"/>
          </w:tcPr>
          <w:p>
            <w:pPr>
              <w:ind w:left="80"/>
              <w:spacing w:after="0"/>
              <w:rPr>
                <w:sz w:val="20"/>
                <w:szCs w:val="20"/>
                <w:color w:val="auto"/>
              </w:rPr>
            </w:pPr>
            <w:r>
              <w:rPr>
                <w:rFonts w:ascii="Arial" w:cs="Arial" w:eastAsia="Arial" w:hAnsi="Arial"/>
                <w:sz w:val="16"/>
                <w:szCs w:val="16"/>
                <w:b w:val="1"/>
                <w:bCs w:val="1"/>
                <w:color w:val="auto"/>
              </w:rPr>
              <w:t>Nine Months Ended September 30, 2018</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672,273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66,071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738,344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1,148,365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343,802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1,460,739</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1,820,638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409,873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2,199,083</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647,965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589,785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42,647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9,359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52,006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4,486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64,034</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715,970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10,761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713,450</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60,774</w:t>
            </w:r>
          </w:p>
        </w:tc>
      </w:tr>
      <w:tr>
        <w:trPr>
          <w:trHeight w:val="575"/>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5"/>
          </w:tcPr>
          <w:p>
            <w:pPr>
              <w:ind w:left="80"/>
              <w:spacing w:after="0"/>
              <w:rPr>
                <w:sz w:val="20"/>
                <w:szCs w:val="20"/>
                <w:color w:val="auto"/>
              </w:rPr>
            </w:pPr>
            <w:r>
              <w:rPr>
                <w:rFonts w:ascii="Arial" w:cs="Arial" w:eastAsia="Arial" w:hAnsi="Arial"/>
                <w:sz w:val="16"/>
                <w:szCs w:val="16"/>
                <w:b w:val="1"/>
                <w:bCs w:val="1"/>
                <w:color w:val="auto"/>
              </w:rPr>
              <w:t>Nine Months Ended September 30, 2017</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690,906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62,134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753,040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1,070,606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268,267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1,325,717</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1,761,512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330,401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2,078,757</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640,855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560,815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33,717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7,695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41,412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28,148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28,148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65,037</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699,834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10,283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699,299</w:t>
            </w:r>
          </w:p>
        </w:tc>
      </w:tr>
      <w:tr>
        <w:trPr>
          <w:trHeight w:val="23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41,483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61,794</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Inter-segment eliminations are primarily licensing revenues recognized between the National Networks and International and Other segments as well as revenues recognized by AMC Networks Broadcasting &amp; Technology for transmission revenues recognized from the International and Other operating segment.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2017</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Inter-segment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National Networks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(25,454)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(13,045)</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47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(31,428)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(13,156)</w:t>
            </w: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4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4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revenues based on customer location: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gridSpan w:val="6"/>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7"/>
          </w:tcPr>
          <w:p>
            <w:pPr>
              <w:jc w:val="right"/>
              <w:ind w:right="33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550,573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9"/>
              <w:spacing w:after="0"/>
              <w:rPr>
                <w:sz w:val="20"/>
                <w:szCs w:val="20"/>
                <w:color w:val="auto"/>
              </w:rPr>
            </w:pPr>
            <w:r>
              <w:rPr>
                <w:rFonts w:ascii="Arial" w:cs="Arial" w:eastAsia="Arial" w:hAnsi="Arial"/>
                <w:sz w:val="18"/>
                <w:szCs w:val="18"/>
                <w:color w:val="auto"/>
              </w:rPr>
              <w:t>504,732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1,737,336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1,653,342</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108,607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91,447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311,294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278,198</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37,695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8"/>
                <w:szCs w:val="18"/>
                <w:color w:val="auto"/>
              </w:rPr>
              <w:t>51,844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150,453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147,217</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696,875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648,023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2,199,083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2,078,757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420" w:type="dxa"/>
            <w:vAlign w:val="bottom"/>
            <w:gridSpan w:val="4"/>
          </w:tcPr>
          <w:p>
            <w:pPr>
              <w:ind w:left="420"/>
              <w:spacing w:after="0"/>
              <w:rPr>
                <w:sz w:val="20"/>
                <w:szCs w:val="20"/>
                <w:color w:val="auto"/>
              </w:rPr>
            </w:pPr>
            <w:r>
              <w:rPr>
                <w:rFonts w:ascii="Arial" w:cs="Arial" w:eastAsia="Arial" w:hAnsi="Arial"/>
                <w:sz w:val="18"/>
                <w:szCs w:val="18"/>
                <w:color w:val="auto"/>
                <w:w w:val="95"/>
              </w:rPr>
              <w:t>The table below summarizes property and equipment based on asset location:</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gridSpan w:val="6"/>
          </w:tcPr>
          <w:p>
            <w:pPr>
              <w:jc w:val="right"/>
              <w:ind w:right="360"/>
              <w:spacing w:after="0"/>
              <w:rPr>
                <w:sz w:val="20"/>
                <w:szCs w:val="20"/>
                <w:color w:val="auto"/>
              </w:rPr>
            </w:pPr>
            <w:r>
              <w:rPr>
                <w:rFonts w:ascii="Arial" w:cs="Arial" w:eastAsia="Arial" w:hAnsi="Arial"/>
                <w:sz w:val="16"/>
                <w:szCs w:val="16"/>
                <w:b w:val="1"/>
                <w:bCs w:val="1"/>
                <w:color w:val="auto"/>
              </w:rPr>
              <w:t>September 30, 2018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2017</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182,266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136,203</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26,567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28,261</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16,635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19,050</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225,468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183,514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Condensed Consolidating Financial Statements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Debt of AMC Networks includes $600 million of 4.75% senior notes due December 2022, $1 billion of 5.00% senior notes due April 2024 and $800 million of 4.75% senior notes due August 2025. All outstanding senior notes issued by AMC Networks (for purposes of this Note 19, "Parent Company") are guaranteed on a senior unsecured basis by certain of its existing and future domestic restricted subsidiaries (the "Guarantor Subsidiaries"). All Guarantor Subsidiaries are owned 100% by AMC Networks. The outstanding notes are fully and unconditionally guaranteed by the Guarantor Subsidiaries on a joint and several basis.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Set forth below are condensed consolidating financial statements presenting the financial position, results of operations, comprehensive income, and cash flows of (i) the Parent Company, (ii) the Guarantor Subsidiaries on a combined basis (as such guarantees are joint and several), (iii) the direct and indirect non-guarantor subsidiaries of the Parent Company (the "Non-Guarantor Subsidiaries") on a combined basis and (iv) reclassifications and eliminations necessary to arrive at the information for the Company on a consolidated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In presenting the condensed consolidating financial statements, the equity method of accounting has been applied to (i) the Parent Company's interests in the Guarantor Subsidiaries and the Non-Guarantor Subsidiaries, and (ii) the Guarantor Subsidiaries' interests in the Non-Guarantor Subsidiaries, even though all such subsidiaries meet the requirements to be consolidated under GAAP. All intercompany balances and transactions between the Parent Company, the Guarantor Subsidiaries and the Non-Guarantor Subsidiaries have been eliminated, as shown in the column "Eliminations."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accounting basis in all subsidiaries, including goodwill and identified intangible assets, have been allocated to the applicable subsidiaries.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360,124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179,466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564,717</w:t>
            </w:r>
          </w:p>
        </w:tc>
        <w:tc>
          <w:tcPr>
            <w:tcW w:w="0" w:type="dxa"/>
            <w:vAlign w:val="bottom"/>
          </w:tcPr>
          <w:p>
            <w:pPr>
              <w:spacing w:after="0"/>
              <w:rPr>
                <w:sz w:val="1"/>
                <w:szCs w:val="1"/>
                <w:color w:val="auto"/>
              </w:rPr>
            </w:pPr>
          </w:p>
        </w:tc>
      </w:tr>
      <w:tr>
        <w:trPr>
          <w:trHeight w:val="157"/>
        </w:trPr>
        <w:tc>
          <w:tcPr>
            <w:tcW w:w="4700" w:type="dxa"/>
            <w:vAlign w:val="bottom"/>
          </w:tcPr>
          <w:p>
            <w:pPr>
              <w:ind w:left="380"/>
              <w:spacing w:after="0" w:line="157" w:lineRule="exact"/>
              <w:rPr>
                <w:sz w:val="20"/>
                <w:szCs w:val="20"/>
                <w:color w:val="auto"/>
              </w:rPr>
            </w:pPr>
            <w:r>
              <w:rPr>
                <w:rFonts w:ascii="Arial" w:cs="Arial" w:eastAsia="Arial" w:hAnsi="Arial"/>
                <w:sz w:val="14"/>
                <w:szCs w:val="14"/>
                <w:color w:val="auto"/>
                <w:w w:val="97"/>
              </w:rPr>
              <w:t>Accounts receivable, trade (including amounts due from related parties,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ind w:left="720"/>
              <w:spacing w:after="0" w:line="149" w:lineRule="exact"/>
              <w:rPr>
                <w:sz w:val="20"/>
                <w:szCs w:val="20"/>
                <w:color w:val="auto"/>
              </w:rPr>
            </w:pPr>
            <w:r>
              <w:rPr>
                <w:rFonts w:ascii="Arial" w:cs="Arial" w:eastAsia="Arial" w:hAnsi="Arial"/>
                <w:sz w:val="14"/>
                <w:szCs w:val="14"/>
                <w:color w:val="auto"/>
              </w:rPr>
              <w:t>net,</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720"/>
              <w:spacing w:after="0"/>
              <w:rPr>
                <w:sz w:val="20"/>
                <w:szCs w:val="20"/>
                <w:color w:val="auto"/>
              </w:rPr>
            </w:pPr>
            <w:r>
              <w:rPr>
                <w:rFonts w:ascii="Arial" w:cs="Arial" w:eastAsia="Arial" w:hAnsi="Arial"/>
                <w:sz w:val="14"/>
                <w:szCs w:val="14"/>
                <w:color w:val="auto"/>
              </w:rPr>
              <w:t>less allowance for doubtful accounts)</w:t>
            </w: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544,083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233,867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777,950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308,039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162,215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470,254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184,253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20,335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(88,193)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118,569</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1,396,499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595,883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(88,193)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1,931,490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Property and equipment, net of accumulated depreciation</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158,651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66,817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225,468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3,590,449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1,584,454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(5,174,903)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980,299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172,152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1,152,451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19,331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20,191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163,886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305,871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469,757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65,626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639,756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705,382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21,677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167,548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467,993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635,541</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3,617,750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4,582,280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2,271,312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(5,309,385)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5,161,957</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33,716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63,786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97,508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56,373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153,174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240,892</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291,059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65,098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356,157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61,289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9,375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9,375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4,649</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65,754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513,432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278,877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(88,193)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769,870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385,640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397,592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3,095,628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3,095,628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22,422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142,041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12,069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154,110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51,321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91,008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82,120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(46,289)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178,160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3,354,744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991,831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405,689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(134,482)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4,617,782</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252,536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252,536</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AMC Networks stockholders' equity</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263,006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3,590,449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1,584,454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(5,174,903)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263,006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28,633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263,006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3,590,449</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1,613,087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(5,174,903)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291,639</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3,617,750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4,582,280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2,271,312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(5,309,385)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5,161,957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391,248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167,215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558,783</w:t>
            </w:r>
          </w:p>
        </w:tc>
        <w:tc>
          <w:tcPr>
            <w:tcW w:w="0" w:type="dxa"/>
            <w:vAlign w:val="bottom"/>
          </w:tcPr>
          <w:p>
            <w:pPr>
              <w:spacing w:after="0"/>
              <w:rPr>
                <w:sz w:val="1"/>
                <w:szCs w:val="1"/>
                <w:color w:val="auto"/>
              </w:rPr>
            </w:pPr>
          </w:p>
        </w:tc>
      </w:tr>
      <w:tr>
        <w:trPr>
          <w:trHeight w:val="157"/>
        </w:trPr>
        <w:tc>
          <w:tcPr>
            <w:tcW w:w="4700" w:type="dxa"/>
            <w:vAlign w:val="bottom"/>
          </w:tcPr>
          <w:p>
            <w:pPr>
              <w:ind w:left="380"/>
              <w:spacing w:after="0" w:line="157" w:lineRule="exact"/>
              <w:rPr>
                <w:sz w:val="20"/>
                <w:szCs w:val="20"/>
                <w:color w:val="auto"/>
              </w:rPr>
            </w:pPr>
            <w:r>
              <w:rPr>
                <w:rFonts w:ascii="Arial" w:cs="Arial" w:eastAsia="Arial" w:hAnsi="Arial"/>
                <w:sz w:val="14"/>
                <w:szCs w:val="14"/>
                <w:color w:val="auto"/>
                <w:w w:val="97"/>
              </w:rPr>
              <w:t>Accounts receivable, trade (including amounts due from related parties,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ind w:left="720"/>
              <w:spacing w:after="0" w:line="149" w:lineRule="exact"/>
              <w:rPr>
                <w:sz w:val="20"/>
                <w:szCs w:val="20"/>
                <w:color w:val="auto"/>
              </w:rPr>
            </w:pPr>
            <w:r>
              <w:rPr>
                <w:rFonts w:ascii="Arial" w:cs="Arial" w:eastAsia="Arial" w:hAnsi="Arial"/>
                <w:sz w:val="14"/>
                <w:szCs w:val="14"/>
                <w:color w:val="auto"/>
              </w:rPr>
              <w:t>net,</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720"/>
              <w:spacing w:after="0"/>
              <w:rPr>
                <w:sz w:val="20"/>
                <w:szCs w:val="20"/>
                <w:color w:val="auto"/>
              </w:rPr>
            </w:pPr>
            <w:r>
              <w:rPr>
                <w:rFonts w:ascii="Arial" w:cs="Arial" w:eastAsia="Arial" w:hAnsi="Arial"/>
                <w:sz w:val="14"/>
                <w:szCs w:val="14"/>
                <w:color w:val="auto"/>
              </w:rPr>
              <w:t>less allowance for doubtful accounts)</w:t>
            </w: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581,270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194,621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775,891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304,149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453,450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183,815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91,726</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1,460,482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519,677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1,879,850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Property and equipment, net of accumulated depreciation</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136,032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47,482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183,514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3,443,013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934,612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(4,377,625)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1,128,021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191,258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1,319,279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489,939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29,346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29,924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170,554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457,242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66,609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628,549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695,158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142,115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305,822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447,937</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3,447,093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4,557,710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2,000,571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(4,972,389)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5,032,985</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50,282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51,565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102,197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179,003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136,770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263,076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262,004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65,545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327,549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46,433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4,847</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52,042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521,758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274,691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744,102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511,996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534,980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3,099,257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3,099,257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26,277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114,717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109,698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46,133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77,198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503,166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(490,375)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136,122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3,312,149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1,114,697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818,354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(594,764)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4,650,436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218,604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218,604</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AMC Networks stockholders' equity</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134,944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3,443,013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934,612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(4,377,625)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134,944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29,001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134,944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3,443,013</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963,613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(4,377,625)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163,945</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3,447,093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4,557,710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2,000,571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(4,972,389)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5,032,985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485,737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214,150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696,875</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216,253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130,901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346,398</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106,068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52,431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156,242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11,297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22,011</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charges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4,486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4,486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335,893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199,396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532,276</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149,844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164,599</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(38,316)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(33,035)</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 (loss)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187,659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37,704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(225,363)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28,651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28,762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149,242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40,095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31,754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(225,364)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(4,273)</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149,242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189,939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160,326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(37,985)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(43,666)</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111,257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187,659</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43,107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(225,363)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116,660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(5,403)</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187,659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37,704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(225,363)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111,257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494,563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157,346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648,023</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232,432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91,142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322,743</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99,481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42,352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138,688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10,072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20,938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and related charges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11,036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11,036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(credit)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341,975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156,670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494,669</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152,588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153,354</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(34,403)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(31,810)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171,490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10,784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(182,274)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extinguishment of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13,830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12,420</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133,007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21,083</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5,880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(182,364)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(22,394)</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133,007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173,671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6,556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(182,274)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130,960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(40,124)</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87,002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171,490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14,618</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(182,274)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90,836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87,002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171,490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10,784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(182,274)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87,002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63"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163" w:gutter="0" w:footer="0" w:header="0"/>
          <w:type w:val="continuous"/>
        </w:sectPr>
      </w:pPr>
    </w:p>
    <w:bookmarkStart w:id="28" w:name="page29"/>
    <w:bookmarkEnd w:id="2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1,609,916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600,542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2,199,083</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687,055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359,165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1,043,572</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348,590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154,206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494,067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64,034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charges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4,486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4,486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1,071,196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549,479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(11,377)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1,609,298</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538,720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589,785</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(113,057)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(100,154)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607,374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51,010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(658,384)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32,596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30,989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494,269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75,243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(658,386)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(69,165)</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494,269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613,963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70,772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(658,384)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520,620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(119,961)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(6,589)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(133,092)</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374,308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607,374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64,230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(658,384)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387,528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(13,220)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(13,220)</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Parent Company's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374,308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607,374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(658,384)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374,308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1,610,247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480,153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2,078,757</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694,336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264,231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956,200</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335,585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138,669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464,670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30,399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65,037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and related charges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28,148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28,148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2,649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3,887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1,062,969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466,924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1,517,942</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547,278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560,815</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(93,548)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30,531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(85,768)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592,012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19,610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(611,622)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extinguishment of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42,090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42,448</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494,041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52,226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19,339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(611,930)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(46,324)</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494,041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599,504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32,568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(611,622)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514,491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(168,225)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(173,399)</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325,816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592,012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34,886</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(611,622)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341,092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325,816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592,012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19,610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(611,622)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325,816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111,257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187,659</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43,107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(225,363)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116,660</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(6,094)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6,094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(6,094)</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(6,094)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6,094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(6,094)</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105,163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187,659</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37,013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(219,269)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110,566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(5,218)</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105,163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187,659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(219,269)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105,348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87,002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171,490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14,618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(182,274)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90,836</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15,791</w:t>
            </w: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Unrealized loss on interest rate swaps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 gain on available for sale securities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6,596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6,596</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22,213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22,213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(2,363)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(2,363)</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19,850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19,850</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106,852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171,490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30,409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(198,065)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110,686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(4,633)</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106,852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171,490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(198,065)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106,053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374,308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607,374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64,230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(658,384)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387,528</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(32,679)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(32,679)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32,679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(32,679)</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(32,679)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32,679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(32,679)</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341,629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607,374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31,551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(625,705)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354,849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(11,954)</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341,629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607,374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(625,705)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342,895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325,816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592,012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34,886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(611,622)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341,092</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63,475</w:t>
            </w: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Unrealized loss on interest rate swaps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 gain on available for sale securities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9,534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9,534</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72,974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63,475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72,974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(3,495)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(3,495)</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69,479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63,475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69,479</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395,295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592,012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98,361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(675,097)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410,571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(17,997)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(17,997)</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395,295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592,012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(675,097)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392,574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(used in)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426,876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1,180,996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(477,659)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(658,401)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471,812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(51,695)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(60,774)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Return of capital from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Investment in and loans to investees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(90,080)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(90,080)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for acquisition of a business, net of cash acquired</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(129,968)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(1,798,987)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1,040,871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888,084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(used in) provided by investing activities</w:t>
            </w: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(129,968)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(1,851,357)</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907,356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888,084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(185,885)</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Deemed repurchases of restricted stock units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(267,400)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(267,400)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stock option exercises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(3,878)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(9,333)</w:t>
            </w:r>
          </w:p>
        </w:tc>
        <w:tc>
          <w:tcPr>
            <w:tcW w:w="0" w:type="dxa"/>
            <w:vAlign w:val="bottom"/>
          </w:tcPr>
          <w:p>
            <w:pPr>
              <w:spacing w:after="0"/>
              <w:rPr>
                <w:sz w:val="1"/>
                <w:szCs w:val="1"/>
                <w:color w:val="auto"/>
              </w:rPr>
            </w:pPr>
          </w:p>
        </w:tc>
      </w:tr>
      <w:tr>
        <w:trPr>
          <w:trHeight w:val="250"/>
        </w:trPr>
        <w:tc>
          <w:tcPr>
            <w:tcW w:w="4700" w:type="dxa"/>
            <w:vAlign w:val="bottom"/>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(278,817)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(292,028)</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 from operations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18,091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(672,584)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418,709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229,683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6,716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641,460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(406,458)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(229,683)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12,035</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391,248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167,215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558,783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25,127</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360,124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179,466</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564,717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374,873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498,874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(611,888)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273,573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(47,811)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(13,983)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(61,794)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and loans to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(289,891)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(394,117)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429,994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(used in) provided by investing activities</w:t>
            </w: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(289,891)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(441,928)</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197,031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429,994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(104,794)</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the issuance of long-term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1,536,000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1,536,000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Principal payments on long-term debt</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(1,257,965)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(1,257,965)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for financing costs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(10,405)</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Deemed repurchases of restricted stock units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(13,373)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(13,373)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(347,334)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(347,334)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(3,428)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(16,110)</w:t>
            </w:r>
          </w:p>
        </w:tc>
        <w:tc>
          <w:tcPr>
            <w:tcW w:w="0" w:type="dxa"/>
            <w:vAlign w:val="bottom"/>
          </w:tcPr>
          <w:p>
            <w:pPr>
              <w:spacing w:after="0"/>
              <w:rPr>
                <w:sz w:val="1"/>
                <w:szCs w:val="1"/>
                <w:color w:val="auto"/>
              </w:rPr>
            </w:pPr>
          </w:p>
        </w:tc>
      </w:tr>
      <w:tr>
        <w:trPr>
          <w:trHeight w:val="250"/>
        </w:trPr>
        <w:tc>
          <w:tcPr>
            <w:tcW w:w="4700" w:type="dxa"/>
            <w:vAlign w:val="bottom"/>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(93,077)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(17,519)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(112,615)</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 from operations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(8,095)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54,927</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191,226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(181,894)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56,164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7,798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26,885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(201,841)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181,894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14,736</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320,950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159,874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481,389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402,762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149,259</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552,289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113" w:lineRule="exact"/>
        <w:rPr>
          <w:sz w:val="20"/>
          <w:szCs w:val="20"/>
          <w:color w:val="auto"/>
        </w:rPr>
      </w:pPr>
    </w:p>
    <w:p>
      <w:pPr>
        <w:ind w:left="58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level of our revenues;</w:t>
      </w:r>
    </w:p>
    <w:p>
      <w:pPr>
        <w:spacing w:after="0" w:line="117" w:lineRule="exact"/>
        <w:rPr>
          <w:sz w:val="20"/>
          <w:szCs w:val="20"/>
          <w:color w:val="auto"/>
        </w:rPr>
      </w:pPr>
    </w:p>
    <w:p>
      <w:pPr>
        <w:ind w:left="880" w:hanging="310"/>
        <w:spacing w:after="0" w:line="277" w:lineRule="auto"/>
        <w:rPr>
          <w:sz w:val="20"/>
          <w:szCs w:val="20"/>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62" w:lineRule="exact"/>
        <w:rPr>
          <w:sz w:val="20"/>
          <w:szCs w:val="20"/>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and programming industries;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117"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independent film distribution businesses;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independent film content;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 demand for our comedy venues;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30"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 including the impact of the Tax Cuts and Jobs Act and the Bipartisan Budget Act of 2018;</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140" w:lineRule="exact"/>
        <w:rPr>
          <w:rFonts w:ascii="Arial" w:cs="Arial" w:eastAsia="Arial" w:hAnsi="Arial"/>
          <w:sz w:val="16"/>
          <w:szCs w:val="16"/>
          <w:color w:val="auto"/>
        </w:rPr>
      </w:pPr>
    </w:p>
    <w:p>
      <w:pPr>
        <w:ind w:left="820" w:hanging="245"/>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62" w:lineRule="exact"/>
        <w:rPr>
          <w:rFonts w:ascii="Arial" w:cs="Arial" w:eastAsia="Arial" w:hAnsi="Arial"/>
          <w:sz w:val="18"/>
          <w:szCs w:val="18"/>
          <w:color w:val="auto"/>
        </w:rPr>
      </w:pPr>
    </w:p>
    <w:p>
      <w:pPr>
        <w:ind w:left="820" w:right="20" w:hanging="245"/>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businesses;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128" w:lineRule="exact"/>
        <w:rPr>
          <w:rFonts w:ascii="Arial" w:cs="Arial" w:eastAsia="Arial" w:hAnsi="Arial"/>
          <w:sz w:val="17"/>
          <w:szCs w:val="17"/>
          <w:color w:val="auto"/>
        </w:rPr>
      </w:pPr>
    </w:p>
    <w:p>
      <w:pPr>
        <w:ind w:left="820" w:hanging="245"/>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events that are outside our control, such as political unrest in international markets, terrorist attacks, natural disasters and other similar events; and</w:t>
      </w:r>
    </w:p>
    <w:p>
      <w:pPr>
        <w:spacing w:after="0" w:line="140" w:lineRule="exact"/>
        <w:rPr>
          <w:rFonts w:ascii="Arial" w:cs="Arial" w:eastAsia="Arial" w:hAnsi="Arial"/>
          <w:sz w:val="16"/>
          <w:szCs w:val="16"/>
          <w:color w:val="auto"/>
        </w:rPr>
      </w:pPr>
    </w:p>
    <w:p>
      <w:pPr>
        <w:ind w:left="1060" w:hanging="485"/>
        <w:spacing w:after="0" w:line="277" w:lineRule="auto"/>
        <w:tabs>
          <w:tab w:leader="none" w:pos="8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2017 Annual Report on Form 10-K (the "2017 Form 10-K"), as filed with the Securities and Exchange Commission ("SEC").</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2" w:right="239" w:bottom="1440" w:gutter="0" w:footer="0" w:header="0"/>
        </w:sectPr>
      </w:pPr>
    </w:p>
    <w:bookmarkStart w:id="33" w:name="page34"/>
    <w:bookmarkEnd w:id="33"/>
    <w:p>
      <w:pPr>
        <w:jc w:val="both"/>
        <w:ind w:firstLine="432"/>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Management's discussion and analysis, or MD&amp;A, of our results of operations and financial condition is provided as a supplement to, and should be read in conjunction with, the unaudited condensed consolidated financial statements and notes thereto included elsewhere herein and our 2017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 are</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in understanding our results of operations and financial condition and in anticipating future trends.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and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the three and nine months ended September 30, 2017. Our discussion is presented on both a consolidated and operating segment basis. Our two operating segments are: (i) National Networks and (ii) International and Other.</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This section provides a discussion of our financial condition as of September 30, 2018, as well as an analysis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for the nine months ended September 30, 2018 and 2017. The discussion of our financial condition and liquidity includes summaries of (i) our primary sources of liquidity and (ii) our contractual obligations that existed at September 30, 2018 as compared to December 31, 2017.</w:t>
      </w:r>
    </w:p>
    <w:p>
      <w:pPr>
        <w:spacing w:after="0" w:line="1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225" w:lineRule="exact"/>
        <w:rPr>
          <w:sz w:val="20"/>
          <w:szCs w:val="20"/>
          <w:color w:val="auto"/>
        </w:rPr>
      </w:pPr>
    </w:p>
    <w:p>
      <w:pPr>
        <w:jc w:val="both"/>
        <w:ind w:left="660" w:hanging="328"/>
        <w:spacing w:after="0" w:line="302" w:lineRule="auto"/>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five national programming networks, AMC Studios operations and AMC Broadcasting &amp;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Our national programming networks are AMC, WE tv, BBC AMERICA, IFC and SundanceTV in the U.S.; and AMC and IFC in Canada.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154" w:lineRule="exact"/>
        <w:rPr>
          <w:rFonts w:ascii="Arial" w:cs="Arial" w:eastAsia="Arial" w:hAnsi="Arial"/>
          <w:sz w:val="16"/>
          <w:szCs w:val="16"/>
          <w:i w:val="1"/>
          <w:iCs w:val="1"/>
          <w:color w:val="auto"/>
        </w:rPr>
      </w:pPr>
    </w:p>
    <w:p>
      <w:pPr>
        <w:jc w:val="both"/>
        <w:ind w:left="660" w:hanging="328"/>
        <w:spacing w:after="0" w:line="276" w:lineRule="auto"/>
        <w:tabs>
          <w:tab w:leader="none" w:pos="66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International and Other</w:t>
      </w:r>
      <w:r>
        <w:rPr>
          <w:rFonts w:ascii="Arial" w:cs="Arial" w:eastAsia="Arial" w:hAnsi="Arial"/>
          <w:sz w:val="17"/>
          <w:szCs w:val="17"/>
          <w:color w:val="auto"/>
        </w:rPr>
        <w:t>: Principally includes AMC Networks International (AMCNI), the Company's international programming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a portfolio of channels in Europe, Latin America, the Middle East and parts of Asia and Africa; IFC Films, the Company's independent film distribution business; Levity Entertainment Group ("Levity") (acquired April 20, 2018, see discussion below), our production services and comedy venues company; and our subscription streaming services, Sundance Now and Shudder. AMCNI – DMC, the broadcast solutions unit of certain networks of AMCNI and third-party networks is included through the date sold, July 12,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7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02"/>
        </w:trPr>
        <w:tc>
          <w:tcPr>
            <w:tcW w:w="47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Revenues, net</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560,321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541,442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1,820,638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1,761,512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151,772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112,760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409,873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330,401</w:t>
            </w: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696,875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648,023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2,199,083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2,078,757</w:t>
            </w:r>
          </w:p>
        </w:tc>
        <w:tc>
          <w:tcPr>
            <w:tcW w:w="0" w:type="dxa"/>
            <w:vAlign w:val="bottom"/>
          </w:tcPr>
          <w:p>
            <w:pPr>
              <w:spacing w:after="0"/>
              <w:rPr>
                <w:sz w:val="1"/>
                <w:szCs w:val="1"/>
                <w:color w:val="auto"/>
              </w:rPr>
            </w:pPr>
          </w:p>
        </w:tc>
      </w:tr>
      <w:tr>
        <w:trPr>
          <w:trHeight w:val="20"/>
        </w:trPr>
        <w:tc>
          <w:tcPr>
            <w:tcW w:w="470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188,107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179,624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647,965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640,855</w:t>
            </w: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(44,899)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(69,222)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Consolidated operating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164,599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153,354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589,785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560,815</w:t>
            </w:r>
          </w:p>
        </w:tc>
        <w:tc>
          <w:tcPr>
            <w:tcW w:w="0" w:type="dxa"/>
            <w:vAlign w:val="bottom"/>
          </w:tcPr>
          <w:p>
            <w:pPr>
              <w:spacing w:after="0"/>
              <w:rPr>
                <w:sz w:val="1"/>
                <w:szCs w:val="1"/>
                <w:color w:val="auto"/>
              </w:rPr>
            </w:pPr>
          </w:p>
        </w:tc>
      </w:tr>
      <w:tr>
        <w:trPr>
          <w:trHeight w:val="190"/>
        </w:trPr>
        <w:tc>
          <w:tcPr>
            <w:tcW w:w="470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AOI</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210,417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199,694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715,970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699,834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10,283</w:t>
            </w: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AOI</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211,169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200,409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713,450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699,299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share-based compensation expense or benefit, impairment and related charges (including gains or losses on sales or dispositions of businesses), and restructuring expense or credit.</w:t>
      </w:r>
    </w:p>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164,599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153,354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589,785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560,815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16,934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13,817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52,006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41,412</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11,036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28,148</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65,037</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AOI</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211,169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200,409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713,450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699,299</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5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35" w:name="page36"/>
    <w:bookmarkEnd w:id="35"/>
    <w:p>
      <w:pPr>
        <w:ind w:left="420"/>
        <w:spacing w:after="0"/>
        <w:rPr>
          <w:sz w:val="20"/>
          <w:szCs w:val="20"/>
          <w:color w:val="auto"/>
        </w:rPr>
      </w:pPr>
      <w:r>
        <w:rPr>
          <w:rFonts w:ascii="Arial" w:cs="Arial" w:eastAsia="Arial" w:hAnsi="Arial"/>
          <w:sz w:val="18"/>
          <w:szCs w:val="18"/>
          <w:b w:val="1"/>
          <w:bCs w:val="1"/>
          <w:i w:val="1"/>
          <w:iCs w:val="1"/>
          <w:color w:val="auto"/>
        </w:rPr>
        <w:t>Items Impacting Comparability</w:t>
      </w:r>
    </w:p>
    <w:p>
      <w:pPr>
        <w:spacing w:after="0" w:line="22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On April 20, 2018, the Company acquired a 57% controlling interest in Levity, a media company that owns and operates comedy venues as well as produces original content for distribution, for a total purchase price of $48.4 million. The operating results of Levity are included in our International and Other segment in the consolidated statement of income from the acquisition date through September 30, 2018.</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July 12, 2017, the AMCNI – DMC business was sold.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National Networks</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our National Networks segment, which accounted for approximately 80% of our consolidated revenues for the nine months ended September 30, 2018, we earn revenue principally from the distribution of our programming and the sale of advertising. Distribution revenue primarily includes subscription fees paid by distributors to carry our programming networks and license fees paid to us for the licensing of original programming for digital, foreign and home video distribution. Subscription fees paid by distributors represent the largest component of distribution revenue. Our subscription revenues are generally based on a per subscriber fee under multi-year contracts, commonly referred to as "affiliation agreements," which generally provide for annual rate increases. The specific subscription revenues we earn vary from period to period, distributor to distributor and also vary among our networks, but are generally based upon the number of each distributor’s subscribers who receive our programming, referred to as viewing subscribers. The terms of certain other affiliation agreements provide that the subscription fee revenues we earn are a fixed contractual monthly fee, which could be adjusted for acquisitions and dispositions of multichannel video programming systems by the distributor. Content licensing revenue from the licensing of original programming for distribution is recognized upon availability or distribution by the licensee.</w:t>
      </w:r>
    </w:p>
    <w:p>
      <w:pPr>
        <w:spacing w:after="0" w:line="17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Under affiliation agreements with our distributors, we have the right to sell a specified amount of national advertising time on our programming networks. Our advertising revenues are more variable than subscription revenues because the majority of our advertising is sold on a short-term basis, not under long-term contracts. Our advertising arrangements with advertisers provide for a set number of advertising units to air over a specific period of time at a negotiated price per unit for which our programming networks generally guarantee specified viewer ratings for their programming.</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principal goal is to increase our revenues by increasing distribution and penetration of our services, and increasing our ratings. To do this, we must continue to contract for and produce high-quality, attractive programming. As competition for programming increases and alternative distribution technologies continue to expand in the industry, costs for content acquisition and original programming may increase. There is a concentration of subscribers in the hands of a few distributors, which could create disparate bargaining power between the largest distributors and us by giving those distributors greater leverage in negotiating the price and other terms of affiliation agreements.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Programming expense, included in technical and operating expense, represents the largest expense of the National Networks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such as origination, transmission, uplinking and encryption.</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To an increasing extent, the success of our business depends on original programming, both scripted and unscripted, across all of our networks. The timing of exhibition and distribution of original programming varies from period to period, which results in greater variability in our revenues, earnings and cash flows from operating activities. We will continue to increase our investment in programming across all of our channels.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w:t>
      </w:r>
    </w:p>
    <w:p>
      <w:pPr>
        <w:spacing w:after="0" w:line="17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no future programming usefulness based on actual demand or market conditions, a write-off of the unamortized cost is recorded in technical and operating expense. Program rights write-offs were $11.4 million and $8.0 million for the three months ended September 30, 2018 and September 30, 2017, respectively. Program rights write-offs were $19.8 million and $9.7 million for the nine months ended September 30, 2018 and September 30, 2017, respectively.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International and Other segment primarily includes the operations of AMCNI, Levity, IFC Films and our subscription streaming services (i.e.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Sundance Now and Shudder). The AMCNI – DMC business was sold on July 12, 2017.</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76" w:right="239" w:bottom="1440" w:gutter="0" w:footer="0" w:header="0"/>
        </w:sectPr>
      </w:pPr>
    </w:p>
    <w:bookmarkStart w:id="36" w:name="page37"/>
    <w:bookmarkEnd w:id="36"/>
    <w:p>
      <w:pPr>
        <w:jc w:val="both"/>
        <w:ind w:firstLine="432"/>
        <w:spacing w:after="0" w:line="269" w:lineRule="auto"/>
        <w:rPr>
          <w:sz w:val="20"/>
          <w:szCs w:val="20"/>
          <w:color w:val="auto"/>
        </w:rPr>
      </w:pPr>
      <w:r>
        <w:rPr>
          <w:rFonts w:ascii="Arial" w:cs="Arial" w:eastAsia="Arial" w:hAnsi="Arial"/>
          <w:sz w:val="17"/>
          <w:szCs w:val="17"/>
          <w:color w:val="auto"/>
        </w:rPr>
        <w:t>In our International and Other segment, which accounted for approximately 20% of our consolidated revenues for the nine months ended September 30, 2018, we earn revenue principally from the international distribution of programming and, to a lesser extent, the sale of advertising. Distribution revenue primarily includes subscription fees paid by distributors to carry our programming networks and production services revenue generated from our Levity business. Our subscription revenues are generally based on either a per-subscriber fee or a fixed contractual annual fee, under multi-year affiliation agreements, which may provide for annual rate increases. Our production services revenues are based on master production agreements whereby a third-party engages us to produce content on its behalf. Production services revenues are recognized based on the percentage of cost incurred to total estimated cost of the contract. For the nine months ended September 30, 2018, distribution revenues represented 84% of the revenues of the International and Other segment. Most of these revenues are derived from the distribution of our programming networks primarily in Europe and to a lesser extent, Latin America, the Middle East and parts of Asia and Africa. The International and Other segment also includes IFC Films, our independent film distribution business where revenues are derived principally from theatrical, digital and licensing distribution. Our subscription streaming services are available in the United States, Canada and parts of Europe.</w:t>
      </w:r>
    </w:p>
    <w:p>
      <w:pPr>
        <w:spacing w:after="0" w:line="18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Programming, program operating costs and production costs incurred to produce content for third parties are included in technical and operating expense, and represent the largest expense of the International and Other segment and primarily consist of amortization of acquired content, costs of dubbing and sub-titling of programs, production costs,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view our investments in international expansion and our various developing on-line content distribution initiatives as important long-term strategies. We may experience an adverse impact to the International and Other segment's operating results and cash flows in periods of increased investment by the Company in these aforementioned initiatives.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allocate corporate overhead within operating expenses to each segment based upon its proportionate estimated usage of services. The segment financial information set forth below, including the discussion related to individual line items, does not reflect inter-segment eliminations unless specifically indicated.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Capital and credit market disruptions could cause economic downturns, which may lead to lower demand for our products, such as lower demand for television advertising and a decrease in the number of subscribers receiving our programming networks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7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majority-owned or controlled subsidiaries are reflected in net income attributable to noncontrolling interests in our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Compared to Three Months Ended September 30,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1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696,875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648,023</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48,852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Technical and operating (excluding depreciation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346,398</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322,743</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23,655</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156,242</w:t>
            </w:r>
          </w:p>
        </w:tc>
        <w:tc>
          <w:tcPr>
            <w:tcW w:w="1380" w:type="dxa"/>
            <w:vAlign w:val="bottom"/>
            <w:gridSpan w:val="3"/>
          </w:tcPr>
          <w:p>
            <w:pPr>
              <w:jc w:val="right"/>
              <w:ind w:right="164"/>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138,688</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17,554</w:t>
            </w:r>
          </w:p>
        </w:tc>
        <w:tc>
          <w:tcPr>
            <w:tcW w:w="1220" w:type="dxa"/>
            <w:vAlign w:val="bottom"/>
            <w:gridSpan w:val="2"/>
          </w:tcPr>
          <w:p>
            <w:pPr>
              <w:jc w:val="right"/>
              <w:ind w:right="139"/>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22,011</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4,486</w:t>
            </w:r>
          </w:p>
        </w:tc>
        <w:tc>
          <w:tcPr>
            <w:tcW w:w="1380" w:type="dxa"/>
            <w:vAlign w:val="bottom"/>
            <w:gridSpan w:val="3"/>
          </w:tcPr>
          <w:p>
            <w:pPr>
              <w:jc w:val="right"/>
              <w:ind w:right="16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11,036</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(6,550)</w:t>
            </w:r>
          </w:p>
        </w:tc>
        <w:tc>
          <w:tcPr>
            <w:tcW w:w="1220" w:type="dxa"/>
            <w:vAlign w:val="bottom"/>
            <w:gridSpan w:val="2"/>
          </w:tcPr>
          <w:p>
            <w:pPr>
              <w:jc w:val="right"/>
              <w:ind w:right="79"/>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37"/>
        </w:trPr>
        <w:tc>
          <w:tcPr>
            <w:tcW w:w="39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532,276</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4"/>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494,669</w:t>
            </w:r>
          </w:p>
        </w:tc>
        <w:tc>
          <w:tcPr>
            <w:tcW w:w="20" w:type="dxa"/>
            <w:vAlign w:val="bottom"/>
            <w:tcBorders>
              <w:top w:val="single" w:sz="8" w:color="auto"/>
            </w:tcBorders>
          </w:tcPr>
          <w:p>
            <w:pPr>
              <w:spacing w:after="0"/>
              <w:rPr>
                <w:sz w:val="20"/>
                <w:szCs w:val="20"/>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37,607</w:t>
            </w:r>
          </w:p>
        </w:tc>
        <w:tc>
          <w:tcPr>
            <w:tcW w:w="1220" w:type="dxa"/>
            <w:vAlign w:val="bottom"/>
            <w:gridSpan w:val="2"/>
          </w:tcPr>
          <w:p>
            <w:pPr>
              <w:jc w:val="right"/>
              <w:ind w:right="139"/>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164,599</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153,354</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11,245</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(33,035)</w:t>
            </w:r>
          </w:p>
        </w:tc>
        <w:tc>
          <w:tcPr>
            <w:tcW w:w="1380" w:type="dxa"/>
            <w:vAlign w:val="bottom"/>
            <w:tcBorders>
              <w:bottom w:val="single" w:sz="8" w:color="CCEEFF"/>
            </w:tcBorders>
            <w:gridSpan w:val="3"/>
            <w:shd w:val="clear" w:color="auto" w:fill="CCEEFF"/>
          </w:tcPr>
          <w:p>
            <w:pPr>
              <w:jc w:val="right"/>
              <w:ind w:right="10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(31,810)</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(3,004)</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3,004</w:t>
            </w:r>
          </w:p>
        </w:tc>
        <w:tc>
          <w:tcPr>
            <w:tcW w:w="120" w:type="dxa"/>
            <w:vAlign w:val="bottom"/>
          </w:tcPr>
          <w:p>
            <w:pPr>
              <w:spacing w:after="0"/>
              <w:rPr>
                <w:sz w:val="21"/>
                <w:szCs w:val="21"/>
                <w:color w:val="auto"/>
              </w:rPr>
            </w:pPr>
          </w:p>
        </w:tc>
        <w:tc>
          <w:tcPr>
            <w:tcW w:w="1100" w:type="dxa"/>
            <w:vAlign w:val="bottom"/>
          </w:tcPr>
          <w:p>
            <w:pPr>
              <w:jc w:val="right"/>
              <w:ind w:right="13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Miscellaneous, net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28,762</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12,420</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16,342</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37"/>
        </w:trPr>
        <w:tc>
          <w:tcPr>
            <w:tcW w:w="394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(4,273)</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0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(22,394)</w:t>
            </w:r>
          </w:p>
        </w:tc>
        <w:tc>
          <w:tcPr>
            <w:tcW w:w="20" w:type="dxa"/>
            <w:vAlign w:val="bottom"/>
            <w:tcBorders>
              <w:top w:val="single" w:sz="8" w:color="auto"/>
            </w:tcBorders>
          </w:tcPr>
          <w:p>
            <w:pPr>
              <w:spacing w:after="0"/>
              <w:rPr>
                <w:sz w:val="20"/>
                <w:szCs w:val="20"/>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18,121</w:t>
            </w:r>
          </w:p>
        </w:tc>
        <w:tc>
          <w:tcPr>
            <w:tcW w:w="1220" w:type="dxa"/>
            <w:vAlign w:val="bottom"/>
            <w:gridSpan w:val="2"/>
          </w:tcPr>
          <w:p>
            <w:pPr>
              <w:jc w:val="right"/>
              <w:ind w:right="79"/>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Net income from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160,326</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130,960</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29,366</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(43,666)</w:t>
            </w:r>
          </w:p>
        </w:tc>
        <w:tc>
          <w:tcPr>
            <w:tcW w:w="1380" w:type="dxa"/>
            <w:vAlign w:val="bottom"/>
            <w:gridSpan w:val="3"/>
          </w:tcPr>
          <w:p>
            <w:pPr>
              <w:jc w:val="right"/>
              <w:ind w:right="10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(40,124)</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(3,542)</w:t>
            </w:r>
          </w:p>
        </w:tc>
        <w:tc>
          <w:tcPr>
            <w:tcW w:w="1220" w:type="dxa"/>
            <w:vAlign w:val="bottom"/>
            <w:gridSpan w:val="2"/>
          </w:tcPr>
          <w:p>
            <w:pPr>
              <w:jc w:val="right"/>
              <w:ind w:right="139"/>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116,660</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90,836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25,824</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w w:val="98"/>
              </w:rPr>
              <w:t>Net income attributable to noncontrolling interests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(5,403)</w:t>
            </w:r>
          </w:p>
        </w:tc>
        <w:tc>
          <w:tcPr>
            <w:tcW w:w="1380" w:type="dxa"/>
            <w:vAlign w:val="bottom"/>
            <w:gridSpan w:val="3"/>
          </w:tcPr>
          <w:p>
            <w:pPr>
              <w:jc w:val="right"/>
              <w:ind w:right="10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(3,834)</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40.9 %</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111,257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87,002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24,255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2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3"/>
          </w:tcPr>
          <w:p>
            <w:pPr>
              <w:jc w:val="right"/>
              <w:ind w:right="52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38" w:name="page39"/>
    <w:bookmarkEnd w:id="38"/>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001"/>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2"/>
                <w:szCs w:val="12"/>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560,321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541,442</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18,879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256,797</w:t>
            </w:r>
          </w:p>
        </w:tc>
        <w:tc>
          <w:tcPr>
            <w:tcW w:w="1380" w:type="dxa"/>
            <w:vAlign w:val="bottom"/>
            <w:tcBorders>
              <w:bottom w:val="single" w:sz="8" w:color="CCEEFF"/>
            </w:tcBorders>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250,541</w:t>
            </w:r>
          </w:p>
        </w:tc>
        <w:tc>
          <w:tcPr>
            <w:tcW w:w="13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6,256</w:t>
            </w:r>
          </w:p>
        </w:tc>
        <w:tc>
          <w:tcPr>
            <w:tcW w:w="13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106,967</w:t>
            </w:r>
          </w:p>
        </w:tc>
        <w:tc>
          <w:tcPr>
            <w:tcW w:w="1380" w:type="dxa"/>
            <w:vAlign w:val="bottom"/>
            <w:gridSpan w:val="3"/>
          </w:tcPr>
          <w:p>
            <w:pPr>
              <w:jc w:val="right"/>
              <w:ind w:right="12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102,805</w:t>
            </w:r>
          </w:p>
        </w:tc>
        <w:tc>
          <w:tcPr>
            <w:tcW w:w="1360" w:type="dxa"/>
            <w:vAlign w:val="bottom"/>
            <w:gridSpan w:val="3"/>
          </w:tcPr>
          <w:p>
            <w:pPr>
              <w:jc w:val="right"/>
              <w:ind w:right="14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4,162</w:t>
            </w:r>
          </w:p>
        </w:tc>
        <w:tc>
          <w:tcPr>
            <w:tcW w:w="1340" w:type="dxa"/>
            <w:vAlign w:val="bottom"/>
            <w:gridSpan w:val="2"/>
          </w:tcPr>
          <w:p>
            <w:pPr>
              <w:jc w:val="right"/>
              <w:ind w:right="15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380" w:type="dxa"/>
            <w:vAlign w:val="bottom"/>
            <w:tcBorders>
              <w:bottom w:val="single" w:sz="8" w:color="CCEEFF"/>
            </w:tcBorders>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3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3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Restructuring credit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2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188,107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179,624</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13,860</w:t>
            </w:r>
          </w:p>
        </w:tc>
        <w:tc>
          <w:tcPr>
            <w:tcW w:w="1380" w:type="dxa"/>
            <w:vAlign w:val="bottom"/>
            <w:gridSpan w:val="3"/>
          </w:tcPr>
          <w:p>
            <w:pPr>
              <w:jc w:val="right"/>
              <w:ind w:right="12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11,598</w:t>
            </w:r>
          </w:p>
        </w:tc>
        <w:tc>
          <w:tcPr>
            <w:tcW w:w="1360" w:type="dxa"/>
            <w:vAlign w:val="bottom"/>
            <w:gridSpan w:val="3"/>
          </w:tcPr>
          <w:p>
            <w:pPr>
              <w:jc w:val="right"/>
              <w:ind w:right="14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2,262</w:t>
            </w:r>
          </w:p>
        </w:tc>
        <w:tc>
          <w:tcPr>
            <w:tcW w:w="1340" w:type="dxa"/>
            <w:vAlign w:val="bottom"/>
            <w:gridSpan w:val="2"/>
          </w:tcPr>
          <w:p>
            <w:pPr>
              <w:jc w:val="right"/>
              <w:ind w:right="156"/>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8,450</w:t>
            </w:r>
          </w:p>
        </w:tc>
        <w:tc>
          <w:tcPr>
            <w:tcW w:w="1380" w:type="dxa"/>
            <w:vAlign w:val="bottom"/>
            <w:gridSpan w:val="3"/>
          </w:tcPr>
          <w:p>
            <w:pPr>
              <w:jc w:val="right"/>
              <w:ind w:right="12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8,482</w:t>
            </w:r>
          </w:p>
        </w:tc>
        <w:tc>
          <w:tcPr>
            <w:tcW w:w="1360" w:type="dxa"/>
            <w:vAlign w:val="bottom"/>
            <w:gridSpan w:val="3"/>
          </w:tcPr>
          <w:p>
            <w:pPr>
              <w:jc w:val="right"/>
              <w:ind w:right="14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340" w:type="dxa"/>
            <w:vAlign w:val="bottom"/>
            <w:gridSpan w:val="2"/>
          </w:tcPr>
          <w:p>
            <w:pPr>
              <w:jc w:val="right"/>
              <w:ind w:right="96"/>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210,417</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199,694</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36.9 %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10,723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Networks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3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151,772</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112,760</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39,012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98,045</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70,883</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27,162</w:t>
            </w:r>
          </w:p>
        </w:tc>
        <w:tc>
          <w:tcPr>
            <w:tcW w:w="1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49,290</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35,893</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13,397</w:t>
            </w:r>
          </w:p>
        </w:tc>
        <w:tc>
          <w:tcPr>
            <w:tcW w:w="1440" w:type="dxa"/>
            <w:vAlign w:val="bottom"/>
            <w:gridSpan w:val="2"/>
          </w:tcPr>
          <w:p>
            <w:pPr>
              <w:jc w:val="right"/>
              <w:ind w:right="168"/>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1,105</w:t>
            </w:r>
          </w:p>
        </w:tc>
        <w:tc>
          <w:tcPr>
            <w:tcW w:w="1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4,486</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11,036</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(6,550)</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w:t>
            </w:r>
          </w:p>
        </w:tc>
        <w:tc>
          <w:tcPr>
            <w:tcW w:w="1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(16,749)</w:t>
            </w:r>
          </w:p>
        </w:tc>
        <w:tc>
          <w:tcPr>
            <w:tcW w:w="2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(18,782)</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2,033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855</w:t>
            </w:r>
          </w:p>
        </w:tc>
        <w:tc>
          <w:tcPr>
            <w:tcW w:w="1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3,139</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1,274</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1,865</w:t>
            </w:r>
          </w:p>
        </w:tc>
        <w:tc>
          <w:tcPr>
            <w:tcW w:w="1440" w:type="dxa"/>
            <w:vAlign w:val="bottom"/>
            <w:gridSpan w:val="2"/>
          </w:tcPr>
          <w:p>
            <w:pPr>
              <w:jc w:val="right"/>
              <w:ind w:right="168"/>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13,561</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12,456</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1,105</w:t>
            </w:r>
          </w:p>
        </w:tc>
        <w:tc>
          <w:tcPr>
            <w:tcW w:w="1440" w:type="dxa"/>
            <w:vAlign w:val="bottom"/>
            <w:gridSpan w:val="2"/>
          </w:tcPr>
          <w:p>
            <w:pPr>
              <w:jc w:val="right"/>
              <w:ind w:right="168"/>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3"/>
          </w:tcPr>
          <w:p>
            <w:pPr>
              <w:jc w:val="right"/>
              <w:ind w:right="288"/>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Revenues, net increased $48.9 million to $696.9 million for the three months ended September 30, 2018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The net change by segment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560,321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541,442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18,879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151,772</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112,760</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39,012</w:t>
            </w:r>
          </w:p>
        </w:tc>
        <w:tc>
          <w:tcPr>
            <w:tcW w:w="1320" w:type="dxa"/>
            <w:vAlign w:val="bottom"/>
            <w:gridSpan w:val="2"/>
          </w:tcPr>
          <w:p>
            <w:pPr>
              <w:jc w:val="right"/>
              <w:ind w:right="108"/>
              <w:spacing w:after="0"/>
              <w:rPr>
                <w:sz w:val="20"/>
                <w:szCs w:val="20"/>
                <w:color w:val="auto"/>
              </w:rPr>
            </w:pPr>
            <w:r>
              <w:rPr>
                <w:rFonts w:ascii="Arial" w:cs="Arial" w:eastAsia="Arial" w:hAnsi="Arial"/>
                <w:sz w:val="18"/>
                <w:szCs w:val="18"/>
                <w:color w:val="auto"/>
              </w:rPr>
              <w:t>34.6</w:t>
            </w: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(15,218)</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13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146.3</w:t>
            </w: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696,875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648,023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48,852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National Networks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4"/>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199,714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197,891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1,823</w:t>
            </w: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97"/>
              </w:rPr>
              <w:t>0.9%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360,607</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343,551</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17,056</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5.0</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560,321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541,442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18,879</w:t>
            </w: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97"/>
              </w:rPr>
              <w:t>3.5%</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300" w:hanging="644"/>
        <w:spacing w:after="0" w:line="25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increase of $1.8 million in advertising revenues was primarily driven by increases at IFC, SundanceTV, and WE tv, partially offset by a decrease at AMC due to lower ratings, partially mitigated by pricing. Most of our advertising revenues vary based on the timing of our original programming series and the popularity of our programming as measured by Nielsen. Due to these factors, we expect advertising revenues to vary from quarter to quarter.</w:t>
      </w:r>
    </w:p>
    <w:p>
      <w:pPr>
        <w:spacing w:after="0" w:line="186"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Distribution revenues increased $17.1 million due to an increase in subscription revenues of $14.8 million across all of our networks resulting from an increase in rates. Content licensing revenues increased $2.3 million. Distribution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20,128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20,691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131,644</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92,069</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39,575</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43.0</w:t>
            </w:r>
          </w:p>
        </w:tc>
      </w:tr>
      <w:tr>
        <w:trPr>
          <w:trHeight w:val="27"/>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151,772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112,760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39,012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34.6 %</w:t>
            </w: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0" w:firstLine="405"/>
        <w:spacing w:after="0" w:line="312" w:lineRule="auto"/>
        <w:rPr>
          <w:sz w:val="20"/>
          <w:szCs w:val="20"/>
          <w:color w:val="auto"/>
        </w:rPr>
      </w:pPr>
      <w:r>
        <w:rPr>
          <w:rFonts w:ascii="Arial" w:cs="Arial" w:eastAsia="Arial" w:hAnsi="Arial"/>
          <w:sz w:val="16"/>
          <w:szCs w:val="16"/>
          <w:color w:val="auto"/>
        </w:rPr>
        <w:t>Distribution revenues increased primarily due to a $38.5 million impact from the Levity acquisition and a $2.8 million increase from our subscription streaming services. Foreign currency translation had an unfavorable impact to distribution revenues of $1.7 million. The decrease in advertising revenues of $0.6 million was primarily due to foreign currency translation which had an unfavorable impact of $0.7 million on advertising revenues.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Technical and operating expense (excluding depreciation and amortization) increased $23.7 million to $346.4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as compared to the three months ended September 30, 2017. The net change by segment was as follows:</w:t>
      </w:r>
    </w:p>
    <w:p>
      <w:pPr>
        <w:sectPr>
          <w:pgSz w:w="11900" w:h="16838" w:orient="portrait"/>
          <w:cols w:equalWidth="0" w:num="1">
            <w:col w:w="11420"/>
          </w:cols>
          <w:pgMar w:left="240" w:top="472"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72"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256,797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250,541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6,256</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98,045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70,883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27,162</w:t>
            </w:r>
          </w:p>
        </w:tc>
        <w:tc>
          <w:tcPr>
            <w:tcW w:w="1640" w:type="dxa"/>
            <w:vAlign w:val="bottom"/>
            <w:gridSpan w:val="2"/>
          </w:tcPr>
          <w:p>
            <w:pPr>
              <w:jc w:val="right"/>
              <w:ind w:right="99"/>
              <w:spacing w:after="0"/>
              <w:rPr>
                <w:sz w:val="20"/>
                <w:szCs w:val="20"/>
                <w:color w:val="auto"/>
              </w:rPr>
            </w:pPr>
            <w:r>
              <w:rPr>
                <w:rFonts w:ascii="Arial" w:cs="Arial" w:eastAsia="Arial" w:hAnsi="Arial"/>
                <w:sz w:val="18"/>
                <w:szCs w:val="18"/>
                <w:color w:val="auto"/>
              </w:rPr>
              <w:t>38.3</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(8,444)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n/m</w:t>
            </w:r>
          </w:p>
        </w:tc>
      </w:tr>
      <w:tr>
        <w:trPr>
          <w:trHeight w:val="297"/>
        </w:trPr>
        <w:tc>
          <w:tcPr>
            <w:tcW w:w="5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346,398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322,743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23,655</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
        </w:trPr>
        <w:tc>
          <w:tcPr>
            <w:tcW w:w="5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increase in technical and operating expense was primarily attributable to an increase of $10.8 million in other direct programming costs, partially offset by a decrease of $4.5 million in program rights amortization expense. Program rights amortization expense includes write-offs of $11.4 million for the three months ended September 30, 2018 primarily based on management's assessment of programming usefulness of certain original programming at AMC, as compared to program rights write-offs of $8.0 million for the three months ended September 30, 2017 based on management's assessment of programming usefulness of certain unscripted series at WE tv and scripted series at SundanceTV.</w:t>
      </w:r>
    </w:p>
    <w:p>
      <w:pPr>
        <w:spacing w:after="0" w:line="1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Technical and operating expense increased primarily due to a $25.4 million impact from the acquisition of Levity. In addition, technical and operating expense increased $3.3 million at our subscription streaming services. Foreign currency translation had a favorable impact to the change in technical and operating expense of $1.5 million.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facilities.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Selling, general and administrative expense increased $17.6 million to $156.2 million for the three months ended September 30, 2018, as compared to the three months ended September 30, 2017.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106,967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102,805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49,290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35,893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13,397</w:t>
            </w:r>
          </w:p>
        </w:tc>
        <w:tc>
          <w:tcPr>
            <w:tcW w:w="1640" w:type="dxa"/>
            <w:vAlign w:val="bottom"/>
            <w:gridSpan w:val="2"/>
          </w:tcPr>
          <w:p>
            <w:pPr>
              <w:jc w:val="right"/>
              <w:ind w:right="108"/>
              <w:spacing w:after="0"/>
              <w:rPr>
                <w:sz w:val="20"/>
                <w:szCs w:val="20"/>
                <w:color w:val="auto"/>
              </w:rPr>
            </w:pPr>
            <w:r>
              <w:rPr>
                <w:rFonts w:ascii="Arial" w:cs="Arial" w:eastAsia="Arial" w:hAnsi="Arial"/>
                <w:sz w:val="18"/>
                <w:szCs w:val="18"/>
                <w:color w:val="auto"/>
              </w:rPr>
              <w:t>37.3</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50.0</w:t>
            </w:r>
          </w:p>
        </w:tc>
      </w:tr>
      <w:tr>
        <w:trPr>
          <w:trHeight w:val="297"/>
        </w:trPr>
        <w:tc>
          <w:tcPr>
            <w:tcW w:w="5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156,242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138,688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17,554</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
        </w:trPr>
        <w:tc>
          <w:tcPr>
            <w:tcW w:w="5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Selling, general and administrative expense increased $4.2 million principally as a result of a $2.2 million increase in salaries and benefits, $1.3 million increase in advertising and marketing expense related to the timing of promotion of original programming, and $0.6 million for long-term incentive compensation expense.</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Selling, general and administrative expense increased $13.4 million primarily due to a $10.6 million impact from the acquisition of Levity. In addition, increases in selling, general and administrative expense were due to an increase at AMCNI in selling related expenses of $2.0 million. Foreign currency translation had a favorable impact to the change in selling, general and administrative expense of $0.9 million.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44" w:right="23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and amortization expense increased $1.1 million to $22.0 million for the three months ended September 30, 2018, as compared to the three months ended September 30, 2017. The net change by segment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13,561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12,456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1,105</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8.9</w:t>
            </w: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22,011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20,938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The increase in depreciation and amortization expense was driven by the increase at the International and Other segment related to property and equipment and identifiable intangible assets acquired in connection with the acquisition of Levity and an increase in depreciation expense due to corporate leasehold additions, partially offset by a decrease in amortization expense at AMCNI due to the absence of a write-off of certain identifiable intangible assets associated with termination of distribution in certain territories which occurred during the three months ended September 30, 2017.</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Impairment and related charges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connection with the disposition of a business, which occurred during the three months ended September 30, 2018, AMCNI recognized a $4.4 million charge primarily related to program rights.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July 12, 2017, we completed the sale of our Amsterdam-based media logistics facility, AMCNI – DMC. In connection with the sale, we recognized a pre-tax loss of $11.0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Restructuring expense</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expense of $3.1 million for the three months ended September 30, 2018 at the International and Other segment was due to severance charges incurred related to a management initiative which commenced in the third quarter of 2018, resulting in employee terminations at our corporate headquarters and AMCNI. We expect additional charges in the fourth quarter of 2018.</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Restructuring expense of $1.3 million for the three months ended September 30, 2017 related to charges incurred at AMCNI related to costs associated with the termination of distribution in certain territories.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179,624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2,033</w:t>
            </w:r>
          </w:p>
        </w:tc>
        <w:tc>
          <w:tcPr>
            <w:tcW w:w="1700" w:type="dxa"/>
            <w:vAlign w:val="bottom"/>
            <w:gridSpan w:val="2"/>
          </w:tcPr>
          <w:p>
            <w:pPr>
              <w:jc w:val="right"/>
              <w:ind w:right="88"/>
              <w:spacing w:after="0"/>
              <w:rPr>
                <w:sz w:val="20"/>
                <w:szCs w:val="20"/>
                <w:color w:val="auto"/>
              </w:rPr>
            </w:pPr>
            <w:r>
              <w:rPr>
                <w:rFonts w:ascii="Arial" w:cs="Arial" w:eastAsia="Arial" w:hAnsi="Arial"/>
                <w:sz w:val="18"/>
                <w:szCs w:val="18"/>
                <w:color w:val="auto"/>
              </w:rPr>
              <w:t>(10.8)</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729</w:t>
            </w:r>
          </w:p>
        </w:tc>
        <w:tc>
          <w:tcPr>
            <w:tcW w:w="17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(9.7)</w:t>
            </w:r>
          </w:p>
        </w:tc>
      </w:tr>
      <w:tr>
        <w:trPr>
          <w:trHeight w:val="257"/>
        </w:trPr>
        <w:tc>
          <w:tcPr>
            <w:tcW w:w="50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164,599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153,354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11,245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increase in operating income at the National Networks segment was primarily attributable to an increase in revenues of $18.9 million principally driven by an increase in subscription revenues, partially offset by an increase in technical and operating expense of $6.3 million and an increase in selling, general and administrative expense of $4.2 million.</w:t>
      </w:r>
    </w:p>
    <w:p>
      <w:pPr>
        <w:spacing w:after="0" w:line="18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decrease in operating losses at the International and Other segment was primarily attributable to a decrease in impairment and other charges of $6.6 million and the increase in operating income for the three months ended September 30, 2018 of $1.0 million representing the operating income of Levity. These decreases in operating losses were partially offset by an increase in restructuring expense of $1.8 million, an increase in depreciation expense of $0.9 million due to leasehold improvements, and a decrease in operating results at AMCNI and our subscription streaming services of $2.0 million due to increased investment in content acquisitions. Foreign currency translation did not have a meaningful impact to the change in operating income.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72" w:right="2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b w:val="1"/>
          <w:bCs w:val="1"/>
          <w:color w:val="auto"/>
        </w:rPr>
        <w:t>AOI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164,599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11,245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16,934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13,817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3,117</w:t>
            </w:r>
          </w:p>
        </w:tc>
        <w:tc>
          <w:tcPr>
            <w:tcW w:w="1700" w:type="dxa"/>
            <w:vAlign w:val="bottom"/>
            <w:gridSpan w:val="2"/>
          </w:tcPr>
          <w:p>
            <w:pPr>
              <w:jc w:val="right"/>
              <w:ind w:right="148"/>
              <w:spacing w:after="0"/>
              <w:rPr>
                <w:sz w:val="20"/>
                <w:szCs w:val="20"/>
                <w:color w:val="auto"/>
              </w:rPr>
            </w:pPr>
            <w:r>
              <w:rPr>
                <w:rFonts w:ascii="Arial" w:cs="Arial" w:eastAsia="Arial" w:hAnsi="Arial"/>
                <w:sz w:val="18"/>
                <w:szCs w:val="18"/>
                <w:color w:val="auto"/>
              </w:rPr>
              <w:t>22.6</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1,875</w:t>
            </w:r>
          </w:p>
        </w:tc>
        <w:tc>
          <w:tcPr>
            <w:tcW w:w="17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148.3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11,036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(6,550)</w:t>
            </w:r>
          </w:p>
        </w:tc>
        <w:tc>
          <w:tcPr>
            <w:tcW w:w="1700" w:type="dxa"/>
            <w:vAlign w:val="bottom"/>
            <w:gridSpan w:val="2"/>
          </w:tcPr>
          <w:p>
            <w:pPr>
              <w:jc w:val="right"/>
              <w:ind w:right="88"/>
              <w:spacing w:after="0"/>
              <w:rPr>
                <w:sz w:val="20"/>
                <w:szCs w:val="20"/>
                <w:color w:val="auto"/>
              </w:rPr>
            </w:pPr>
            <w:r>
              <w:rPr>
                <w:rFonts w:ascii="Arial" w:cs="Arial" w:eastAsia="Arial" w:hAnsi="Arial"/>
                <w:sz w:val="18"/>
                <w:szCs w:val="18"/>
                <w:color w:val="auto"/>
              </w:rPr>
              <w:t>(59.4)</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1,073</w:t>
            </w:r>
          </w:p>
        </w:tc>
        <w:tc>
          <w:tcPr>
            <w:tcW w:w="17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5.1</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AOI</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211,169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200,409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10,760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5.4 %</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AOI increased $10.8 million for the three months ended September 30, 2018 as compared to the three months ended September 30, 2017. The increase is primarily due to the aforementioned change in operating income.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210,417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199,694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10,723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8,203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(692)</w:t>
            </w:r>
          </w:p>
        </w:tc>
        <w:tc>
          <w:tcPr>
            <w:tcW w:w="1700" w:type="dxa"/>
            <w:vAlign w:val="bottom"/>
            <w:gridSpan w:val="2"/>
          </w:tcPr>
          <w:p>
            <w:pPr>
              <w:jc w:val="right"/>
              <w:ind w:right="88"/>
              <w:spacing w:after="0"/>
              <w:rPr>
                <w:sz w:val="20"/>
                <w:szCs w:val="20"/>
                <w:color w:val="auto"/>
              </w:rPr>
            </w:pPr>
            <w:r>
              <w:rPr>
                <w:rFonts w:ascii="Arial" w:cs="Arial" w:eastAsia="Arial" w:hAnsi="Arial"/>
                <w:sz w:val="18"/>
                <w:szCs w:val="18"/>
                <w:color w:val="auto"/>
              </w:rPr>
              <w:t>(8.4)</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729</w:t>
            </w:r>
          </w:p>
        </w:tc>
        <w:tc>
          <w:tcPr>
            <w:tcW w:w="17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(9.7)</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AOI</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211,169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200,409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10,760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5.4 %</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National Networks AOI increased principally due to an increase in revenues of $18.9 million, partially offset by an increase in technical and operating expenses of $6.3 million.</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International and Other AOI decreased $0.7 million primarily due to the increased investment in AMCNI and our subscription streaming services, partially offset by the impact of the Levity.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 result of the factors discussed above impacting the variability in revenues and operating expenses, we expect AOI to vary from quarter to quarter.</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interest expense, net of $1.2 million is driven by an increase in interest expense of $2.7 million primarily as a result of the issuance of our $800 million aggregate principal amounts of 4.75% Senior Notes due 2025 on July 28, 2017 and the impact of higher average interest rates on our Term Loan A Facility, partially offset by an increase in interest income of $1.5 million for the three months ended September 30, 2018, in connection with increased cash balances as compared to the same period in 2017, as well as interest income earned on term loans entered into with RLJ Entertainment, Inc. ("RLJE") in October 2016 and fuboTV Inc. ("fuboTV") in April 2018.</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loss on extinguishment of debt of $3.0 million for the three months ended September 30, 2017 was primarily due to the write-off of a portion of unamortized deferred financing costs following the amendment of our Term Loan A Facility in July 2017.</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Miscellaneous, net</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increase in miscellaneous, net of $16.3 million for the three months ended September 30, 2018 as compared to the three months ended September 30, 2017 was primarily driven by an increase of $23.3 million in gains on derivative instruments and the value of warrants held related to RLJE and an increase of $11.4 million in gains associated with the increase in the fair market value of our RLJE equity method investment, for which we have elected the fair value option. The gains recorded during the three months ended September 30, 2018 related to RLJE are driven by the increase in the fair value of RLJE common stock, as a result of our agreement to acquire all of the outstanding shares of RLJE not currently owned by us for a purchase price of $6.25 per share (see further discussion below under the heading "Other Matters"). Partially offsetting such gains in miscellaneous, net are $12.8 million in an unfavorable variance in foreign currency transaction gains and losses principally driven by intercompany loans and an impairment charge of $3.5 million for the partial write-down of one of our equity method investments.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72" w:right="23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right="20" w:firstLine="459"/>
        <w:spacing w:after="0" w:line="264" w:lineRule="auto"/>
        <w:rPr>
          <w:sz w:val="20"/>
          <w:szCs w:val="20"/>
          <w:color w:val="auto"/>
        </w:rPr>
      </w:pPr>
      <w:r>
        <w:rPr>
          <w:rFonts w:ascii="Arial" w:cs="Arial" w:eastAsia="Arial" w:hAnsi="Arial"/>
          <w:sz w:val="18"/>
          <w:szCs w:val="18"/>
          <w:color w:val="auto"/>
        </w:rPr>
        <w:t>For the three months ended September 30, 2018, income tax expense was $43.7 million representing an effective tax rate of 27%. The effective tax rate differs from the federal statutory rate of 21% due primarily to tax expense from foreign subsidiary earnings of $5.6 million and state and local income tax expense of $3.4 million.</w:t>
      </w:r>
    </w:p>
    <w:p>
      <w:pPr>
        <w:spacing w:after="0" w:line="181" w:lineRule="exact"/>
        <w:rPr>
          <w:sz w:val="20"/>
          <w:szCs w:val="20"/>
          <w:color w:val="auto"/>
        </w:rPr>
      </w:pPr>
    </w:p>
    <w:p>
      <w:pPr>
        <w:jc w:val="both"/>
        <w:ind w:firstLine="459"/>
        <w:spacing w:after="0" w:line="272" w:lineRule="auto"/>
        <w:rPr>
          <w:sz w:val="20"/>
          <w:szCs w:val="20"/>
          <w:color w:val="auto"/>
        </w:rPr>
      </w:pPr>
      <w:r>
        <w:rPr>
          <w:rFonts w:ascii="Arial" w:cs="Arial" w:eastAsia="Arial" w:hAnsi="Arial"/>
          <w:sz w:val="17"/>
          <w:szCs w:val="17"/>
          <w:color w:val="auto"/>
        </w:rPr>
        <w:t>The Tax Cuts and Jobs Act ("TCJA") was enacted on December 22, 2017. The TCJA introduces significant changes in tax law, with certain provisions being effective for the year ended December 31, 2017, however most are effective for tax years beginning after December 31, 2017. Companies are required to recognize the effect of tax law changes in the period of enactment, however, due to the complexities involved in accounting for the enactment of TCJA, SEC Staff Accounting Bulletin ("SAB") 118 allows us to record provisional amounts to reflect the impacts of the TCJA during a one year "measurement period". The Company recorded a provisional amount related to the one-time transition tax in the year ended December 31, 2017 and a discrete tax expense related to valuation allowance in the period ended March 31, 2018, resulting from an updated assessment in response to guidance contained in a recently issued IRS notice. There has been no change to either amount as of September 30, 2018.</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will continue to analyze the effects of the TCJA on its financial statements and operations. Additional impacts from the enactment of the TCJA will be recorded as they are identified during the measurement period as provided for in SAB 118.</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Judgment is required in determining the provision for income taxes and related accruals, deferred tax assets and liabilities. Consequently, changes in our estimates regarding uncertain tax positions and the realization of deferred tax assets will impact our results of operations and financial position. Deferred tax assets are evaluated quarterly for expected future realization and reduced by a valuation allowance to the extent management believes it is more likely than not that a portion will not be realized. See Note 12 to the accompanying condensed consolidated financial statements for further discussion of the Company's income taxes.</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the three months ended September 30, 2017, income tax expense was $40.1 million representing an effective tax rate of 31%. The effective tax rate differs from the federal statutory rate of 35% due primarily to tax benefit of $8.4 million resulting from a decrease in the valuation allowances for foreign and local taxes, tax benefit from the domestic production activities deduction of $2.8 million, tax benefit of $0.6 million relating to uncertain tax positions (including accrued interest), state and local income tax expense of $2.4 million and tax expense of $5.5 million from foreign subsidiary earnings indefinitely reinvested outside the U.S. for the three months ended September 30, 2017.</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7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Nine Months Ended September 30, 2018 Compared to Nine Months Ended September 30,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1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2,199,083</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2,078,757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120,326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Technical and operating (excluding depreciation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1,043,572</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956,200</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87,372</w:t>
            </w:r>
          </w:p>
        </w:tc>
        <w:tc>
          <w:tcPr>
            <w:tcW w:w="12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494,067</w:t>
            </w:r>
          </w:p>
        </w:tc>
        <w:tc>
          <w:tcPr>
            <w:tcW w:w="1380" w:type="dxa"/>
            <w:vAlign w:val="bottom"/>
            <w:gridSpan w:val="3"/>
          </w:tcPr>
          <w:p>
            <w:pPr>
              <w:jc w:val="right"/>
              <w:ind w:right="144"/>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464,670</w:t>
            </w:r>
          </w:p>
        </w:tc>
        <w:tc>
          <w:tcPr>
            <w:tcW w:w="1380" w:type="dxa"/>
            <w:vAlign w:val="bottom"/>
            <w:gridSpan w:val="3"/>
          </w:tcPr>
          <w:p>
            <w:pPr>
              <w:jc w:val="right"/>
              <w:ind w:right="148"/>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29,397</w:t>
            </w:r>
          </w:p>
        </w:tc>
        <w:tc>
          <w:tcPr>
            <w:tcW w:w="1220" w:type="dxa"/>
            <w:vAlign w:val="bottom"/>
            <w:gridSpan w:val="2"/>
          </w:tcPr>
          <w:p>
            <w:pPr>
              <w:jc w:val="right"/>
              <w:ind w:right="156"/>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64,034</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65,037</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2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4,486</w:t>
            </w:r>
          </w:p>
        </w:tc>
        <w:tc>
          <w:tcPr>
            <w:tcW w:w="1380" w:type="dxa"/>
            <w:vAlign w:val="bottom"/>
            <w:gridSpan w:val="3"/>
          </w:tcPr>
          <w:p>
            <w:pPr>
              <w:jc w:val="right"/>
              <w:ind w:right="14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28,148</w:t>
            </w:r>
          </w:p>
        </w:tc>
        <w:tc>
          <w:tcPr>
            <w:tcW w:w="1380" w:type="dxa"/>
            <w:vAlign w:val="bottom"/>
            <w:gridSpan w:val="3"/>
          </w:tcPr>
          <w:p>
            <w:pPr>
              <w:jc w:val="right"/>
              <w:ind w:right="148"/>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(23,662)</w:t>
            </w:r>
          </w:p>
        </w:tc>
        <w:tc>
          <w:tcPr>
            <w:tcW w:w="100" w:type="dxa"/>
            <w:vAlign w:val="bottom"/>
          </w:tcPr>
          <w:p>
            <w:pPr>
              <w:spacing w:after="0"/>
              <w:rPr>
                <w:sz w:val="21"/>
                <w:szCs w:val="21"/>
                <w:color w:val="auto"/>
              </w:rPr>
            </w:pP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2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7"/>
        </w:trPr>
        <w:tc>
          <w:tcPr>
            <w:tcW w:w="39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1,609,298</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4"/>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1,517,942</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91,356</w:t>
            </w:r>
          </w:p>
        </w:tc>
        <w:tc>
          <w:tcPr>
            <w:tcW w:w="1220" w:type="dxa"/>
            <w:vAlign w:val="bottom"/>
            <w:gridSpan w:val="2"/>
          </w:tcPr>
          <w:p>
            <w:pPr>
              <w:jc w:val="right"/>
              <w:ind w:right="156"/>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589,785</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560,815</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28,970</w:t>
            </w:r>
          </w:p>
        </w:tc>
        <w:tc>
          <w:tcPr>
            <w:tcW w:w="12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(100,154)</w:t>
            </w:r>
          </w:p>
        </w:tc>
        <w:tc>
          <w:tcPr>
            <w:tcW w:w="1380" w:type="dxa"/>
            <w:vAlign w:val="bottom"/>
            <w:tcBorders>
              <w:bottom w:val="single" w:sz="8" w:color="CCEEFF"/>
            </w:tcBorders>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(85,768)</w:t>
            </w:r>
          </w:p>
        </w:tc>
        <w:tc>
          <w:tcPr>
            <w:tcW w:w="13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(14,386)</w:t>
            </w:r>
          </w:p>
        </w:tc>
        <w:tc>
          <w:tcPr>
            <w:tcW w:w="12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(3,004)</w:t>
            </w:r>
          </w:p>
        </w:tc>
        <w:tc>
          <w:tcPr>
            <w:tcW w:w="1380" w:type="dxa"/>
            <w:vAlign w:val="bottom"/>
            <w:gridSpan w:val="3"/>
          </w:tcPr>
          <w:p>
            <w:pPr>
              <w:jc w:val="right"/>
              <w:ind w:right="88"/>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1"/>
                <w:szCs w:val="21"/>
                <w:color w:val="auto"/>
              </w:rPr>
            </w:pP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Miscellaneous, net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42,448</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122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7"/>
        </w:trPr>
        <w:tc>
          <w:tcPr>
            <w:tcW w:w="39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(69,165)</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8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(46,324)</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(22,841)</w:t>
            </w:r>
          </w:p>
        </w:tc>
        <w:tc>
          <w:tcPr>
            <w:tcW w:w="1220" w:type="dxa"/>
            <w:vAlign w:val="bottom"/>
            <w:gridSpan w:val="2"/>
          </w:tcPr>
          <w:p>
            <w:pPr>
              <w:jc w:val="right"/>
              <w:ind w:right="156"/>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from operations before income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520,620</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514,491</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6,129</w:t>
            </w:r>
          </w:p>
        </w:tc>
        <w:tc>
          <w:tcPr>
            <w:tcW w:w="12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(133,092)</w:t>
            </w:r>
          </w:p>
        </w:tc>
        <w:tc>
          <w:tcPr>
            <w:tcW w:w="1380" w:type="dxa"/>
            <w:vAlign w:val="bottom"/>
            <w:gridSpan w:val="3"/>
          </w:tcPr>
          <w:p>
            <w:pPr>
              <w:jc w:val="right"/>
              <w:ind w:right="84"/>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(173,399)</w:t>
            </w:r>
          </w:p>
        </w:tc>
        <w:tc>
          <w:tcPr>
            <w:tcW w:w="1380" w:type="dxa"/>
            <w:vAlign w:val="bottom"/>
            <w:gridSpan w:val="3"/>
          </w:tcPr>
          <w:p>
            <w:pPr>
              <w:jc w:val="right"/>
              <w:ind w:right="88"/>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40,307</w:t>
            </w:r>
          </w:p>
        </w:tc>
        <w:tc>
          <w:tcPr>
            <w:tcW w:w="1220" w:type="dxa"/>
            <w:vAlign w:val="bottom"/>
            <w:gridSpan w:val="2"/>
          </w:tcPr>
          <w:p>
            <w:pPr>
              <w:jc w:val="right"/>
              <w:ind w:right="96"/>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387,528</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341,092</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46,436</w:t>
            </w:r>
          </w:p>
        </w:tc>
        <w:tc>
          <w:tcPr>
            <w:tcW w:w="12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w w:val="97"/>
              </w:rPr>
              <w:t>Net income attributable to noncontrolling interests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(13,220)</w:t>
            </w:r>
          </w:p>
        </w:tc>
        <w:tc>
          <w:tcPr>
            <w:tcW w:w="1380" w:type="dxa"/>
            <w:vAlign w:val="bottom"/>
            <w:gridSpan w:val="3"/>
          </w:tcPr>
          <w:p>
            <w:pPr>
              <w:jc w:val="right"/>
              <w:ind w:right="8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(15,276)</w:t>
            </w:r>
          </w:p>
        </w:tc>
        <w:tc>
          <w:tcPr>
            <w:tcW w:w="1380" w:type="dxa"/>
            <w:vAlign w:val="bottom"/>
            <w:gridSpan w:val="3"/>
          </w:tcPr>
          <w:p>
            <w:pPr>
              <w:jc w:val="right"/>
              <w:ind w:right="88"/>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2,056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374,308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325,816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48,492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2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76" w:right="239" w:bottom="1440" w:gutter="0" w:footer="0" w:header="0"/>
        </w:sectPr>
      </w:pPr>
    </w:p>
    <w:bookmarkStart w:id="45" w:name="page46"/>
    <w:bookmarkEnd w:id="45"/>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62"/>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001"/>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2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1,820,638</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1,761,512</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59,126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791,910</w:t>
            </w:r>
          </w:p>
        </w:tc>
        <w:tc>
          <w:tcPr>
            <w:tcW w:w="136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749,856</w:t>
            </w:r>
          </w:p>
        </w:tc>
        <w:tc>
          <w:tcPr>
            <w:tcW w:w="13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42,054</w:t>
            </w:r>
          </w:p>
        </w:tc>
        <w:tc>
          <w:tcPr>
            <w:tcW w:w="130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355,405</w:t>
            </w:r>
          </w:p>
        </w:tc>
        <w:tc>
          <w:tcPr>
            <w:tcW w:w="1360" w:type="dxa"/>
            <w:vAlign w:val="bottom"/>
            <w:gridSpan w:val="3"/>
          </w:tcPr>
          <w:p>
            <w:pPr>
              <w:jc w:val="right"/>
              <w:ind w:right="10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345,539</w:t>
            </w:r>
          </w:p>
        </w:tc>
        <w:tc>
          <w:tcPr>
            <w:tcW w:w="1360" w:type="dxa"/>
            <w:vAlign w:val="bottom"/>
            <w:gridSpan w:val="3"/>
          </w:tcPr>
          <w:p>
            <w:pPr>
              <w:jc w:val="right"/>
              <w:ind w:right="141"/>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9,866</w:t>
            </w:r>
          </w:p>
        </w:tc>
        <w:tc>
          <w:tcPr>
            <w:tcW w:w="1300" w:type="dxa"/>
            <w:vAlign w:val="bottom"/>
            <w:gridSpan w:val="2"/>
          </w:tcPr>
          <w:p>
            <w:pPr>
              <w:jc w:val="right"/>
              <w:ind w:right="116"/>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25,358</w:t>
            </w:r>
          </w:p>
        </w:tc>
        <w:tc>
          <w:tcPr>
            <w:tcW w:w="136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25,315</w:t>
            </w:r>
          </w:p>
        </w:tc>
        <w:tc>
          <w:tcPr>
            <w:tcW w:w="13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30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Restructuring credit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647,965</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640,855</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42,647</w:t>
            </w:r>
          </w:p>
        </w:tc>
        <w:tc>
          <w:tcPr>
            <w:tcW w:w="1360" w:type="dxa"/>
            <w:vAlign w:val="bottom"/>
            <w:gridSpan w:val="3"/>
          </w:tcPr>
          <w:p>
            <w:pPr>
              <w:jc w:val="right"/>
              <w:ind w:right="10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33,717</w:t>
            </w:r>
          </w:p>
        </w:tc>
        <w:tc>
          <w:tcPr>
            <w:tcW w:w="1360" w:type="dxa"/>
            <w:vAlign w:val="bottom"/>
            <w:gridSpan w:val="3"/>
          </w:tcPr>
          <w:p>
            <w:pPr>
              <w:jc w:val="right"/>
              <w:ind w:right="14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8,930</w:t>
            </w:r>
          </w:p>
        </w:tc>
        <w:tc>
          <w:tcPr>
            <w:tcW w:w="1300" w:type="dxa"/>
            <w:vAlign w:val="bottom"/>
            <w:gridSpan w:val="2"/>
          </w:tcPr>
          <w:p>
            <w:pPr>
              <w:jc w:val="right"/>
              <w:ind w:right="116"/>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25,358</w:t>
            </w:r>
          </w:p>
        </w:tc>
        <w:tc>
          <w:tcPr>
            <w:tcW w:w="1360" w:type="dxa"/>
            <w:vAlign w:val="bottom"/>
            <w:gridSpan w:val="3"/>
          </w:tcPr>
          <w:p>
            <w:pPr>
              <w:jc w:val="right"/>
              <w:ind w:right="10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25,315</w:t>
            </w:r>
          </w:p>
        </w:tc>
        <w:tc>
          <w:tcPr>
            <w:tcW w:w="1360" w:type="dxa"/>
            <w:vAlign w:val="bottom"/>
            <w:gridSpan w:val="3"/>
          </w:tcPr>
          <w:p>
            <w:pPr>
              <w:jc w:val="right"/>
              <w:ind w:right="14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300" w:type="dxa"/>
            <w:vAlign w:val="bottom"/>
            <w:gridSpan w:val="2"/>
          </w:tcPr>
          <w:p>
            <w:pPr>
              <w:jc w:val="right"/>
              <w:ind w:right="11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715,970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699,834</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16,136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Networks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3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409,873</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330,401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79,472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269,739</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208,639</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61,100</w:t>
            </w:r>
          </w:p>
        </w:tc>
        <w:tc>
          <w:tcPr>
            <w:tcW w:w="14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138,732</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119,174</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19,558</w:t>
            </w:r>
          </w:p>
        </w:tc>
        <w:tc>
          <w:tcPr>
            <w:tcW w:w="1440" w:type="dxa"/>
            <w:vAlign w:val="bottom"/>
            <w:gridSpan w:val="2"/>
          </w:tcPr>
          <w:p>
            <w:pPr>
              <w:jc w:val="right"/>
              <w:ind w:right="156"/>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38,676</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39,722</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4,486</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28,148</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(23,662)</w:t>
            </w:r>
          </w:p>
        </w:tc>
        <w:tc>
          <w:tcPr>
            <w:tcW w:w="100" w:type="dxa"/>
            <w:vAlign w:val="bottom"/>
          </w:tcPr>
          <w:p>
            <w:pPr>
              <w:spacing w:after="0"/>
              <w:rPr>
                <w:sz w:val="21"/>
                <w:szCs w:val="21"/>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(44,899)</w:t>
            </w:r>
          </w:p>
        </w:tc>
        <w:tc>
          <w:tcPr>
            <w:tcW w:w="2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(69,222)</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1,664</w:t>
            </w:r>
          </w:p>
        </w:tc>
        <w:tc>
          <w:tcPr>
            <w:tcW w:w="14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3,139</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3,940</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w:t>
            </w:r>
          </w:p>
        </w:tc>
        <w:tc>
          <w:tcPr>
            <w:tcW w:w="1440" w:type="dxa"/>
            <w:vAlign w:val="bottom"/>
            <w:gridSpan w:val="2"/>
          </w:tcPr>
          <w:p>
            <w:pPr>
              <w:jc w:val="right"/>
              <w:ind w:right="96"/>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(23,662)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38,676</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39,722</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(1,046)</w:t>
            </w:r>
          </w:p>
        </w:tc>
        <w:tc>
          <w:tcPr>
            <w:tcW w:w="1440" w:type="dxa"/>
            <w:vAlign w:val="bottom"/>
            <w:gridSpan w:val="2"/>
          </w:tcPr>
          <w:p>
            <w:pPr>
              <w:jc w:val="right"/>
              <w:ind w:right="9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3"/>
          </w:tcPr>
          <w:p>
            <w:pPr>
              <w:jc w:val="right"/>
              <w:ind w:right="288"/>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46" w:name="page47"/>
    <w:bookmarkEnd w:id="46"/>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Revenues, net increased $120.3 million to $2,199.1 million for the nine months ended September 30, 2018 as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The net change by segment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1,820,638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1,761,512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59,126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409,873</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330,401</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79,472</w:t>
            </w:r>
          </w:p>
        </w:tc>
        <w:tc>
          <w:tcPr>
            <w:tcW w:w="1320" w:type="dxa"/>
            <w:vAlign w:val="bottom"/>
            <w:gridSpan w:val="2"/>
          </w:tcPr>
          <w:p>
            <w:pPr>
              <w:jc w:val="right"/>
              <w:ind w:right="108"/>
              <w:spacing w:after="0"/>
              <w:rPr>
                <w:sz w:val="20"/>
                <w:szCs w:val="20"/>
                <w:color w:val="auto"/>
              </w:rPr>
            </w:pPr>
            <w:r>
              <w:rPr>
                <w:rFonts w:ascii="Arial" w:cs="Arial" w:eastAsia="Arial" w:hAnsi="Arial"/>
                <w:sz w:val="18"/>
                <w:szCs w:val="18"/>
                <w:color w:val="auto"/>
              </w:rPr>
              <w:t>24.1</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(31,428)</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(13,156)</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(18,272)</w:t>
            </w:r>
          </w:p>
        </w:tc>
        <w:tc>
          <w:tcPr>
            <w:tcW w:w="13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138.9</w:t>
            </w: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2,199,083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2,078,757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120,326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National Networks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w w:val="99"/>
              </w:rPr>
              <w:t>Nine Months Ended September 30,</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672,273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690,906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1,148,365</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1,070,606</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77,759</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7.3</w:t>
            </w:r>
          </w:p>
        </w:tc>
      </w:tr>
      <w:tr>
        <w:trPr>
          <w:trHeight w:val="27"/>
        </w:trPr>
        <w:tc>
          <w:tcPr>
            <w:tcW w:w="3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1,820,638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1,761,512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59,126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300" w:hanging="644"/>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decrease of $18.6 million in advertising revenues was driven by a decrease of $35.9 million at AMC due to lower ratings, partially offset by pricing. The decrease at AMC was partially offset by increases at our other networks. Most of our advertising revenues vary based on the timing of our original programming series and the popularity of our programming as measured by Nielsen. Due to these factors, we expect advertising revenues to vary from quarter to quarter.</w:t>
      </w:r>
    </w:p>
    <w:p>
      <w:pPr>
        <w:spacing w:after="0" w:line="186"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Distribution revenues increased $77.8 million due to an increase in subscription revenues of $39.2 million across principally all of our networks resulting from an increase in rates and an increase in content licensing revenues of $38.6 million primarily from AMC due to an increase in the original programming we distribute. Distribution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4"/>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66,071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62,134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343,802</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268,267</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75,535</w:t>
            </w:r>
          </w:p>
        </w:tc>
        <w:tc>
          <w:tcPr>
            <w:tcW w:w="1320" w:type="dxa"/>
            <w:vAlign w:val="bottom"/>
            <w:gridSpan w:val="2"/>
          </w:tcPr>
          <w:p>
            <w:pPr>
              <w:jc w:val="right"/>
              <w:ind w:right="108"/>
              <w:spacing w:after="0"/>
              <w:rPr>
                <w:sz w:val="20"/>
                <w:szCs w:val="20"/>
                <w:color w:val="auto"/>
              </w:rPr>
            </w:pPr>
            <w:r>
              <w:rPr>
                <w:rFonts w:ascii="Arial" w:cs="Arial" w:eastAsia="Arial" w:hAnsi="Arial"/>
                <w:sz w:val="18"/>
                <w:szCs w:val="18"/>
                <w:color w:val="auto"/>
              </w:rPr>
              <w:t>28.2</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409,873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330,401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79,472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0" w:firstLine="405"/>
        <w:spacing w:after="0" w:line="257" w:lineRule="auto"/>
        <w:rPr>
          <w:sz w:val="20"/>
          <w:szCs w:val="20"/>
          <w:color w:val="auto"/>
        </w:rPr>
      </w:pPr>
      <w:r>
        <w:rPr>
          <w:rFonts w:ascii="Arial" w:cs="Arial" w:eastAsia="Arial" w:hAnsi="Arial"/>
          <w:sz w:val="18"/>
          <w:szCs w:val="18"/>
          <w:color w:val="auto"/>
        </w:rPr>
        <w:t>The increase of $3.9 million in advertising revenues was principally due to the favorable impact of foreign currency translation of $2.8 million as well as increased demand in certain international markets. Distribution revenues increased primarily due to a $68.1 million impact from the Levity acquisition. In addition, distribution revenues increased $7.6 million from our subscription streaming services. Foreign currency translation had a favorable impact to distribution revenue of $12.1 million which was partially offset by a decrease of $10.7 million due to the absence of revenue from the sale of AMCNI – DMC (sold in July 2017).</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Technical and operating expense (excluding depreciation and amortization) increased $87.4 million to $1,043.6 million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as compared to the nine months ended September 30, 2017. The net change by segment was as follows:</w:t>
      </w:r>
    </w:p>
    <w:p>
      <w:pPr>
        <w:sectPr>
          <w:pgSz w:w="11900" w:h="16838" w:orient="portrait"/>
          <w:cols w:equalWidth="0" w:num="1">
            <w:col w:w="11420"/>
          </w:cols>
          <w:pgMar w:left="240" w:top="472"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72" w:right="2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791,910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749,856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42,054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269,739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208,639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61,100</w:t>
            </w:r>
          </w:p>
        </w:tc>
        <w:tc>
          <w:tcPr>
            <w:tcW w:w="1640" w:type="dxa"/>
            <w:vAlign w:val="bottom"/>
            <w:gridSpan w:val="2"/>
          </w:tcPr>
          <w:p>
            <w:pPr>
              <w:jc w:val="right"/>
              <w:ind w:right="99"/>
              <w:spacing w:after="0"/>
              <w:rPr>
                <w:sz w:val="20"/>
                <w:szCs w:val="20"/>
                <w:color w:val="auto"/>
              </w:rPr>
            </w:pPr>
            <w:r>
              <w:rPr>
                <w:rFonts w:ascii="Arial" w:cs="Arial" w:eastAsia="Arial" w:hAnsi="Arial"/>
                <w:sz w:val="18"/>
                <w:szCs w:val="18"/>
                <w:color w:val="auto"/>
              </w:rPr>
              <w:t>29.3</w:t>
            </w: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(18,077)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n/m</w:t>
            </w:r>
          </w:p>
        </w:tc>
      </w:tr>
      <w:tr>
        <w:trPr>
          <w:trHeight w:val="297"/>
        </w:trPr>
        <w:tc>
          <w:tcPr>
            <w:tcW w:w="5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1,043,572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956,200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87,372</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
        </w:trPr>
        <w:tc>
          <w:tcPr>
            <w:tcW w:w="5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increase in technical and operating expense was primarily attributable to an increase of $18.8 million in program rights amortization expense and an increase of $23.3 million in other direct programming costs. Program rights amortization expense includes write-offs of $19.8 million for the nine months ended September 30, 2018 primarily based on management's assessment of programming usefulness of certain original programming and development costs at AMC and unscripted series at WE tv, as compared to program rights write-offs of $9.7 million primarily related to certain unscripted series at WE tv, scripted series at SundanceTV, and development costs at AMC for the nine months ended September 30, 2017.</w:t>
      </w:r>
    </w:p>
    <w:p>
      <w:pPr>
        <w:spacing w:after="0" w:line="1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Technical and operating expense increased primarily due to a $46.1 million impact from the Levity acquisition. In addition, investment in programming and other direct programming costs, including transmission, increased $13.2 million at AMCNI as well as an increase of $7.3 million at our subscription streaming services, partially offset by the absence of $7.0 million in costs related to AMCNI – DMC (sold in July 2017). Foreign currency translation had an unfavorable impact to the change in technical and operating expense of $8.0 million.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facilities.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increased $29.4 million to $494.1 million for the nine months ended September 30, 2018, as compared to the nine months ended September 30, 2017.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355,405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345,539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9,866</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138,732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119,174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19,558</w:t>
            </w:r>
          </w:p>
        </w:tc>
        <w:tc>
          <w:tcPr>
            <w:tcW w:w="1640" w:type="dxa"/>
            <w:vAlign w:val="bottom"/>
            <w:gridSpan w:val="2"/>
          </w:tcPr>
          <w:p>
            <w:pPr>
              <w:jc w:val="right"/>
              <w:ind w:right="108"/>
              <w:spacing w:after="0"/>
              <w:rPr>
                <w:sz w:val="20"/>
                <w:szCs w:val="20"/>
                <w:color w:val="auto"/>
              </w:rPr>
            </w:pPr>
            <w:r>
              <w:rPr>
                <w:rFonts w:ascii="Arial" w:cs="Arial" w:eastAsia="Arial" w:hAnsi="Arial"/>
                <w:sz w:val="18"/>
                <w:szCs w:val="18"/>
                <w:color w:val="auto"/>
              </w:rPr>
              <w:t>16.4</w:t>
            </w: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62.8</w:t>
            </w:r>
          </w:p>
        </w:tc>
      </w:tr>
      <w:tr>
        <w:trPr>
          <w:trHeight w:val="297"/>
        </w:trPr>
        <w:tc>
          <w:tcPr>
            <w:tcW w:w="5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494,067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464,670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29,397</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
        </w:trPr>
        <w:tc>
          <w:tcPr>
            <w:tcW w:w="5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Selling, general and administrative expense increased $9.9 million principally as a result of an $8.0 million increase in general and administrative costs and a $6.0 million increase in long-term incentive compensation expense, partially offset by a decrease in sales and marketing related costs of $4.2 million related to timing of the promotion and marketing of original programming.</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increased $19.6 million primarily due to a $17.3 million impact from the acquisition of Levity. In addition, increases in selling, general and administrative expense across the segment were offset by 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44"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decrease at AMCNI due to the absence of costs related to AMCNI – DMC (sold in July 2017). Foreign currency translation had an unfavorable impact to the change in selling, general and administrative expense of $2.6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and amortization expense decreased $1.0 million to $64.0 million for the nine months ended September 30, 2018, as compared to the nine months ended September 30, 2017.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25,358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38,676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39,722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(1,046)</w:t>
            </w:r>
          </w:p>
        </w:tc>
        <w:tc>
          <w:tcPr>
            <w:tcW w:w="1720" w:type="dxa"/>
            <w:vAlign w:val="bottom"/>
            <w:gridSpan w:val="2"/>
          </w:tcPr>
          <w:p>
            <w:pPr>
              <w:jc w:val="right"/>
              <w:ind w:right="108"/>
              <w:spacing w:after="0"/>
              <w:rPr>
                <w:sz w:val="20"/>
                <w:szCs w:val="20"/>
                <w:color w:val="auto"/>
              </w:rPr>
            </w:pPr>
            <w:r>
              <w:rPr>
                <w:rFonts w:ascii="Arial" w:cs="Arial" w:eastAsia="Arial" w:hAnsi="Arial"/>
                <w:sz w:val="18"/>
                <w:szCs w:val="18"/>
                <w:color w:val="auto"/>
              </w:rPr>
              <w:t>(2.6)</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64,034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65,037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decrease in depreciation and amortization expense in the International and Other segment was attributable to a decrease in depreciation expense of $5.3 million due to the absence of AMCNI – DMC (sold in July 2017), partially offset by an increase in depreciation expense of $2.7 million related to leasehold additions and depreciation of $1.0 million on property and equipment acquired in connection with the acquisition of Levity. Foreign currency translation had an unfavorable impact to the change in depreciation and amortization of $1.4 million.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Impairment and related charges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connection with the disposition of a business, which occurred during the three months ended September 30, 2018, AMCNI recognized a $4.4 million charge primarily related to program rights.</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nine month period ended September 30, 2017, we recognized a pre-tax impairment charge of $28.1 million for related to AMCNI – DMC which included a loss on sale of $11.0 million and a $17.1 million impairment charge to reflect the AMCNI - DMC assets held for sale at fair value less estimated sale costs.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Restructuring expense</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expense of $3.1 million for the nine months ended September 30, 2018 at the International and Other segment was due to severance charges incurred related to a management initiative which commenced in the third quarter of 2018, resulting in employee terminations at our corporate headquarters and AMCNI. We expect additional charges in the fourth quarter of 2018.</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expense of $3.9 million for the nine months ended September 30, 2017 related to corporate headquarter severance charges in connection with the restructuring initiative launched during the second half of 2016 and charges incurred at AMCNI relates to costs associated with the termination of distribution in certain territories.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647,965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640,855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7,110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(69,222)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24,323</w:t>
            </w:r>
          </w:p>
        </w:tc>
        <w:tc>
          <w:tcPr>
            <w:tcW w:w="1700" w:type="dxa"/>
            <w:vAlign w:val="bottom"/>
            <w:gridSpan w:val="2"/>
          </w:tcPr>
          <w:p>
            <w:pPr>
              <w:jc w:val="right"/>
              <w:ind w:right="88"/>
              <w:spacing w:after="0"/>
              <w:rPr>
                <w:sz w:val="20"/>
                <w:szCs w:val="20"/>
                <w:color w:val="auto"/>
              </w:rPr>
            </w:pPr>
            <w:r>
              <w:rPr>
                <w:rFonts w:ascii="Arial" w:cs="Arial" w:eastAsia="Arial" w:hAnsi="Arial"/>
                <w:sz w:val="18"/>
                <w:szCs w:val="18"/>
                <w:color w:val="auto"/>
              </w:rPr>
              <w:t>(35.1)</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7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22.8</w:t>
            </w:r>
          </w:p>
        </w:tc>
      </w:tr>
      <w:tr>
        <w:trPr>
          <w:trHeight w:val="257"/>
        </w:trPr>
        <w:tc>
          <w:tcPr>
            <w:tcW w:w="50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589,785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560,815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28,970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5.2 %</w:t>
            </w: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increase in operating income at the National Networks segment was primarily attributable to an increase in revenues of $59.1 million, partially offset by an increase in technical and operating expense of $42.1 million and an increase in selling, general and administrative expense of $9.9 million.</w:t>
      </w:r>
    </w:p>
    <w:p>
      <w:pPr>
        <w:spacing w:after="0" w:line="14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decrease in operating losses at the International and Other segment was primarily attributable to a decrease in impairment and other charges of $23.6 million due to the absence of a $28.1 million impairment loss recorded in 2017 related to AMCNI - DMC (see discussion above), which was partially offset by a $4.4 million loss recorded at AMCNI in 2018 related to the disposition of a business and the increase to operating income for the nine months ended September 30, 2018 of $2.2 million representing the operating income of Levity. Foreign currency translation had a favorable impact to the change in operating income of $2.1 million.</w:t>
      </w:r>
    </w:p>
    <w:p>
      <w:pPr>
        <w:sectPr>
          <w:pgSz w:w="11900" w:h="16838" w:orient="portrait"/>
          <w:cols w:equalWidth="0" w:num="1">
            <w:col w:w="11420"/>
          </w:cols>
          <w:pgMar w:left="240" w:top="476"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76" w:right="239" w:bottom="1440" w:gutter="0" w:footer="0" w:header="0"/>
          <w:type w:val="continuous"/>
        </w:sectPr>
      </w:pPr>
    </w:p>
    <w:bookmarkStart w:id="49" w:name="page50"/>
    <w:bookmarkEnd w:id="49"/>
    <w:p>
      <w:pPr>
        <w:ind w:left="440"/>
        <w:spacing w:after="0"/>
        <w:rPr>
          <w:sz w:val="20"/>
          <w:szCs w:val="20"/>
          <w:color w:val="auto"/>
        </w:rPr>
      </w:pPr>
      <w:r>
        <w:rPr>
          <w:rFonts w:ascii="Arial" w:cs="Arial" w:eastAsia="Arial" w:hAnsi="Arial"/>
          <w:sz w:val="18"/>
          <w:szCs w:val="18"/>
          <w:b w:val="1"/>
          <w:bCs w:val="1"/>
          <w:color w:val="auto"/>
        </w:rPr>
        <w:t>AOI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589,785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560,815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28,970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52,006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10,594</w:t>
            </w:r>
          </w:p>
        </w:tc>
        <w:tc>
          <w:tcPr>
            <w:tcW w:w="1700" w:type="dxa"/>
            <w:vAlign w:val="bottom"/>
            <w:gridSpan w:val="2"/>
          </w:tcPr>
          <w:p>
            <w:pPr>
              <w:jc w:val="right"/>
              <w:ind w:right="139"/>
              <w:spacing w:after="0"/>
              <w:rPr>
                <w:sz w:val="20"/>
                <w:szCs w:val="20"/>
                <w:color w:val="auto"/>
              </w:rPr>
            </w:pPr>
            <w:r>
              <w:rPr>
                <w:rFonts w:ascii="Arial" w:cs="Arial" w:eastAsia="Arial" w:hAnsi="Arial"/>
                <w:sz w:val="18"/>
                <w:szCs w:val="18"/>
                <w:color w:val="auto"/>
              </w:rPr>
              <w:t>25.6</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7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(19.2)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(23,662)</w:t>
            </w:r>
          </w:p>
        </w:tc>
        <w:tc>
          <w:tcPr>
            <w:tcW w:w="100" w:type="dxa"/>
            <w:vAlign w:val="bottom"/>
          </w:tcPr>
          <w:p>
            <w:pPr>
              <w:spacing w:after="0"/>
              <w:rPr>
                <w:sz w:val="21"/>
                <w:szCs w:val="21"/>
                <w:color w:val="auto"/>
              </w:rPr>
            </w:pPr>
          </w:p>
        </w:tc>
        <w:tc>
          <w:tcPr>
            <w:tcW w:w="1600" w:type="dxa"/>
            <w:vAlign w:val="bottom"/>
          </w:tcPr>
          <w:p>
            <w:pPr>
              <w:jc w:val="right"/>
              <w:ind w:right="139"/>
              <w:spacing w:after="0"/>
              <w:rPr>
                <w:sz w:val="20"/>
                <w:szCs w:val="20"/>
                <w:color w:val="auto"/>
              </w:rPr>
            </w:pPr>
            <w:r>
              <w:rPr>
                <w:rFonts w:ascii="Arial" w:cs="Arial" w:eastAsia="Arial" w:hAnsi="Arial"/>
                <w:sz w:val="18"/>
                <w:szCs w:val="18"/>
                <w:color w:val="auto"/>
              </w:rPr>
              <w:t>n/m</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65,037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7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(1.5)</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AOI</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713,450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699,299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14,151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AOI increased $14.2 million for the nine months ended September 30, 2018 as compared to the nine months ended September 30, 2017.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715,970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699,834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16,136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10,761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478</w:t>
            </w:r>
          </w:p>
        </w:tc>
        <w:tc>
          <w:tcPr>
            <w:tcW w:w="1660" w:type="dxa"/>
            <w:vAlign w:val="bottom"/>
            <w:gridSpan w:val="2"/>
          </w:tcPr>
          <w:p>
            <w:pPr>
              <w:jc w:val="right"/>
              <w:ind w:right="108"/>
              <w:spacing w:after="0"/>
              <w:rPr>
                <w:sz w:val="20"/>
                <w:szCs w:val="20"/>
                <w:color w:val="auto"/>
              </w:rPr>
            </w:pPr>
            <w:r>
              <w:rPr>
                <w:rFonts w:ascii="Arial" w:cs="Arial" w:eastAsia="Arial" w:hAnsi="Arial"/>
                <w:sz w:val="18"/>
                <w:szCs w:val="18"/>
                <w:color w:val="auto"/>
              </w:rPr>
              <w:t>4.6</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6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22.8</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AOI</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713,450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699,299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14,151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National Networks AOI increased principally due to an increase in revenues of $59.1 million, partially offset by an increase in technical and operating expenses of $42.1 million resulting primarily from an increase in program rights amortization and an increase in selling, general and administrative expenses (excluding stock based compensation) of $0.9 million.</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International and Other AOI increased $0.5 million due to the impact of the Levity acquisition. Foreign currency translation had a favorable impact in the change in AOI of $4.4 million.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 result of the factors discussed above impacting the variability in revenues and operating expenses, we expect AOI to vary from quarter to quarter.</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interest expense, net of $14.4 million is driven by an increase in interest expense of $19.0 million primarily as a result of the issuance of our $800 million aggregate principal amounts of 4.75% Senior Notes due 2025 on July 28, 2017, partially offset by an increase in interest income of $4.6 million recorded for the nine months ended September 30, 2018, in connection with interest income earned on term loans entered into with RLJE in October 2016 and fuboTV in April 2018, and increased cash balances as compared to the same period in 2017.</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loss on extinguishment of debt of $3.0 million for the nine months ended September 30, 2017 was primarily due to the wrote-off of a portion of unamortized deferred financing costs following the amendment of our Term Loan A Facility in July 2017.</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Miscellaneous, net</w:t>
      </w:r>
    </w:p>
    <w:p>
      <w:pPr>
        <w:spacing w:after="0" w:line="2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decrease in miscellaneous, net of $11.5 million for the nine months ended September 30, 2018 as compared to the nine months ended September 30, 2017 was primarily driven by $22.5 million in an unfavorable variance in foreign currency transactions gains and losses, impairment charges of $13.5 million for the partial write-down of certain of our investments and a decrease in the value of one of our marketable equity securities of $5.4 million. Partially offsetting such decreases in miscellaneous, net are an increase of $17.5 million in gains on derivative instruments principally due to the value of derivative instruments and warrants held related to RLJE and an increase of $14.4 million in gains associated with the increase in the fair market value of our RLJE equity method investment, for which we have elected the fair value option. The gains recorded during the nine months ended September 30, 2018 related to RLJE are primarily driven by the increase in the fair value of RLJE common stock, as a result of our agreement to acquire all of the outstanding shares of RLJE not currently owned by us for a purchase price of $6.25 per share (see further discussion below under the heading "Other Matters").</w:t>
      </w:r>
    </w:p>
    <w:p>
      <w:pPr>
        <w:sectPr>
          <w:pgSz w:w="11900" w:h="16838" w:orient="portrait"/>
          <w:cols w:equalWidth="0" w:num="1">
            <w:col w:w="11420"/>
          </w:cols>
          <w:pgMar w:left="240" w:top="472"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72" w:right="239" w:bottom="1440" w:gutter="0" w:footer="0" w:header="0"/>
          <w:type w:val="continuous"/>
        </w:sectPr>
      </w:pPr>
    </w:p>
    <w:bookmarkStart w:id="50" w:name="page51"/>
    <w:bookmarkEnd w:id="50"/>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nine months ended September 30, 2018, income tax expense was $133.1 million, representing an effective tax rate of 26%. The effective tax rate differs from the federal statutory rate of 21%, due primarily to tax expense of $15.8 million for an increase in valuation allowances for foreign taxes and U.S. foreign tax credits; state and local income tax expense of $9.5 million; a tax benefit of $8.3 million for the one-time rate change on deferred tax assets and liabilities that resulted from the extension of certain television production cost deductions included in the Bipartisan Budget Act of 2018 (enacted February 9, 2018); and tax benefit from foreign subsidiary earnings of $0.6 million.</w:t>
      </w:r>
    </w:p>
    <w:p>
      <w:pPr>
        <w:spacing w:after="0" w:line="18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Tax Cuts and Jobs Act ("TCJA") was enacted on December 22, 2017. The TCJA introduces significant changes in tax law, with certain provisions being effective for the year ended December 31, 2017, however most are effective for tax years beginning after December 31, 2017. Companies are required to recognize the effect of tax law changes in the period of enactment, however, due to the complexities involved in accounting for the enactment of TCJA, SEC Staff Accounting Bulletin ("SAB") 118 allows us to record provisional amounts to reflect the impacts of the TCJA during a one year "measurement period". The Company has recorded a provisional amount related to the one-time transition tax in the year ended December 31, 2017 and a discrete tax expense related to valuation allowance in the period ended March 31, 2018, resulting from an updated assessment in response to guidance contained in a recently issued IRS notice. There has been no change to either amount as of September 30, 2018.</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will continue to analyze the effects of the TCJA on its financial statements and operations. Additional impacts from the enactment of the TCJA will be recorded as they are identified during the measurement period as provided for in SAB 118.</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Judgment is required in determining the provision for income taxes and related accruals, deferred tax assets and liabilities. Consequently, changes in our estimates regarding uncertain tax positions and the realization of deferred tax assets will impact our results of operations and financial position. Deferred tax assets are evaluated quarterly for expected future realization and reduced by a valuation allowance to the extent management believes it is more likely than not that a portion will not be realized. See Note 12 to the accompanying condensed consolidated financial statements for further discussion of the Company's income taxes.</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the nine months ended September 30, 2017, income tax expense was $173.4 million representing an effective tax rate of 34%. The effective tax rate differs from the federal statutory rate of 35% due primarily to tax benefit from the domestic production activities deduction of $13.1 million, tax benefit of $1.2 million from foreign subsidiary earnings indefinitely reinvested outside the U.S., tax benefit of $0.9 million resulting from a decrease in the valuation allowances for foreign and local taxes, tax expense of $2.0 million relating to uncertain tax positions (including accrued interest) and state and local income tax expense of $8.4 million for the nine months ended September 30,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other sources of capital such as the public bond markets.</w:t>
      </w:r>
    </w:p>
    <w:p>
      <w:pPr>
        <w:spacing w:after="0" w:line="17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On March 7, 2016, the Company announced that its Board of Directors authorized a program to repurchase up to $500 million of its outstanding shares of common stock (the "Stock Repurchase Program"). On June 6, 2017, the Board of Directors approved an increase of $500 million. On June 13, 2018, the Board of Directors approved a further increase of $500 million in the amount authorized for a total of $1.5 billion authorized under the Stock Repurchase Program. The Stock Repurchase Program has no pre-established closing date and may be suspended or discontinued at any time. For the three months ended September 30, 2018, the Company repurchased 0.4 million shares of its Class A common stock at an average purchase price of approximately $59.70 per share. As of September 30, 2018, the Company has $575.2 million available for repurchase under the Stock Repurchase Program.</w:t>
      </w:r>
    </w:p>
    <w:p>
      <w:pPr>
        <w:spacing w:after="0" w:line="16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principal uses of cash include the acquisition and production of programming, investments and acquisitions, repurchases of outstanding debt and common stock, debt service, and payments for income taxes. We continue to increase our investment in original programming, the funding of which generally occurs six to nine months in advance of a program's airing. We expect this increased investment to continue in 2018.</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2018, our consolidated cash and cash equivalents balance includes approximately $108.7 million held by foreign subsidiaries. Most or all of the earnings of our foreign subsidiaries will continue to be permanently reinvested in foreign operations and we do not expect to incur any significant, additional taxes related to such amounts, nor have any been provided for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2" w:right="239" w:bottom="1440" w:gutter="0" w:footer="0" w:header="0"/>
        </w:sectPr>
      </w:pPr>
    </w:p>
    <w:bookmarkStart w:id="51" w:name="page52"/>
    <w:bookmarkEnd w:id="51"/>
    <w:p>
      <w:pPr>
        <w:jc w:val="both"/>
        <w:ind w:right="20"/>
        <w:spacing w:after="0" w:line="308" w:lineRule="auto"/>
        <w:rPr>
          <w:sz w:val="20"/>
          <w:szCs w:val="20"/>
          <w:color w:val="auto"/>
        </w:rPr>
      </w:pPr>
      <w:r>
        <w:rPr>
          <w:rFonts w:ascii="Arial" w:cs="Arial" w:eastAsia="Arial" w:hAnsi="Arial"/>
          <w:sz w:val="17"/>
          <w:szCs w:val="17"/>
          <w:color w:val="auto"/>
        </w:rPr>
        <w:t>in the current period. The Company is still evaluating whether to change its indefinite reinvestment assertion due to certain provisions of the TCJA. Any potential changes to the assertion would be made within the measurement period and accounted for as part of the change in tax law.</w:t>
      </w:r>
    </w:p>
    <w:p>
      <w:pPr>
        <w:spacing w:after="0" w:line="14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2017 Form 10-K.</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revolving credit facility was not drawn upon at September 30, 2018. The total undrawn revolver commitment is available to be drawn for our general corporate purposes.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AMC Networks was in compliance with all of its debt covenants as of September 30, 2018.</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July 29, 2018, the Company, Digital Entertainment Holdings LLC, a wholly-owned subsidiary of the Company ("DEH"), and River Merger Sub Inc., a wholly-owned subsidiary of DEH ("Merger Sub"), and RLJE entered into an Agreement and Plan of Merger (the "Merger Agreement") pursuant to which the Company has agreed to acquire all of the outstanding shares of RLJE not currently owned by the Company or entities affiliated with Robert L. Johnson. The Merger Agreement provides that, upon the terms and subject to the conditions set forth therein, Merger Sub will merge with and into RLJE, with RLJE continuing as the surviving corporation and a subsidiary of DEH (the "Merger").</w:t>
      </w:r>
    </w:p>
    <w:p>
      <w:pPr>
        <w:spacing w:after="0" w:line="18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Pursuant to the Merger Agreement, at the effective time of the Merger (the "Effective Time"), each share of RLJE’s common stock, par value $0.001 per share (the "RLJE Common Stock"), issued and outstanding immediately prior to the Effective Time, except for certain excluded shares (which include shares beneficially owned by the Company, DEH and their affiliates), will be automatically converted into the right to receive $6.25 in cash without interest (the "Per Share Merger Consideration"). The Merger Agreement also includes provisions for the payment at the Effective Time of consideration, calculated based on the amount of the Per Share Merger Consideration, to the holders of outstanding RLJE preferred stock who elect to receive such cash consideration and holders of warrants to purchase RLJE Common Stock, except for certain excluded shares (which include shares beneficially owned by the Company, DEH and their affiliates). Such holders of outstanding RLJE preferred stock will be entitled to receive $7.86 per underlying share of RLJE Common Stock, in accordance with the terms of the RLJE preferred stock, if they elect cash as their consideration. Such holders of outstanding warrants will be paid the difference between $6.25 and the per share exercise price of their warrants.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RLJE - Subsequent Events</w:t>
      </w:r>
    </w:p>
    <w:p>
      <w:pPr>
        <w:spacing w:after="0" w:line="23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color w:val="auto"/>
        </w:rPr>
        <w:t>On October 31, 2018, the Company completed the acquisition of RLJE pursuant to the terms of the Merger Agreement. At the Effective Time, Merger Sub merged with and into RLJE, with RLJE continuing as the surviving corporation and a wholly owned subsidiary of DEH. The Merger Agreement was approved by the common stockholders of RLJE at a special meeting held earlier on October 31, 2018. The total cash purchase price paid by the Company to acquire the RLJE securities not previously owned by the Company or entities affiliated with Mr. Johnson is approximately $58.9 million (assuming all preferred stock holders elect cash as their consideration).</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Following the Effective Time, DEH was renamed “RLJ Entertainment Holdings LLC” (“RLJE Holdings”). RLJE Holdings is a majority owned subsidiary of the Company, with a minority stake of 17% held by affiliates of Mr. Johnson. The Company has entered into arrangements with Mr. Johnson related to the governance of RLJE Holdings and RLJE following the Merger.</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DEH and RLJE were parties to a Credit and Guaranty Agreement entered into on October 14, 2016 pursuant to which DEH provided term loans to RLJE (the “RLJE Term Loans”). In connection with the RLJE Credit and Guaranty Agreement, DEH</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76" w:right="2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received Class A, Class B and Class C warrants to purchase at least 20 million shares of RLJE’s common stock, at a price of $3.00 per share (the “RLJE Warrants”).</w:t>
      </w:r>
    </w:p>
    <w:p>
      <w:pPr>
        <w:spacing w:after="0" w:line="17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October 1, 2018, DEH fully exercised the remainder of its Class A warrant at $3.00 per share and was issued 3.3 million shares of RLJE Common Stock in exchange for the cancellation of $10.0 million of Tranche B of the RLJE Term Loans. On October 1, 2018, DEH also partially exercised its Class B warrant at $3.00 per share and was issued 3.4 million shares of RLJE Common Stock in exchange for the cancellation of $10.1 million of Tranche B of the RLJE Term Loans. As a result of the warrant exercises, the Company obtained a 51% controlling interest in RLJE.</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October 30, 2018, DEH fully exercised the remainder of its Class B warrant at $3.00 per share and was issued 6.6 million shares of RLJE Common Stock in exchange for the cancellation of $19.9 million of Tranche B of the RLJE Term Loans. On October 30, 2018, DEH also fully exercised its Class C warrant at $3.00 per share and was issued 5.0 million shares of RLJE Common Stock in exchange for the cancellation of $15.0 million of Tranche B of the RLJE Term Loans. As a result of the warrant exercises, the full amount of Tranche B of the RLJE Term Loans was cancelled.</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the acquisition of RLJE, on October 31, 2018, RLJE Holdings and RLJE amended and restated the existing Credit and Guaranty Agreement. Pursuant to the amended and restated Credit and Guaranty Agreement, the aggregate principal amount of the RLJE Term Loans were increased by $5 million (for a total of $28 million in outstanding RLJE Term Loans as of October 31, 2018) and the maturity date of the RLJE Term Loans was extended until October 31, 2021. In addition, the amended and restated Credit and Guaranty Agreement permits RLJE to borrow up to an additional $12 million in RLJE Term Loans at any point until October 31, 2021. Interest on the RLJE Term Loans will be payable to RLJE Holdings in cash at a rate of 7.00% per annum.</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Cash Flow Discussion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cash flows provided by (used in) operating, investing and financing activities for the nine months ended September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157"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37465</wp:posOffset>
            </wp:positionV>
            <wp:extent cx="2315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2017</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471,812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273,573</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(185,885)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(104,794)</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(112,615)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56,164</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Net cash provided by operating activities amounted to $471.8 million for the nine months ended September 30, 2018 as compared to $273.6 million for the nine months ended September 30, 2017. Net cash provided by operating activities for the nine months ended September 30, 2018 primarily resulted from $1,214.3 million of net income before amortization of program rights, depreciation and amortization, and other non-cash items, which was partially offset by payments for program rights of $671.1 million, an increase in prepaid expense and other assets of $27.8 million primarily related to an increase in long-term receivables, a decrease in accounts payable, accrued expenses and other liabilities of $36.6 million primarily related to lower employee related liabilities. Changes in all other assets and liabilities resulted in a decrease of $7.0 million.</w:t>
      </w:r>
    </w:p>
    <w:p>
      <w:pPr>
        <w:spacing w:after="0" w:line="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Net cash provided by operating activities amounted to $273.6 million for the nine months ended September 30, 2017 and primarily resulted from $1.1 billion of net income before amortization of program rights, depreciation and amortization, impairment charges, and other non-cash items, which was partially offset by payments for program rights of $720.2 million, an increase in accounts receivable, trade of $13.3 million primarily related to the timing of cash receipts, a decrease in accounts payable, accrued expenses and other liabilities of $8.6 million primarily related to the timing of cash payments, an increase in prepaid expense and other assets of $69.5 million, a decrease in income taxes payable of $24.5 million related to an increase in tax payments and a decrease in deferred revenue of $6.5 million.</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30, 2018 and 2017 was $185.9 million and $104.8 million, respectively. For the nine months ended September 30, 2018, cash used in investing activities included investments of $90.1 million, capital expenditures of $60.8 million, and payments for acquisitions, net of cash acquired of $35.6 million. For the nine months ended September 30, 2017, cash used in investing activities included investments of $43.0 million and capital expenditures of $61.8 million.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76" w:right="239" w:bottom="1440" w:gutter="0" w:footer="0" w:header="0"/>
        </w:sectPr>
      </w:pPr>
    </w:p>
    <w:bookmarkStart w:id="53" w:name="page54"/>
    <w:bookmarkEnd w:id="53"/>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Net cash used in financing activities amounted to $292.0 million for the nine months ended September 30, 2018 as compared to $112.6 million for the nine months ended September 30, 2017. For the nine months ended September 30, 2018, financing activities primarily consisted of purchases of our common stock of $267.4 million under our Stock Repurchase Program. In addition, net cash used in financing activities for the nine months ended September 30, 2018 includes taxes paid in lieu of shares issued for equity-based compensation of $15.7 million, distributions to noncontrolling interests of $9.3 million, and principal payments on capital leases of $3.9 million, partially offset by proceeds from stock option exercises of $4.3 million.</w:t>
      </w:r>
    </w:p>
    <w:p>
      <w:pPr>
        <w:spacing w:after="0" w:line="1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Net cash used in financing activities amounted to $112.6 million for the nine months ended September 30, 2017 and primarily consisted of net proceeds of $786.0 million from the issuance of the 4.75% Notes due 2025 and $750.0 million proceeds for the new Term Loan A Facility partially offset by payments on the old term loan A facility of $1.3 billion. In addition, financing activities included purchases of our common stock of $347.3 million under our Stock Repurchase Program, taxes paid in lieu of shares issued for equity-based compensation of $13.4 million and distributions to a noncontrolling member of $16.1 million.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of September 30, 2018, our contractual obligations not reflected on the condensed consolidated balance sheet decreased $244.9 million to $1.1 billion. The decrease relates to payments for program commitments and the expiration of Company guarantees for certain production related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describe our significant accounting policies in Note 2 to the Company's Consolidated Financial Statements included in our 2017 Form 10-K. We discuss our critical accounting estimates in Item 7, "Management's Discussion and Analysis of Financial Condition and Results of Operations," in the same 2017 Form 10-K. Other than certain judgments and estimates related to the new revenue recognition standard as described in Note 2 to the accompanying condensed consolidated financial statements of the Company included herein, there have been no significant changes in our significant accounting policies or critical accounting estimates since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 1 to the accompanying Condensed Consolidated Financial Statements of the Company for a discussion of recently issued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the level of interest rates prevailing at September 30, 2018, the carrying value of our fixed rate debt of $2.37 billion was more than its fair value of $2.35 billion by approximately $14 million. The fair value of these financial instruments is estimated based on reference to quoted market prices for these or comparable securities. A hypothetical 100 basis point decrease in interest rates prevailing at September 30, 2018 would increase the estimated fair value of our fixed rate debt by approximately $116.7 million to approximately $2.5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2018, we had $3.1 billion of debt outstanding (excluding capital leases), of which $0.7 billion is outstanding under our loan facility and is subject to variable interest rates (before consideration of the interest rate swaps contracts described below).</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September 30, 2018, we had interest rate swap contracts outstanding with notional amounts aggregating $200.0 million. The aggregate fair value of interest rate swap contracts at September 30, 2018 was a net asset of $0.1 million. As a result of these transactions, the interest rate paid on approximately 83% of our debt (excluding capital leases) as of September 30, 2018 is effectively fixed (76% being fixed rate obligations and 7% effectively fixed through utilization of these interest rate swap contracts).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hypothetical 100 basis point increase in interest rates prevailing at September 30, 2018 would not have a material impact on our annual interest expense.</w:t>
      </w:r>
    </w:p>
    <w:p>
      <w:pPr>
        <w:sectPr>
          <w:pgSz w:w="11900" w:h="16838" w:orient="portrait"/>
          <w:cols w:equalWidth="0" w:num="1">
            <w:col w:w="11420"/>
          </w:cols>
          <w:pgMar w:left="240" w:top="476"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76"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2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$2.7 million and $3.5 million of foreign currency transaction losses, net for the three and nine months ended September 30, 2018, respectively. Such amount is included in miscellaneous, net in the condensed consolidated statement of income.</w:t>
      </w:r>
    </w:p>
    <w:p>
      <w:pPr>
        <w:spacing w:after="0" w:line="16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may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14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September 30, 2018, the Company's Chief Executive Officer and Chief Financial Officer concluded that the Company's disclosure controls and procedures are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nine months ended September 30, 2018, there were no changes in the Company's internal control over financial reporting, that have materially affected, or are reasonably likely to materially affect, the Company's internal control over financial reporting.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72"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Since our 2017 Form 10-K, there have been no material developments in legal proceedings in which we are involved. See Note 13, Commitments and Contingencies to the condensed consolidated financial statements included in this Quarterly Report on Form 10-Q.</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March 7, 2016, the Company announced that its Board of Directors authorized a program to repurchase up to $500 million of its outstanding shares of common stock (the "Stock Repurchase Program"). On June 6, 2017, the Board of Directors approved an increase of $500 million and on June 13, 2018, the Board of Directors approved an additional increase of $500 million in the amount authorized for a total of $1.5 billion authorized under the Stock Repurchase Program. The Stock Repurchase Program has no pre-established closing date and may be suspended or discontinued at any time.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Set forth below is information concerning acquisitions of AMC Networks Class A Common Stock by the Company during the three months ended September 30,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jc w:val="center"/>
              <w:ind w:right="154"/>
              <w:spacing w:after="0"/>
              <w:rPr>
                <w:sz w:val="20"/>
                <w:szCs w:val="20"/>
                <w:color w:val="auto"/>
              </w:rPr>
            </w:pPr>
            <w:r>
              <w:rPr>
                <w:rFonts w:ascii="Arial" w:cs="Arial" w:eastAsia="Arial" w:hAnsi="Arial"/>
                <w:sz w:val="16"/>
                <w:szCs w:val="16"/>
                <w:b w:val="1"/>
                <w:bCs w:val="1"/>
                <w:color w:val="auto"/>
                <w:w w:val="96"/>
              </w:rPr>
              <w:t>Maximum Number (or</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(or Units) Purchased as</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Average Price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Shares (or Units) that May Yet</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Paid per Share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Be Purchased Under the Plans</w:t>
            </w:r>
          </w:p>
        </w:tc>
      </w:tr>
      <w:tr>
        <w:trPr>
          <w:trHeight w:val="210"/>
        </w:trPr>
        <w:tc>
          <w:tcPr>
            <w:tcW w:w="410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(or Units) Purchased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(or Unit)</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or Programs</w:t>
            </w:r>
          </w:p>
        </w:tc>
      </w:tr>
      <w:tr>
        <w:trPr>
          <w:trHeight w:val="33"/>
        </w:trPr>
        <w:tc>
          <w:tcPr>
            <w:tcW w:w="3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2018 to July 31, 2018</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84,474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59.18</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84,474</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595,144,256</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August 1, 2018 to August 31, 2018</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334,127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334,127</w:t>
            </w:r>
          </w:p>
        </w:tc>
        <w:tc>
          <w:tcPr>
            <w:tcW w:w="3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4"/>
              <w:spacing w:after="0"/>
              <w:rPr>
                <w:sz w:val="20"/>
                <w:szCs w:val="20"/>
                <w:color w:val="auto"/>
              </w:rPr>
            </w:pPr>
            <w:r>
              <w:rPr>
                <w:rFonts w:ascii="Arial" w:cs="Arial" w:eastAsia="Arial" w:hAnsi="Arial"/>
                <w:sz w:val="18"/>
                <w:szCs w:val="18"/>
                <w:color w:val="auto"/>
              </w:rPr>
              <w:t>575,153,010</w:t>
            </w: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2018 to September 30, 2018</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575,153,010</w:t>
            </w:r>
          </w:p>
        </w:tc>
      </w:tr>
      <w:tr>
        <w:trPr>
          <w:trHeight w:val="257"/>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418,601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418,601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October 31, 2018, the Company completed the acquisition of RLJE pursuant to the terms of the Merger Agreement. At the Effective Time, Merger Sub merged with and into RLJE, with RLJE continuing as the surviving corporation and a wholly owned subsidiary of DEH. The Merger Agreement was approved by the common stockholders of RLJE at a special meeting held earlier on October 31, 2018. The total cash purchase price paid by the Company to acquire the RLJE securities not previously owned by the Company or entities affiliated with Mr. Johnson is approximately $58.9 million.</w:t>
      </w:r>
    </w:p>
    <w:p>
      <w:pPr>
        <w:spacing w:after="0" w:line="15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Following the Effective Time, DEH was renamed “RLJ Entertainment Holdings LLC.” RLJE Holdings is a majority owned subsidiary of the Company, with a minority stake of 17% held by affiliates of Mr. Johnson. The Company has entered into arrangements with Mr. Johnson related to the governance of RLJE Holdings and RLJE following the Merger.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2.1</w:t>
            </w:r>
          </w:p>
        </w:tc>
        <w:tc>
          <w:tcPr>
            <w:tcW w:w="10200" w:type="dxa"/>
            <w:vAlign w:val="bottom"/>
            <w:tcBorders>
              <w:bottom w:val="single" w:sz="8" w:color="0000FF"/>
            </w:tcBorders>
            <w:gridSpan w:val="6"/>
          </w:tcPr>
          <w:p>
            <w:pPr>
              <w:spacing w:after="0"/>
              <w:rPr>
                <w:rFonts w:ascii="Arial" w:cs="Arial" w:eastAsia="Arial" w:hAnsi="Arial"/>
                <w:sz w:val="18"/>
                <w:szCs w:val="18"/>
                <w:color w:val="0000FF"/>
                <w:w w:val="95"/>
              </w:rPr>
            </w:pPr>
            <w:hyperlink r:id="rId24">
              <w:r>
                <w:rPr>
                  <w:rFonts w:ascii="Arial" w:cs="Arial" w:eastAsia="Arial" w:hAnsi="Arial"/>
                  <w:sz w:val="18"/>
                  <w:szCs w:val="18"/>
                  <w:color w:val="0000FF"/>
                  <w:w w:val="95"/>
                </w:rPr>
                <w:t>Agreement and Plan of Merger, dated as of July 29, 2018, by and among RLJE, the Company (solely for the purposes of Section 10.7</w:t>
              </w:r>
            </w:hyperlink>
          </w:p>
        </w:tc>
      </w:tr>
      <w:tr>
        <w:trPr>
          <w:trHeight w:val="196"/>
        </w:trPr>
        <w:tc>
          <w:tcPr>
            <w:tcW w:w="1140" w:type="dxa"/>
            <w:vAlign w:val="bottom"/>
          </w:tcPr>
          <w:p>
            <w:pPr>
              <w:spacing w:after="0"/>
              <w:rPr>
                <w:sz w:val="17"/>
                <w:szCs w:val="17"/>
                <w:color w:val="auto"/>
              </w:rPr>
            </w:pPr>
          </w:p>
        </w:tc>
        <w:tc>
          <w:tcPr>
            <w:tcW w:w="10200" w:type="dxa"/>
            <w:vAlign w:val="bottom"/>
            <w:gridSpan w:val="6"/>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thereof), DEH and Merger Sub (incorporated by reference to Exhibit 2.1 to the Company's Current Report on Form 8-K filed July 30, 2018).</w:t>
              </w:r>
            </w:hyperlink>
          </w:p>
        </w:tc>
      </w:tr>
      <w:tr>
        <w:trPr>
          <w:trHeight w:val="20"/>
        </w:trPr>
        <w:tc>
          <w:tcPr>
            <w:tcW w:w="1140" w:type="dxa"/>
            <w:vAlign w:val="bottom"/>
          </w:tcPr>
          <w:p>
            <w:pPr>
              <w:spacing w:after="0" w:line="20" w:lineRule="exact"/>
              <w:rPr>
                <w:sz w:val="1"/>
                <w:szCs w:val="1"/>
                <w:color w:val="auto"/>
              </w:rPr>
            </w:pPr>
          </w:p>
        </w:tc>
        <w:tc>
          <w:tcPr>
            <w:tcW w:w="6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200" w:type="dxa"/>
            <w:vAlign w:val="bottom"/>
            <w:tcBorders>
              <w:bottom w:val="single" w:sz="8" w:color="0000FF"/>
            </w:tcBorders>
            <w:gridSpan w:val="6"/>
          </w:tcPr>
          <w:p>
            <w:pPr>
              <w:spacing w:after="0"/>
              <w:rPr>
                <w:rFonts w:ascii="Arial" w:cs="Arial" w:eastAsia="Arial" w:hAnsi="Arial"/>
                <w:sz w:val="18"/>
                <w:szCs w:val="18"/>
                <w:color w:val="0000FF"/>
                <w:w w:val="93"/>
              </w:rPr>
            </w:pPr>
            <w:hyperlink r:id="rId25">
              <w:r>
                <w:rPr>
                  <w:rFonts w:ascii="Arial" w:cs="Arial" w:eastAsia="Arial" w:hAnsi="Arial"/>
                  <w:sz w:val="18"/>
                  <w:szCs w:val="18"/>
                  <w:color w:val="0000FF"/>
                  <w:w w:val="93"/>
                </w:rPr>
                <w:t>Employment Agreement dated October 12, 2018 by and between AMC Networks Inc. and Sean S. Sullivan (incorporated by reference to</w:t>
              </w:r>
            </w:hyperlink>
          </w:p>
        </w:tc>
      </w:tr>
      <w:tr>
        <w:trPr>
          <w:trHeight w:val="196"/>
        </w:trPr>
        <w:tc>
          <w:tcPr>
            <w:tcW w:w="1140" w:type="dxa"/>
            <w:vAlign w:val="bottom"/>
          </w:tcPr>
          <w:p>
            <w:pPr>
              <w:spacing w:after="0"/>
              <w:rPr>
                <w:sz w:val="17"/>
                <w:szCs w:val="17"/>
                <w:color w:val="auto"/>
              </w:rPr>
            </w:pPr>
          </w:p>
        </w:tc>
        <w:tc>
          <w:tcPr>
            <w:tcW w:w="63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Exhibit 10.1 to the Company’s Current Report on Form 8-K filed on October 12, 2018).</w:t>
              </w:r>
            </w:hyperlink>
          </w:p>
        </w:tc>
        <w:tc>
          <w:tcPr>
            <w:tcW w:w="3860" w:type="dxa"/>
            <w:vAlign w:val="bottom"/>
            <w:gridSpan w:val="4"/>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10200" w:type="dxa"/>
            <w:vAlign w:val="bottom"/>
            <w:tcBorders>
              <w:bottom w:val="single" w:sz="8" w:color="0000FF"/>
            </w:tcBorders>
            <w:gridSpan w:val="6"/>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Employment Agreement dated October 12, 2018 by and between AMC Networks Inc. and James G. Gallagher (incorporated by reference to</w:t>
              </w:r>
            </w:hyperlink>
          </w:p>
        </w:tc>
      </w:tr>
      <w:tr>
        <w:trPr>
          <w:trHeight w:val="196"/>
        </w:trPr>
        <w:tc>
          <w:tcPr>
            <w:tcW w:w="1140" w:type="dxa"/>
            <w:vAlign w:val="bottom"/>
          </w:tcPr>
          <w:p>
            <w:pPr>
              <w:spacing w:after="0"/>
              <w:rPr>
                <w:sz w:val="17"/>
                <w:szCs w:val="17"/>
                <w:color w:val="auto"/>
              </w:rPr>
            </w:pPr>
          </w:p>
        </w:tc>
        <w:tc>
          <w:tcPr>
            <w:tcW w:w="10200" w:type="dxa"/>
            <w:vAlign w:val="bottom"/>
            <w:gridSpan w:val="6"/>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Exhibit 10.2 to the Company’s Current Report on Form 8-K filed on October 12, 2018).</w:t>
              </w:r>
            </w:hyperlink>
          </w:p>
        </w:tc>
      </w:tr>
      <w:tr>
        <w:trPr>
          <w:trHeight w:val="20"/>
        </w:trPr>
        <w:tc>
          <w:tcPr>
            <w:tcW w:w="1140" w:type="dxa"/>
            <w:vAlign w:val="bottom"/>
          </w:tcPr>
          <w:p>
            <w:pPr>
              <w:spacing w:after="0" w:line="20" w:lineRule="exact"/>
              <w:rPr>
                <w:sz w:val="1"/>
                <w:szCs w:val="1"/>
                <w:color w:val="auto"/>
              </w:rPr>
            </w:pPr>
          </w:p>
        </w:tc>
        <w:tc>
          <w:tcPr>
            <w:tcW w:w="632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724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59">
              <w:r>
                <w:rPr>
                  <w:rFonts w:ascii="Arial" w:cs="Arial" w:eastAsia="Arial" w:hAnsi="Arial"/>
                  <w:sz w:val="18"/>
                  <w:szCs w:val="18"/>
                  <w:color w:val="0000FF"/>
                  <w:w w:val="92"/>
                </w:rPr>
                <w:t>Certification of Chief Executive Officer pursuant to Section 302 of the Sarbanes-Oxley Act of 2002.</w:t>
              </w:r>
            </w:hyperlink>
          </w:p>
        </w:tc>
        <w:tc>
          <w:tcPr>
            <w:tcW w:w="2960" w:type="dxa"/>
            <w:vAlign w:val="bottom"/>
            <w:gridSpan w:val="2"/>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gridSpan w:val="6"/>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140" w:type="dxa"/>
            <w:vAlign w:val="bottom"/>
          </w:tcPr>
          <w:p>
            <w:pPr>
              <w:spacing w:after="0" w:line="20" w:lineRule="exact"/>
              <w:rPr>
                <w:sz w:val="1"/>
                <w:szCs w:val="1"/>
                <w:color w:val="auto"/>
              </w:rPr>
            </w:pPr>
          </w:p>
        </w:tc>
        <w:tc>
          <w:tcPr>
            <w:tcW w:w="6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80" w:hanging="1145"/>
        <w:spacing w:after="0" w:line="277" w:lineRule="auto"/>
        <w:tabs>
          <w:tab w:leader="none" w:pos="1180" w:val="left"/>
        </w:tabs>
        <w:numPr>
          <w:ilvl w:val="0"/>
          <w:numId w:val="16"/>
        </w:numPr>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Certifications of Chief Executive Officer and Chief Financial Officer pursuant to Section 906 of the Sarbanes-Oxley Act of 2002, 18 U.S.C.</w:t>
        </w:r>
      </w:hyperlink>
      <w:r>
        <w:rPr>
          <w:rFonts w:ascii="Arial" w:cs="Arial" w:eastAsia="Arial" w:hAnsi="Arial"/>
          <w:sz w:val="18"/>
          <w:szCs w:val="18"/>
          <w:u w:val="single" w:color="auto"/>
          <w:color w:val="0000FF"/>
        </w:rPr>
        <w:t xml:space="preserve"> </w:t>
      </w:r>
      <w:hyperlink w:anchor="page61">
        <w:r>
          <w:rPr>
            <w:rFonts w:ascii="Arial" w:cs="Arial" w:eastAsia="Arial" w:hAnsi="Arial"/>
            <w:sz w:val="18"/>
            <w:szCs w:val="18"/>
            <w:u w:val="single" w:color="auto"/>
            <w:color w:val="0000FF"/>
          </w:rPr>
          <w:t>Section 1350.</w:t>
        </w:r>
      </w:hyperlink>
    </w:p>
    <w:p>
      <w:pPr>
        <w:spacing w:after="0" w:line="130" w:lineRule="exact"/>
        <w:rPr>
          <w:rFonts w:ascii="Arial" w:cs="Arial" w:eastAsia="Arial" w:hAnsi="Arial"/>
          <w:sz w:val="18"/>
          <w:szCs w:val="18"/>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5"/>
              </w:rPr>
              <w:t>XBRL Taxonomy Extension Calculation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2"/>
              </w:rPr>
              <w:t>XBRL Taxonomy Extension Presentation Linkbase Document.</w:t>
            </w:r>
          </w:p>
        </w:tc>
      </w:tr>
      <w:tr>
        <w:trPr>
          <w:trHeight w:val="702"/>
        </w:trPr>
        <w:tc>
          <w:tcPr>
            <w:tcW w:w="900" w:type="dxa"/>
            <w:vAlign w:val="bottom"/>
          </w:tcPr>
          <w:p>
            <w:pPr>
              <w:spacing w:after="0"/>
              <w:rPr>
                <w:sz w:val="24"/>
                <w:szCs w:val="24"/>
                <w:color w:val="auto"/>
              </w:rPr>
            </w:pPr>
          </w:p>
        </w:tc>
        <w:tc>
          <w:tcPr>
            <w:tcW w:w="4860" w:type="dxa"/>
            <w:vAlign w:val="bottom"/>
          </w:tcPr>
          <w:p>
            <w:pPr>
              <w:ind w:left="4680"/>
              <w:spacing w:after="0"/>
              <w:rPr>
                <w:sz w:val="20"/>
                <w:szCs w:val="20"/>
                <w:color w:val="auto"/>
              </w:rPr>
            </w:pPr>
            <w:r>
              <w:rPr>
                <w:rFonts w:ascii="Arial" w:cs="Arial" w:eastAsia="Arial" w:hAnsi="Arial"/>
                <w:sz w:val="18"/>
                <w:szCs w:val="18"/>
                <w:color w:val="auto"/>
                <w:w w:val="79"/>
              </w:rPr>
              <w:t>55</w:t>
            </w:r>
          </w:p>
        </w:tc>
      </w:tr>
    </w:tbl>
    <w:p>
      <w:pPr>
        <w:sectPr>
          <w:pgSz w:w="11900" w:h="16838" w:orient="portrait"/>
          <w:cols w:equalWidth="0" w:num="1">
            <w:col w:w="11380"/>
          </w:cols>
          <w:pgMar w:left="240" w:top="472" w:right="27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30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AMC Networks Inc.</w:t>
      </w:r>
    </w:p>
    <w:p>
      <w:pPr>
        <w:spacing w:after="0" w:line="252" w:lineRule="exact"/>
        <w:rPr>
          <w:sz w:val="20"/>
          <w:szCs w:val="20"/>
          <w:color w:val="auto"/>
        </w:rPr>
      </w:pPr>
    </w:p>
    <w:p>
      <w:pPr>
        <w:ind w:left="280"/>
        <w:spacing w:after="0"/>
        <w:tabs>
          <w:tab w:leader="none" w:pos="562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6"/>
          <w:szCs w:val="16"/>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4645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171"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8"/>
        <w:spacing w:after="0" w:line="277" w:lineRule="auto"/>
        <w:tabs>
          <w:tab w:leader="none" w:pos="2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7220" w:val="left"/>
          <w:tab w:leader="none" w:pos="7680" w:val="left"/>
        </w:tabs>
        <w:rPr>
          <w:sz w:val="20"/>
          <w:szCs w:val="20"/>
          <w:color w:val="auto"/>
        </w:rPr>
      </w:pPr>
      <w:r>
        <w:rPr>
          <w:rFonts w:ascii="Arial" w:cs="Arial" w:eastAsia="Arial" w:hAnsi="Arial"/>
          <w:sz w:val="18"/>
          <w:szCs w:val="18"/>
          <w:color w:val="auto"/>
        </w:rPr>
        <w:t>Date:</w:t>
        <w:tab/>
        <w:t>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Sean S. Sullivan, certify that:</w:t>
      </w:r>
    </w:p>
    <w:p>
      <w:pPr>
        <w:spacing w:after="0" w:line="171"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277" w:lineRule="auto"/>
        <w:tabs>
          <w:tab w:leader="none" w:pos="2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September 30, 2018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32"/>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24" Type="http://schemas.openxmlformats.org/officeDocument/2006/relationships/hyperlink" Target="http://www.sec.gov/Archives/edgar/data/1514991/000119312518230456/d586184dex21.htm" TargetMode="External"/><Relationship Id="rId25" Type="http://schemas.openxmlformats.org/officeDocument/2006/relationships/hyperlink" Target="http://www.sec.gov/Archives/edgar/data/1514991/000151499118000024/amcx101218ex-101.htm" TargetMode="External"/><Relationship Id="rId26" Type="http://schemas.openxmlformats.org/officeDocument/2006/relationships/hyperlink" Target="http://www.sec.gov/Archives/edgar/data/1514991/000151499118000024/amcx101218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2019-12-28T18:28:34Z</dcterms:created>
  <dcterms:modified xsi:type="dcterms:W3CDTF">2019-12-28T18:28:34Z</dcterms:modified>
</cp:coreProperties>
</file>