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AMC Global Media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SH CL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Allspring Global Investments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120,449.00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1,791,009.00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1,791,009.00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AMC Global Media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 Penn Plaza, New York, US-NY, 10001, US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Allspring Global Investments Holdings,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1415 Vantage Park Drive, Charlotte, 28203, North Carolina, United States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SH CL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1,791,009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120,449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1,791,009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The securities as to which this Schedule is filed are owned of record by clients of one or more investment Advisers identified in Exhibit A directly or indirectly owned by Allspring Global Investments Holdings, LLC. Those Clients have the right to receive, or the power to direct the receipt of, dividends from, or the proceeds for the sale of, such securities. No such client is known to have such right or power with respect to more than five percent of this class of securities, except as follows: None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Allspring Global Investments Holdings, LLC</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Jennifer Grunberg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Senior Compliance Manager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A Subsidiary Allspring Global Investments, LLC* - IA Allspring Funds Management, LLC* - IA *Entity beneficially owns 5% or greater of the outstanding shares of the security class being reported on this schedule 13G.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1009</Words>
  <Characters>5153</Characters>
  <CharactersWithSpaces>6153</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