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57150</wp:posOffset>
            </wp:positionV>
            <wp:extent cx="3291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90805</wp:posOffset>
            </wp:positionV>
            <wp:extent cx="3291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ind w:left="2180" w:hanging="588"/>
        <w:spacing w:after="0"/>
        <w:tabs>
          <w:tab w:leader="none" w:pos="2180" w:val="left"/>
        </w:tabs>
        <w:numPr>
          <w:ilvl w:val="0"/>
          <w:numId w:val="1"/>
        </w:numPr>
        <w:rPr>
          <w:rFonts w:ascii="MS PGothic" w:cs="MS PGothic" w:eastAsia="MS PGothic" w:hAnsi="MS PGothic"/>
          <w:sz w:val="43"/>
          <w:szCs w:val="43"/>
          <w:color w:val="auto"/>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6"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7"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or</w:t>
      </w:r>
    </w:p>
    <w:p>
      <w:pPr>
        <w:ind w:left="2180" w:hanging="588"/>
        <w:spacing w:after="0" w:line="193" w:lineRule="auto"/>
        <w:tabs>
          <w:tab w:leader="none" w:pos="2180" w:val="left"/>
        </w:tabs>
        <w:numPr>
          <w:ilvl w:val="0"/>
          <w:numId w:val="2"/>
        </w:numPr>
        <w:rPr>
          <w:rFonts w:ascii="MS PGothic" w:cs="MS PGothic" w:eastAsia="MS PGothic" w:hAnsi="MS PGothic"/>
          <w:sz w:val="43"/>
          <w:szCs w:val="43"/>
          <w:color w:val="auto"/>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7" w:lineRule="exact"/>
        <w:rPr>
          <w:sz w:val="24"/>
          <w:szCs w:val="24"/>
          <w:color w:val="auto"/>
        </w:rPr>
      </w:pPr>
    </w:p>
    <w:tbl>
      <w:tblPr>
        <w:tblLayout w:type="fixed"/>
        <w:tblInd w:w="52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46"/>
        </w:trPr>
        <w:tc>
          <w:tcPr>
            <w:tcW w:w="2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320" w:type="dxa"/>
            <w:vAlign w:val="bottom"/>
            <w:gridSpan w:val="3"/>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Commission File Number: 1-35106</w:t>
            </w:r>
          </w:p>
        </w:tc>
      </w:tr>
      <w:tr>
        <w:trPr>
          <w:trHeight w:val="135"/>
        </w:trPr>
        <w:tc>
          <w:tcPr>
            <w:tcW w:w="25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0" w:type="dxa"/>
            <w:vAlign w:val="bottom"/>
            <w:tcBorders>
              <w:bottom w:val="single" w:sz="8" w:color="auto"/>
            </w:tcBorders>
            <w:gridSpan w:val="2"/>
          </w:tcPr>
          <w:p>
            <w:pPr>
              <w:spacing w:after="0"/>
              <w:rPr>
                <w:sz w:val="11"/>
                <w:szCs w:val="11"/>
                <w:color w:val="auto"/>
              </w:rPr>
            </w:pPr>
          </w:p>
        </w:tc>
        <w:tc>
          <w:tcPr>
            <w:tcW w:w="1920" w:type="dxa"/>
            <w:vAlign w:val="bottom"/>
          </w:tcPr>
          <w:p>
            <w:pPr>
              <w:spacing w:after="0"/>
              <w:rPr>
                <w:sz w:val="11"/>
                <w:szCs w:val="11"/>
                <w:color w:val="auto"/>
              </w:rPr>
            </w:pPr>
          </w:p>
        </w:tc>
      </w:tr>
      <w:tr>
        <w:trPr>
          <w:trHeight w:val="473"/>
        </w:trPr>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320" w:type="dxa"/>
            <w:vAlign w:val="bottom"/>
            <w:gridSpan w:val="3"/>
          </w:tcPr>
          <w:p>
            <w:pPr>
              <w:jc w:val="center"/>
              <w:ind w:right="2720"/>
              <w:spacing w:after="0"/>
              <w:rPr>
                <w:sz w:val="20"/>
                <w:szCs w:val="20"/>
                <w:color w:val="auto"/>
              </w:rPr>
            </w:pPr>
            <w:r>
              <w:rPr>
                <w:rFonts w:ascii="Times New Roman" w:cs="Times New Roman" w:eastAsia="Times New Roman" w:hAnsi="Times New Roman"/>
                <w:sz w:val="29"/>
                <w:szCs w:val="29"/>
                <w:b w:val="1"/>
                <w:bCs w:val="1"/>
                <w:color w:val="auto"/>
                <w:w w:val="98"/>
              </w:rPr>
              <w:t>AMC Networks Inc.</w:t>
            </w:r>
          </w:p>
        </w:tc>
      </w:tr>
      <w:tr>
        <w:trPr>
          <w:trHeight w:val="257"/>
        </w:trPr>
        <w:tc>
          <w:tcPr>
            <w:tcW w:w="2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320" w:type="dxa"/>
            <w:vAlign w:val="bottom"/>
            <w:gridSpan w:val="3"/>
          </w:tcPr>
          <w:p>
            <w:pPr>
              <w:jc w:val="center"/>
              <w:ind w:right="27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73"/>
        </w:trPr>
        <w:tc>
          <w:tcPr>
            <w:tcW w:w="252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920" w:type="dxa"/>
            <w:vAlign w:val="bottom"/>
          </w:tcPr>
          <w:p>
            <w:pPr>
              <w:spacing w:after="0"/>
              <w:rPr>
                <w:sz w:val="6"/>
                <w:szCs w:val="6"/>
                <w:color w:val="auto"/>
              </w:rPr>
            </w:pPr>
          </w:p>
        </w:tc>
      </w:tr>
      <w:tr>
        <w:trPr>
          <w:trHeight w:val="428"/>
        </w:trPr>
        <w:tc>
          <w:tcPr>
            <w:tcW w:w="3300" w:type="dxa"/>
            <w:vAlign w:val="bottom"/>
            <w:gridSpan w:val="2"/>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080" w:type="dxa"/>
            <w:vAlign w:val="bottom"/>
          </w:tcPr>
          <w:p>
            <w:pPr>
              <w:spacing w:after="0"/>
              <w:rPr>
                <w:sz w:val="24"/>
                <w:szCs w:val="24"/>
                <w:color w:val="auto"/>
              </w:rPr>
            </w:pPr>
          </w:p>
        </w:tc>
        <w:tc>
          <w:tcPr>
            <w:tcW w:w="424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27-5403694</w:t>
            </w:r>
          </w:p>
        </w:tc>
      </w:tr>
      <w:tr>
        <w:trPr>
          <w:trHeight w:val="148"/>
        </w:trPr>
        <w:tc>
          <w:tcPr>
            <w:tcW w:w="3300" w:type="dxa"/>
            <w:vAlign w:val="bottom"/>
            <w:gridSpan w:val="2"/>
          </w:tcPr>
          <w:p>
            <w:pPr>
              <w:jc w:val="center"/>
              <w:ind w:left="12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80" w:type="dxa"/>
            <w:vAlign w:val="bottom"/>
          </w:tcPr>
          <w:p>
            <w:pPr>
              <w:spacing w:after="0"/>
              <w:rPr>
                <w:sz w:val="12"/>
                <w:szCs w:val="12"/>
                <w:color w:val="auto"/>
              </w:rPr>
            </w:pPr>
          </w:p>
        </w:tc>
        <w:tc>
          <w:tcPr>
            <w:tcW w:w="4240" w:type="dxa"/>
            <w:vAlign w:val="bottom"/>
            <w:gridSpan w:val="2"/>
          </w:tcPr>
          <w:p>
            <w:pPr>
              <w:jc w:val="center"/>
              <w:ind w:left="7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300" w:type="dxa"/>
            <w:vAlign w:val="bottom"/>
            <w:gridSpan w:val="2"/>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80" w:type="dxa"/>
            <w:vAlign w:val="bottom"/>
          </w:tcPr>
          <w:p>
            <w:pPr>
              <w:spacing w:after="0"/>
              <w:rPr>
                <w:sz w:val="16"/>
                <w:szCs w:val="16"/>
                <w:color w:val="auto"/>
              </w:rPr>
            </w:pPr>
          </w:p>
        </w:tc>
        <w:tc>
          <w:tcPr>
            <w:tcW w:w="4240" w:type="dxa"/>
            <w:vAlign w:val="bottom"/>
            <w:gridSpan w:val="2"/>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3300" w:type="dxa"/>
            <w:vAlign w:val="bottom"/>
            <w:gridSpan w:val="2"/>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11 Penn Plaza,</w:t>
            </w:r>
          </w:p>
        </w:tc>
        <w:tc>
          <w:tcPr>
            <w:tcW w:w="2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7"/>
        </w:trPr>
        <w:tc>
          <w:tcPr>
            <w:tcW w:w="330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New York, NY</w:t>
            </w:r>
          </w:p>
        </w:tc>
        <w:tc>
          <w:tcPr>
            <w:tcW w:w="2080" w:type="dxa"/>
            <w:vAlign w:val="bottom"/>
          </w:tcPr>
          <w:p>
            <w:pPr>
              <w:spacing w:after="0"/>
              <w:rPr>
                <w:sz w:val="19"/>
                <w:szCs w:val="19"/>
                <w:color w:val="auto"/>
              </w:rPr>
            </w:pPr>
          </w:p>
        </w:tc>
        <w:tc>
          <w:tcPr>
            <w:tcW w:w="42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190"/>
        </w:trPr>
        <w:tc>
          <w:tcPr>
            <w:tcW w:w="5380" w:type="dxa"/>
            <w:vAlign w:val="bottom"/>
            <w:gridSpan w:val="3"/>
          </w:tcPr>
          <w:p>
            <w:pPr>
              <w:jc w:val="center"/>
              <w:ind w:right="71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240" w:type="dxa"/>
            <w:vAlign w:val="bottom"/>
            <w:gridSpan w:val="2"/>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3"/>
        </w:trPr>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0" w:type="dxa"/>
            <w:vAlign w:val="bottom"/>
            <w:gridSpan w:val="2"/>
          </w:tcPr>
          <w:p>
            <w:pPr>
              <w:jc w:val="center"/>
              <w:ind w:right="719"/>
              <w:spacing w:after="0"/>
              <w:rPr>
                <w:sz w:val="20"/>
                <w:szCs w:val="20"/>
                <w:color w:val="auto"/>
              </w:rPr>
            </w:pPr>
            <w:r>
              <w:rPr>
                <w:rFonts w:ascii="Times New Roman" w:cs="Times New Roman" w:eastAsia="Times New Roman" w:hAnsi="Times New Roman"/>
                <w:sz w:val="18"/>
                <w:szCs w:val="18"/>
                <w:b w:val="1"/>
                <w:bCs w:val="1"/>
                <w:color w:val="auto"/>
                <w:w w:val="99"/>
              </w:rPr>
              <w:t>(212) 324-8500</w:t>
            </w:r>
          </w:p>
        </w:tc>
        <w:tc>
          <w:tcPr>
            <w:tcW w:w="1920" w:type="dxa"/>
            <w:vAlign w:val="bottom"/>
          </w:tcPr>
          <w:p>
            <w:pPr>
              <w:spacing w:after="0"/>
              <w:rPr>
                <w:sz w:val="24"/>
                <w:szCs w:val="24"/>
                <w:color w:val="auto"/>
              </w:rPr>
            </w:pPr>
          </w:p>
        </w:tc>
      </w:tr>
      <w:tr>
        <w:trPr>
          <w:trHeight w:val="175"/>
        </w:trPr>
        <w:tc>
          <w:tcPr>
            <w:tcW w:w="2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320" w:type="dxa"/>
            <w:vAlign w:val="bottom"/>
            <w:gridSpan w:val="3"/>
          </w:tcPr>
          <w:p>
            <w:pPr>
              <w:jc w:val="center"/>
              <w:ind w:right="27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190"/>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320" w:type="dxa"/>
            <w:vAlign w:val="bottom"/>
            <w:gridSpan w:val="3"/>
          </w:tcPr>
          <w:p>
            <w:pPr>
              <w:jc w:val="center"/>
              <w:ind w:right="27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76"/>
        </w:trPr>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80" w:type="dxa"/>
            <w:vAlign w:val="bottom"/>
          </w:tcPr>
          <w:p>
            <w:pPr>
              <w:jc w:val="center"/>
              <w:ind w:left="511"/>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240" w:type="dxa"/>
            <w:vAlign w:val="bottom"/>
            <w:gridSpan w:val="2"/>
          </w:tcPr>
          <w:p>
            <w:pPr>
              <w:ind w:left="12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6"/>
        </w:trPr>
        <w:tc>
          <w:tcPr>
            <w:tcW w:w="33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2080" w:type="dxa"/>
            <w:vAlign w:val="bottom"/>
          </w:tcPr>
          <w:p>
            <w:pPr>
              <w:jc w:val="center"/>
              <w:ind w:left="511"/>
              <w:spacing w:after="0"/>
              <w:rPr>
                <w:sz w:val="20"/>
                <w:szCs w:val="20"/>
                <w:color w:val="auto"/>
              </w:rPr>
            </w:pPr>
            <w:r>
              <w:rPr>
                <w:rFonts w:ascii="Times New Roman" w:cs="Times New Roman" w:eastAsia="Times New Roman" w:hAnsi="Times New Roman"/>
                <w:sz w:val="16"/>
                <w:szCs w:val="16"/>
                <w:color w:val="auto"/>
                <w:w w:val="99"/>
              </w:rPr>
              <w:t>AMCX</w:t>
            </w:r>
          </w:p>
        </w:tc>
        <w:tc>
          <w:tcPr>
            <w:tcW w:w="424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128"/>
        </w:trPr>
        <w:tc>
          <w:tcPr>
            <w:tcW w:w="25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1920" w:type="dxa"/>
            <w:vAlign w:val="bottom"/>
          </w:tcPr>
          <w:p>
            <w:pPr>
              <w:spacing w:after="0"/>
              <w:rPr>
                <w:sz w:val="11"/>
                <w:szCs w:val="11"/>
                <w:color w:val="auto"/>
              </w:rPr>
            </w:pPr>
          </w:p>
        </w:tc>
      </w:tr>
    </w:tbl>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28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35"/>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34"/>
        </w:trPr>
        <w:tc>
          <w:tcPr>
            <w:tcW w:w="19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860" w:type="dxa"/>
            <w:vAlign w:val="bottom"/>
          </w:tcPr>
          <w:p>
            <w:pPr>
              <w:ind w:left="27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220"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334"/>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3800" w:type="dxa"/>
            <w:vAlign w:val="bottom"/>
          </w:tcPr>
          <w:p>
            <w:pPr>
              <w:jc w:val="right"/>
              <w:ind w:right="2559"/>
              <w:spacing w:after="0" w:line="219"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r>
        <w:trPr>
          <w:trHeight w:val="322"/>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The number of shares of common stock outstanding as of August 1, 2025:</w:t>
            </w:r>
          </w:p>
        </w:tc>
        <w:tc>
          <w:tcPr>
            <w:tcW w:w="3800" w:type="dxa"/>
            <w:vAlign w:val="bottom"/>
          </w:tcPr>
          <w:p>
            <w:pPr>
              <w:spacing w:after="0"/>
              <w:rPr>
                <w:sz w:val="24"/>
                <w:szCs w:val="24"/>
                <w:color w:val="auto"/>
              </w:rPr>
            </w:pPr>
          </w:p>
        </w:tc>
      </w:tr>
      <w:tr>
        <w:trPr>
          <w:trHeight w:val="243"/>
        </w:trPr>
        <w:tc>
          <w:tcPr>
            <w:tcW w:w="744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3800" w:type="dxa"/>
            <w:vAlign w:val="bottom"/>
          </w:tcPr>
          <w:p>
            <w:pPr>
              <w:jc w:val="right"/>
              <w:ind w:right="2159"/>
              <w:spacing w:after="0"/>
              <w:rPr>
                <w:sz w:val="20"/>
                <w:szCs w:val="20"/>
                <w:color w:val="auto"/>
              </w:rPr>
            </w:pPr>
            <w:r>
              <w:rPr>
                <w:rFonts w:ascii="Times New Roman" w:cs="Times New Roman" w:eastAsia="Times New Roman" w:hAnsi="Times New Roman"/>
                <w:sz w:val="16"/>
                <w:szCs w:val="16"/>
                <w:color w:val="auto"/>
              </w:rPr>
              <w:t>31,899,405</w:t>
            </w:r>
          </w:p>
        </w:tc>
      </w:tr>
      <w:tr>
        <w:trPr>
          <w:trHeight w:val="216"/>
        </w:trPr>
        <w:tc>
          <w:tcPr>
            <w:tcW w:w="744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Class B Common Stock par value $0.01 per share</w:t>
            </w:r>
          </w:p>
        </w:tc>
        <w:tc>
          <w:tcPr>
            <w:tcW w:w="3800" w:type="dxa"/>
            <w:vAlign w:val="bottom"/>
          </w:tcPr>
          <w:p>
            <w:pPr>
              <w:jc w:val="right"/>
              <w:ind w:right="2159"/>
              <w:spacing w:after="0"/>
              <w:rPr>
                <w:sz w:val="20"/>
                <w:szCs w:val="20"/>
                <w:color w:val="auto"/>
              </w:rPr>
            </w:pPr>
            <w:r>
              <w:rPr>
                <w:rFonts w:ascii="Times New Roman" w:cs="Times New Roman" w:eastAsia="Times New Roman" w:hAnsi="Times New Roman"/>
                <w:sz w:val="16"/>
                <w:szCs w:val="16"/>
                <w:color w:val="auto"/>
              </w:rPr>
              <w:t>11,484,408</w:t>
            </w:r>
          </w:p>
        </w:tc>
      </w:tr>
      <w:tr>
        <w:trPr>
          <w:trHeight w:val="823"/>
        </w:trPr>
        <w:tc>
          <w:tcPr>
            <w:tcW w:w="7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AMC NETWORKS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7360" w:type="dxa"/>
            <w:vAlign w:val="bottom"/>
            <w:gridSpan w:val="11"/>
            <w:vMerge w:val="restart"/>
          </w:tcPr>
          <w:p>
            <w:pPr>
              <w:spacing w:after="0"/>
              <w:rPr>
                <w:sz w:val="20"/>
                <w:szCs w:val="20"/>
                <w:color w:val="auto"/>
              </w:rPr>
            </w:pPr>
          </w:p>
        </w:tc>
        <w:tc>
          <w:tcPr>
            <w:tcW w:w="7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3080" w:type="dxa"/>
            <w:vAlign w:val="bottom"/>
            <w:tcBorders>
              <w:bottom w:val="single" w:sz="8" w:color="0000FF"/>
            </w:tcBorders>
            <w:gridSpan w:val="10"/>
            <w:vMerge w:val="continue"/>
          </w:tcPr>
          <w:p>
            <w:pPr>
              <w:spacing w:after="0"/>
              <w:rPr>
                <w:sz w:val="14"/>
                <w:szCs w:val="14"/>
                <w:color w:val="auto"/>
              </w:rPr>
            </w:pPr>
          </w:p>
        </w:tc>
        <w:tc>
          <w:tcPr>
            <w:tcW w:w="7360" w:type="dxa"/>
            <w:vAlign w:val="bottom"/>
            <w:gridSpan w:val="11"/>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(Loss)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w:t>
            </w:r>
          </w:p>
        </w:tc>
        <w:tc>
          <w:tcPr>
            <w:tcW w:w="4820" w:type="dxa"/>
            <w:vAlign w:val="bottom"/>
            <w:gridSpan w:val="2"/>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720" w:type="dxa"/>
            <w:vAlign w:val="bottom"/>
            <w:gridSpan w:val="3"/>
          </w:tcPr>
          <w:p>
            <w:pPr>
              <w:spacing w:after="0"/>
              <w:rPr>
                <w:sz w:val="18"/>
                <w:szCs w:val="18"/>
                <w:color w:val="auto"/>
              </w:rPr>
            </w:pPr>
          </w:p>
        </w:tc>
        <w:tc>
          <w:tcPr>
            <w:tcW w:w="4820" w:type="dxa"/>
            <w:vAlign w:val="bottom"/>
            <w:gridSpan w:val="2"/>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540" w:type="dxa"/>
            <w:vAlign w:val="bottom"/>
            <w:gridSpan w:val="5"/>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800" w:type="dxa"/>
            <w:vAlign w:val="bottom"/>
            <w:tcBorders>
              <w:top w:val="single" w:sz="8" w:color="0000FF"/>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10"/>
          </w:tcPr>
          <w:p>
            <w:pPr>
              <w:spacing w:after="0"/>
              <w:rPr>
                <w:sz w:val="18"/>
                <w:szCs w:val="18"/>
                <w:color w:val="auto"/>
              </w:rPr>
            </w:pPr>
          </w:p>
        </w:tc>
        <w:tc>
          <w:tcPr>
            <w:tcW w:w="532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766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36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340" w:type="dxa"/>
            <w:vAlign w:val="bottom"/>
            <w:gridSpan w:val="14"/>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640" w:type="dxa"/>
            <w:vAlign w:val="bottom"/>
            <w:gridSpan w:val="15"/>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97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4360" w:type="dxa"/>
            <w:vAlign w:val="bottom"/>
            <w:tcBorders>
              <w:top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534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80" w:type="dxa"/>
            <w:vAlign w:val="bottom"/>
            <w:gridSpan w:val="1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p>
      <w:pPr>
        <w:spacing w:after="0" w:line="2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jc w:val="center"/>
        <w:ind w:right="-19"/>
        <w:spacing w:after="0" w:line="213" w:lineRule="auto"/>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9"/>
        </w:trPr>
        <w:tc>
          <w:tcPr>
            <w:tcW w:w="7500" w:type="dxa"/>
            <w:vAlign w:val="bottom"/>
          </w:tcPr>
          <w:p>
            <w:pPr>
              <w:ind w:left="34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866,407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784,649</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trade (less allowance for doubtful accounts of $8,944 and $9,468)</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614,887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623,898</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245,342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262,257</w:t>
            </w:r>
          </w:p>
        </w:tc>
        <w:tc>
          <w:tcPr>
            <w:tcW w:w="0" w:type="dxa"/>
            <w:vAlign w:val="bottom"/>
          </w:tcPr>
          <w:p>
            <w:pPr>
              <w:spacing w:after="0"/>
              <w:rPr>
                <w:sz w:val="1"/>
                <w:szCs w:val="1"/>
                <w:color w:val="auto"/>
              </w:rPr>
            </w:pPr>
          </w:p>
        </w:tc>
      </w:tr>
      <w:tr>
        <w:trPr>
          <w:trHeight w:val="212"/>
        </w:trPr>
        <w:tc>
          <w:tcPr>
            <w:tcW w:w="7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1,726,636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1,670,804</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$403,242 and $458,396</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143,036</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Program rights, net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1,729,327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1,713,952</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216,478</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246,304</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13,183</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58,390</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300,062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300,074</w:t>
            </w:r>
          </w:p>
        </w:tc>
        <w:tc>
          <w:tcPr>
            <w:tcW w:w="0" w:type="dxa"/>
            <w:vAlign w:val="bottom"/>
          </w:tcPr>
          <w:p>
            <w:pPr>
              <w:spacing w:after="0"/>
              <w:rPr>
                <w:sz w:val="1"/>
                <w:szCs w:val="1"/>
                <w:color w:val="auto"/>
              </w:rPr>
            </w:pPr>
          </w:p>
        </w:tc>
      </w:tr>
      <w:tr>
        <w:trPr>
          <w:trHeight w:val="237"/>
        </w:trPr>
        <w:tc>
          <w:tcPr>
            <w:tcW w:w="75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4,421,567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4,362,221</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102,275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88,570</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290,718</w:t>
            </w:r>
          </w:p>
        </w:tc>
        <w:tc>
          <w:tcPr>
            <w:tcW w:w="0" w:type="dxa"/>
            <w:vAlign w:val="bottom"/>
          </w:tcPr>
          <w:p>
            <w:pPr>
              <w:spacing w:after="0"/>
              <w:rPr>
                <w:sz w:val="1"/>
                <w:szCs w:val="1"/>
                <w:color w:val="auto"/>
              </w:rPr>
            </w:pPr>
          </w:p>
        </w:tc>
      </w:tr>
      <w:tr>
        <w:trPr>
          <w:trHeight w:val="213"/>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program rights obligations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221,603</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61,838</w:t>
            </w:r>
          </w:p>
        </w:tc>
        <w:tc>
          <w:tcPr>
            <w:tcW w:w="0" w:type="dxa"/>
            <w:vAlign w:val="bottom"/>
          </w:tcPr>
          <w:p>
            <w:pPr>
              <w:spacing w:after="0"/>
              <w:rPr>
                <w:sz w:val="1"/>
                <w:szCs w:val="1"/>
                <w:color w:val="auto"/>
              </w:rPr>
            </w:pPr>
          </w:p>
        </w:tc>
      </w:tr>
      <w:tr>
        <w:trPr>
          <w:trHeight w:val="213"/>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lease obligations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32,439</w:t>
            </w:r>
          </w:p>
        </w:tc>
        <w:tc>
          <w:tcPr>
            <w:tcW w:w="0" w:type="dxa"/>
            <w:vAlign w:val="bottom"/>
          </w:tcPr>
          <w:p>
            <w:pPr>
              <w:spacing w:after="0"/>
              <w:rPr>
                <w:sz w:val="1"/>
                <w:szCs w:val="1"/>
                <w:color w:val="auto"/>
              </w:rPr>
            </w:pPr>
          </w:p>
        </w:tc>
      </w:tr>
      <w:tr>
        <w:trPr>
          <w:trHeight w:val="207"/>
        </w:trPr>
        <w:tc>
          <w:tcPr>
            <w:tcW w:w="7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833,378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702,668</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Program rights obligations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144,476</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2,127,822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2,328,719</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obligations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64,581</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121,302</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60,334</w:t>
            </w:r>
          </w:p>
        </w:tc>
        <w:tc>
          <w:tcPr>
            <w:tcW w:w="0" w:type="dxa"/>
            <w:vAlign w:val="bottom"/>
          </w:tcPr>
          <w:p>
            <w:pPr>
              <w:spacing w:after="0"/>
              <w:rPr>
                <w:sz w:val="1"/>
                <w:szCs w:val="1"/>
                <w:color w:val="auto"/>
              </w:rPr>
            </w:pPr>
          </w:p>
        </w:tc>
      </w:tr>
      <w:tr>
        <w:trPr>
          <w:trHeight w:val="207"/>
        </w:trPr>
        <w:tc>
          <w:tcPr>
            <w:tcW w:w="7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3,354,830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3,422,080</w:t>
            </w:r>
          </w:p>
        </w:tc>
        <w:tc>
          <w:tcPr>
            <w:tcW w:w="0" w:type="dxa"/>
            <w:vAlign w:val="bottom"/>
          </w:tcPr>
          <w:p>
            <w:pPr>
              <w:spacing w:after="0"/>
              <w:rPr>
                <w:sz w:val="1"/>
                <w:szCs w:val="1"/>
                <w:color w:val="auto"/>
              </w:rPr>
            </w:pPr>
          </w:p>
        </w:tc>
      </w:tr>
      <w:tr>
        <w:trPr>
          <w:trHeight w:val="19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59,030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55,881</w:t>
            </w:r>
          </w:p>
        </w:tc>
        <w:tc>
          <w:tcPr>
            <w:tcW w:w="0" w:type="dxa"/>
            <w:vAlign w:val="bottom"/>
          </w:tcPr>
          <w:p>
            <w:pPr>
              <w:spacing w:after="0"/>
              <w:rPr>
                <w:sz w:val="1"/>
                <w:szCs w:val="1"/>
                <w:color w:val="auto"/>
              </w:rPr>
            </w:pPr>
          </w:p>
        </w:tc>
      </w:tr>
      <w:tr>
        <w:trPr>
          <w:trHeight w:val="19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5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A Common Stock, $0.01 par value, 360,000 shares authorized: 66,730 and 66,730 shares issued and 31,899</w:t>
            </w:r>
          </w:p>
        </w:tc>
        <w:tc>
          <w:tcPr>
            <w:tcW w:w="2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13"/>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and 32,636 shares outstanding, respectively</w:t>
            </w:r>
          </w:p>
        </w:tc>
        <w:tc>
          <w:tcPr>
            <w:tcW w:w="2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B Common Stock, $0.01 par value, 90,000 shares authorized: 11,484 shares issued and outstanding</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45,000 shares authorized: none issued</w:t>
            </w:r>
          </w:p>
        </w:tc>
        <w:tc>
          <w:tcPr>
            <w:tcW w:w="26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Paid-in capital</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437,860</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earnings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2,155,064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2,092,229</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at cost (34,831 and 34,094 shares Class A Common Stock, respectively)</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(1,408,307)</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(217,929)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(266,969)</w:t>
            </w:r>
          </w:p>
        </w:tc>
        <w:tc>
          <w:tcPr>
            <w:tcW w:w="0" w:type="dxa"/>
            <w:vAlign w:val="bottom"/>
          </w:tcPr>
          <w:p>
            <w:pPr>
              <w:spacing w:after="0"/>
              <w:rPr>
                <w:sz w:val="1"/>
                <w:szCs w:val="1"/>
                <w:color w:val="auto"/>
              </w:rPr>
            </w:pPr>
          </w:p>
        </w:tc>
      </w:tr>
      <w:tr>
        <w:trPr>
          <w:trHeight w:val="212"/>
        </w:trPr>
        <w:tc>
          <w:tcPr>
            <w:tcW w:w="7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AMC Networks stockholders' equity</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971,692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855,595</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Non-redeemable noncontrolling interests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28,665</w:t>
            </w:r>
          </w:p>
        </w:tc>
        <w:tc>
          <w:tcPr>
            <w:tcW w:w="0" w:type="dxa"/>
            <w:vAlign w:val="bottom"/>
          </w:tcPr>
          <w:p>
            <w:pPr>
              <w:spacing w:after="0"/>
              <w:rPr>
                <w:sz w:val="1"/>
                <w:szCs w:val="1"/>
                <w:color w:val="auto"/>
              </w:rPr>
            </w:pPr>
          </w:p>
        </w:tc>
      </w:tr>
      <w:tr>
        <w:trPr>
          <w:trHeight w:val="209"/>
        </w:trPr>
        <w:tc>
          <w:tcPr>
            <w:tcW w:w="7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1,007,707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884,260</w:t>
            </w:r>
          </w:p>
        </w:tc>
        <w:tc>
          <w:tcPr>
            <w:tcW w:w="0" w:type="dxa"/>
            <w:vAlign w:val="bottom"/>
          </w:tcPr>
          <w:p>
            <w:pPr>
              <w:spacing w:after="0"/>
              <w:rPr>
                <w:sz w:val="1"/>
                <w:szCs w:val="1"/>
                <w:color w:val="auto"/>
              </w:rPr>
            </w:pPr>
          </w:p>
        </w:tc>
      </w:tr>
      <w:tr>
        <w:trPr>
          <w:trHeight w:val="212"/>
        </w:trPr>
        <w:tc>
          <w:tcPr>
            <w:tcW w:w="7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4,421,567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4,362,221</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 (LOSS)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2660" w:type="dxa"/>
            <w:vAlign w:val="bottom"/>
            <w:gridSpan w:val="4"/>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625,934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1,222,395</w:t>
            </w: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Technical and operating (excluding depreciation and amortization)</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552,303</w:t>
            </w:r>
          </w:p>
        </w:tc>
      </w:tr>
      <w:tr>
        <w:trPr>
          <w:trHeight w:val="229"/>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397,057</w:t>
            </w:r>
          </w:p>
        </w:tc>
      </w:tr>
      <w:tr>
        <w:trPr>
          <w:trHeight w:val="229"/>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52,319</w:t>
            </w:r>
          </w:p>
        </w:tc>
      </w:tr>
      <w:tr>
        <w:trPr>
          <w:trHeight w:val="230"/>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96,819</w:t>
            </w:r>
          </w:p>
        </w:tc>
      </w:tr>
      <w:tr>
        <w:trPr>
          <w:trHeight w:val="229"/>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23"/>
        </w:trPr>
        <w:tc>
          <w:tcPr>
            <w:tcW w:w="51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615,146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1,026,591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1,101,429</w:t>
            </w:r>
          </w:p>
        </w:tc>
      </w:tr>
      <w:tr>
        <w:trPr>
          <w:trHeight w:val="223"/>
        </w:trPr>
        <w:tc>
          <w:tcPr>
            <w:tcW w:w="5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120,966</w:t>
            </w: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(76,057)</w:t>
            </w:r>
          </w:p>
        </w:tc>
      </w:tr>
      <w:tr>
        <w:trPr>
          <w:trHeight w:val="229"/>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18,177</w:t>
            </w:r>
          </w:p>
        </w:tc>
      </w:tr>
      <w:tr>
        <w:trPr>
          <w:trHeight w:val="230"/>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extinguishment of debt, net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Miscellaneous, net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w:t>
            </w:r>
          </w:p>
        </w:tc>
      </w:tr>
      <w:tr>
        <w:trPr>
          <w:trHeight w:val="223"/>
        </w:trPr>
        <w:tc>
          <w:tcPr>
            <w:tcW w:w="5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(61,330)</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59,636</w:t>
            </w:r>
          </w:p>
        </w:tc>
      </w:tr>
      <w:tr>
        <w:trPr>
          <w:trHeight w:val="230"/>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(34,542)</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25,094</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AMC Networks' stockholders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16,569</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AMC Networks' stockholders: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70"/>
        </w:trPr>
        <w:tc>
          <w:tcPr>
            <w:tcW w:w="5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44,267</w:t>
            </w: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45,443</w:t>
            </w:r>
          </w:p>
        </w:tc>
      </w:tr>
    </w:tbl>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691"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8"/>
                <w:szCs w:val="18"/>
                <w:color w:val="auto"/>
              </w:rPr>
            </w:pPr>
          </w:p>
        </w:tc>
        <w:tc>
          <w:tcPr>
            <w:tcW w:w="2640" w:type="dxa"/>
            <w:vAlign w:val="bottom"/>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5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52,706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34,509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Pr>
          <w:p>
            <w:pPr>
              <w:spacing w:after="0"/>
              <w:rPr>
                <w:sz w:val="19"/>
                <w:szCs w:val="19"/>
                <w:color w:val="auto"/>
              </w:rPr>
            </w:pP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87,215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(4,637)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0" w:type="dxa"/>
            <w:vAlign w:val="bottom"/>
          </w:tcPr>
          <w:p>
            <w:pPr>
              <w:spacing w:after="0"/>
              <w:rPr>
                <w:sz w:val="1"/>
                <w:szCs w:val="1"/>
                <w:color w:val="auto"/>
              </w:rPr>
            </w:pPr>
          </w:p>
        </w:tc>
      </w:tr>
      <w:tr>
        <w:trPr>
          <w:trHeight w:val="156"/>
        </w:trPr>
        <w:tc>
          <w:tcPr>
            <w:tcW w:w="52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Comprehensive income (loss) attributable to AMC Networks'</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82,578</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(31,551)</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117,378</w:t>
            </w:r>
          </w:p>
        </w:tc>
        <w:tc>
          <w:tcPr>
            <w:tcW w:w="8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21"/>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 w:type="dxa"/>
            <w:vAlign w:val="bottom"/>
          </w:tcPr>
          <w:p>
            <w:pPr>
              <w:spacing w:after="0"/>
              <w:rPr>
                <w:sz w:val="13"/>
                <w:szCs w:val="13"/>
                <w:color w:val="auto"/>
              </w:rPr>
            </w:pPr>
          </w:p>
        </w:tc>
        <w:tc>
          <w:tcPr>
            <w:tcW w:w="6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AMC</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Networks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6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100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6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7"/>
                <w:szCs w:val="17"/>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$ 424,806</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2,104,801</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(1,391,334)</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(250,218)</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888,837</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32,296</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1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Net income attributable to AMC Networks’</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50,289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50,289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1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attributable to non-redeemable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Redeemable noncontrolling interest adjustment to</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fair value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acquired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(10,329)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under employee stock plans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1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withholding associated with shares issued under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plans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$ 433,374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2,155,064</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(1,399,599)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(217,929)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971,692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36,015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1,007,707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8"/>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 w:type="dxa"/>
            <w:vAlign w:val="bottom"/>
          </w:tcPr>
          <w:p>
            <w:pPr>
              <w:spacing w:after="0"/>
              <w:rPr>
                <w:sz w:val="24"/>
                <w:szCs w:val="24"/>
                <w:color w:val="auto"/>
              </w:rPr>
            </w:pPr>
          </w:p>
        </w:tc>
        <w:tc>
          <w:tcPr>
            <w:tcW w:w="68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AMC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Networks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68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1000" w:type="dxa"/>
            <w:vAlign w:val="bottom"/>
            <w:gridSpan w:val="4"/>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12"/>
                <w:szCs w:val="12"/>
                <w:color w:val="auto"/>
              </w:rPr>
            </w:pPr>
          </w:p>
        </w:tc>
        <w:tc>
          <w:tcPr>
            <w:tcW w:w="1040" w:type="dxa"/>
            <w:vAlign w:val="bottom"/>
            <w:gridSpan w:val="4"/>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2"/>
                <w:szCs w:val="12"/>
                <w:color w:val="auto"/>
              </w:rPr>
            </w:pPr>
          </w:p>
        </w:tc>
        <w:tc>
          <w:tcPr>
            <w:tcW w:w="8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7"/>
                <w:szCs w:val="17"/>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$ 369,877</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2,365,524</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(1,410,105)</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(245,803)</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1,080,275</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26,630</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1,106,905</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AMC Networks’ stockholders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(29,234)</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(29,234)</w:t>
            </w:r>
          </w:p>
        </w:tc>
        <w:tc>
          <w:tcPr>
            <w:tcW w:w="0" w:type="dxa"/>
            <w:vAlign w:val="bottom"/>
          </w:tcPr>
          <w:p>
            <w:pPr>
              <w:spacing w:after="0"/>
              <w:rPr>
                <w:sz w:val="1"/>
                <w:szCs w:val="1"/>
                <w:color w:val="auto"/>
              </w:rPr>
            </w:pPr>
          </w:p>
        </w:tc>
      </w:tr>
      <w:tr>
        <w:trPr>
          <w:trHeight w:val="139"/>
        </w:trPr>
        <w:tc>
          <w:tcPr>
            <w:tcW w:w="32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attributable to non-redeemable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7,898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member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(6,193)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(6,193)</w:t>
            </w:r>
          </w:p>
        </w:tc>
        <w:tc>
          <w:tcPr>
            <w:tcW w:w="0" w:type="dxa"/>
            <w:vAlign w:val="bottom"/>
          </w:tcPr>
          <w:p>
            <w:pPr>
              <w:spacing w:after="0"/>
              <w:rPr>
                <w:sz w:val="1"/>
                <w:szCs w:val="1"/>
                <w:color w:val="auto"/>
              </w:rPr>
            </w:pPr>
          </w:p>
        </w:tc>
      </w:tr>
      <w:tr>
        <w:trPr>
          <w:trHeight w:val="139"/>
        </w:trPr>
        <w:tc>
          <w:tcPr>
            <w:tcW w:w="32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Redeemable noncontrolling interest adjustment to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(2,807)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(2,807)</w:t>
            </w:r>
          </w:p>
        </w:tc>
        <w:tc>
          <w:tcPr>
            <w:tcW w:w="0" w:type="dxa"/>
            <w:vAlign w:val="bottom"/>
          </w:tcPr>
          <w:p>
            <w:pPr>
              <w:spacing w:after="0"/>
              <w:rPr>
                <w:sz w:val="1"/>
                <w:szCs w:val="1"/>
                <w:color w:val="auto"/>
              </w:rPr>
            </w:pPr>
          </w:p>
        </w:tc>
      </w:tr>
      <w:tr>
        <w:trPr>
          <w:trHeight w:val="193"/>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redemption fair value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(2,269)</w:t>
            </w:r>
          </w:p>
        </w:tc>
        <w:tc>
          <w:tcPr>
            <w:tcW w:w="0" w:type="dxa"/>
            <w:vAlign w:val="bottom"/>
          </w:tcPr>
          <w:p>
            <w:pPr>
              <w:spacing w:after="0"/>
              <w:rPr>
                <w:sz w:val="1"/>
                <w:szCs w:val="1"/>
                <w:color w:val="auto"/>
              </w:rPr>
            </w:pPr>
          </w:p>
        </w:tc>
      </w:tr>
      <w:tr>
        <w:trPr>
          <w:trHeight w:val="195"/>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8,457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under employee stock plans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2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Tax withholding associated with shares issued under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(665)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93"/>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employee stock plans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$ 374,353</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2,335,526</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(1,408,832)</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(248,120)</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1,053,709</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28,383</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1,082,092</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AMC</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Networks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6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$ 437,860</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2,092,229</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(1,408,307)</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(266,969)</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855,595</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28,665</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884,260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32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Net income attributable to AMC Networks’</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68,338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68,338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68,338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attributable to non-redeemable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4,080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4,080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Redeemable noncontrolling interest adjustment to</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fair value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70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49,040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49,040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3,270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52,310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acquired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(10,329)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under employee stock plans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(5,503)</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2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withholding associated with shares issued under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plans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$ 433,374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2,155,064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(1,399,599)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(217,929)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971,692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36,015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1,007,707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1"/>
        </w:trPr>
        <w:tc>
          <w:tcPr>
            <w:tcW w:w="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AMC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9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Networks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4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2"/>
                <w:szCs w:val="12"/>
                <w:color w:val="auto"/>
              </w:rPr>
            </w:pPr>
          </w:p>
        </w:tc>
        <w:tc>
          <w:tcPr>
            <w:tcW w:w="64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12"/>
                <w:szCs w:val="12"/>
                <w:color w:val="auto"/>
              </w:rPr>
            </w:pPr>
          </w:p>
        </w:tc>
        <w:tc>
          <w:tcPr>
            <w:tcW w:w="1040" w:type="dxa"/>
            <w:vAlign w:val="bottom"/>
            <w:gridSpan w:val="4"/>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2"/>
                <w:szCs w:val="12"/>
                <w:color w:val="auto"/>
              </w:rPr>
            </w:pPr>
          </w:p>
        </w:tc>
        <w:tc>
          <w:tcPr>
            <w:tcW w:w="8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9"/>
              </w:rPr>
              <w:t>$ 378,877</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2,321,105</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 (1,419,882)</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(232,831)</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1,048,051</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25,895</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1,073,946</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324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Net income attributable to AMC Networks’</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16,569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16,569</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income attributable to non-redeemable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8,958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member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(6,193)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(6,193)</w:t>
            </w:r>
          </w:p>
        </w:tc>
        <w:tc>
          <w:tcPr>
            <w:tcW w:w="0" w:type="dxa"/>
            <w:vAlign w:val="bottom"/>
          </w:tcPr>
          <w:p>
            <w:pPr>
              <w:spacing w:after="0"/>
              <w:rPr>
                <w:sz w:val="1"/>
                <w:szCs w:val="1"/>
                <w:color w:val="auto"/>
              </w:rPr>
            </w:pPr>
          </w:p>
        </w:tc>
      </w:tr>
      <w:tr>
        <w:trPr>
          <w:trHeight w:val="139"/>
        </w:trPr>
        <w:tc>
          <w:tcPr>
            <w:tcW w:w="3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Redeemable noncontrolling interest adjustment to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(5,528)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(5,528)</w:t>
            </w:r>
          </w:p>
        </w:tc>
        <w:tc>
          <w:tcPr>
            <w:tcW w:w="0" w:type="dxa"/>
            <w:vAlign w:val="bottom"/>
          </w:tcPr>
          <w:p>
            <w:pPr>
              <w:spacing w:after="0"/>
              <w:rPr>
                <w:sz w:val="1"/>
                <w:szCs w:val="1"/>
                <w:color w:val="auto"/>
              </w:rPr>
            </w:pPr>
          </w:p>
        </w:tc>
      </w:tr>
      <w:tr>
        <w:trPr>
          <w:trHeight w:val="19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redemption fair value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(15,289)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(15,566)</w:t>
            </w:r>
          </w:p>
        </w:tc>
        <w:tc>
          <w:tcPr>
            <w:tcW w:w="0" w:type="dxa"/>
            <w:vAlign w:val="bottom"/>
          </w:tcPr>
          <w:p>
            <w:pPr>
              <w:spacing w:after="0"/>
              <w:rPr>
                <w:sz w:val="1"/>
                <w:szCs w:val="1"/>
                <w:color w:val="auto"/>
              </w:rPr>
            </w:pPr>
          </w:p>
        </w:tc>
      </w:tr>
      <w:tr>
        <w:trPr>
          <w:trHeight w:val="19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14,532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under employee stock plans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Tax withholding associated with shares issued under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(4,626)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(4,626)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(4,626)</w:t>
            </w:r>
          </w:p>
        </w:tc>
        <w:tc>
          <w:tcPr>
            <w:tcW w:w="0" w:type="dxa"/>
            <w:vAlign w:val="bottom"/>
          </w:tcPr>
          <w:p>
            <w:pPr>
              <w:spacing w:after="0"/>
              <w:rPr>
                <w:sz w:val="1"/>
                <w:szCs w:val="1"/>
                <w:color w:val="auto"/>
              </w:rPr>
            </w:pPr>
          </w:p>
        </w:tc>
      </w:tr>
      <w:tr>
        <w:trPr>
          <w:trHeight w:val="19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employee stock plans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$ 374,353</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2,335,526</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(1,408,832)</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(248,120)</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1,053,709</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28,383</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1,082,092</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0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25,094</w:t>
            </w:r>
          </w:p>
        </w:tc>
      </w:tr>
      <w:tr>
        <w:trPr>
          <w:trHeight w:val="22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52,319</w:t>
            </w:r>
          </w:p>
        </w:tc>
      </w:tr>
      <w:tr>
        <w:trPr>
          <w:trHeight w:val="23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Non-cash impairment and other charges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96,819</w:t>
            </w:r>
          </w:p>
        </w:tc>
      </w:tr>
      <w:tr>
        <w:trPr>
          <w:trHeight w:val="22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Share-based compensation expenses related to equity classified awards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14,532</w:t>
            </w:r>
          </w:p>
        </w:tc>
      </w:tr>
      <w:tr>
        <w:trPr>
          <w:trHeight w:val="23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Non-cash restructuring and other related charges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r>
      <w:tr>
        <w:trPr>
          <w:trHeight w:val="22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and write-off of program rights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414,716</w:t>
            </w:r>
          </w:p>
        </w:tc>
      </w:tr>
      <w:tr>
        <w:trPr>
          <w:trHeight w:val="22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deferred carriage fees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10,762</w:t>
            </w:r>
          </w:p>
        </w:tc>
      </w:tr>
      <w:tr>
        <w:trPr>
          <w:trHeight w:val="23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Unrealized foreign currency transaction (gain)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r>
      <w:tr>
        <w:trPr>
          <w:trHeight w:val="22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deferred financing costs and discounts on indebtedness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r>
      <w:tr>
        <w:trPr>
          <w:trHeight w:val="22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Gain on extinguishment of debt,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w:t>
            </w:r>
          </w:p>
        </w:tc>
      </w:tr>
      <w:tr>
        <w:trPr>
          <w:trHeight w:val="22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trade (including amounts due from related parties,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16,489</w:t>
            </w:r>
          </w:p>
        </w:tc>
      </w:tr>
      <w:tr>
        <w:trPr>
          <w:trHeight w:val="22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143,856</w:t>
            </w:r>
          </w:p>
        </w:tc>
      </w:tr>
      <w:tr>
        <w:trPr>
          <w:trHeight w:val="23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Program rights and obligations,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(435,471)</w:t>
            </w:r>
          </w:p>
        </w:tc>
      </w:tr>
      <w:tr>
        <w:trPr>
          <w:trHeight w:val="22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w:t>
            </w:r>
          </w:p>
        </w:tc>
      </w:tr>
      <w:tr>
        <w:trPr>
          <w:trHeight w:val="230"/>
        </w:trPr>
        <w:tc>
          <w:tcPr>
            <w:tcW w:w="8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Accounts payable, accrued liabilities and other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(77,172)</w:t>
            </w:r>
          </w:p>
        </w:tc>
      </w:tr>
      <w:tr>
        <w:trPr>
          <w:trHeight w:val="223"/>
        </w:trPr>
        <w:tc>
          <w:tcPr>
            <w:tcW w:w="80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255,272</w:t>
            </w:r>
          </w:p>
        </w:tc>
      </w:tr>
      <w:tr>
        <w:trPr>
          <w:trHeight w:val="21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(15,958)</w:t>
            </w:r>
          </w:p>
        </w:tc>
      </w:tr>
      <w:tr>
        <w:trPr>
          <w:trHeight w:val="22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w:t>
            </w:r>
          </w:p>
        </w:tc>
      </w:tr>
      <w:tr>
        <w:trPr>
          <w:trHeight w:val="223"/>
        </w:trPr>
        <w:tc>
          <w:tcPr>
            <w:tcW w:w="80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w:t>
            </w: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issuance of 10.25% Senior Secured Notes due 2029, net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862,969</w:t>
            </w:r>
          </w:p>
        </w:tc>
      </w:tr>
      <w:tr>
        <w:trPr>
          <w:trHeight w:val="23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the issuance of 4.25% Convertible Senior Notes due 2029, net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139,437</w:t>
            </w: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Tender and redemption of 4.75% Senior Notes due 2025</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(774,729)</w:t>
            </w:r>
          </w:p>
        </w:tc>
      </w:tr>
      <w:tr>
        <w:trPr>
          <w:trHeight w:val="22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payments on Term Loan A Facility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(190,625)</w:t>
            </w: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4.25% Senior Notes due 2029</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w:t>
            </w:r>
          </w:p>
        </w:tc>
      </w:tr>
      <w:tr>
        <w:trPr>
          <w:trHeight w:val="23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Deemed repurchases of restricted stock units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r>
      <w:tr>
        <w:trPr>
          <w:trHeight w:val="22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23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(16,520)</w:t>
            </w:r>
          </w:p>
        </w:tc>
      </w:tr>
      <w:tr>
        <w:trPr>
          <w:trHeight w:val="223"/>
        </w:trPr>
        <w:tc>
          <w:tcPr>
            <w:tcW w:w="8000" w:type="dxa"/>
            <w:vAlign w:val="bottom"/>
            <w:tcBorders>
              <w:top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from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237,328</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784,649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570,576</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802,553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893" w:right="4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AMC Networks Inc. ("AMC Networks") and its subsidiaries (collectively referred to as the "Company," "we," "us," or "our") own and operate entertainment businesses and assets. The Company is comprised of two operating segments:</w:t>
      </w:r>
    </w:p>
    <w:p>
      <w:pPr>
        <w:spacing w:after="0" w:line="52" w:lineRule="exact"/>
        <w:rPr>
          <w:sz w:val="20"/>
          <w:szCs w:val="20"/>
          <w:color w:val="auto"/>
        </w:rPr>
      </w:pPr>
    </w:p>
    <w:p>
      <w:pPr>
        <w:jc w:val="both"/>
        <w:ind w:left="660" w:hanging="328"/>
        <w:spacing w:after="0" w:line="257"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Domestic Operations: </w:t>
      </w:r>
      <w:r>
        <w:rPr>
          <w:rFonts w:ascii="Times New Roman" w:cs="Times New Roman" w:eastAsia="Times New Roman" w:hAnsi="Times New Roman"/>
          <w:sz w:val="18"/>
          <w:szCs w:val="18"/>
          <w:color w:val="auto"/>
        </w:rPr>
        <w:t>Consists of our five national programming networks, our streaming services, our AMC Studios operation and our film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business. Our programming networks are AMC, We TV, BBC AMERICA ("BBCA"), IFC, and SundanceTV. Our streaming services consist of AMC+ and our targeted subscription streaming services (Acorn TV, Shudder, Sundance Now, ALLBLK, and HIDIVE). Our AMC Studios operation produces original programming for our programming services and third parties and also licenses programming worldwide. Our film distribution business includes IFC Films, RLJ Entertainment Films and Shudder. The operating segment also includes AMC Networks Broadcasting &amp; Technology, our technical services business, which primarily services the programming networks.</w:t>
      </w:r>
    </w:p>
    <w:p>
      <w:pPr>
        <w:spacing w:after="0" w:line="74"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Consists of AMC Networks International ("AMCNI"), our international programming businesses consisting of a portfolio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channels distributed around the world.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AMC Networks and its subsidiaries in which a controlling financial interest is maintained or variable interest entities in which the Company has determined it is the primary beneficiary. All intercompany transactions and balances have been eliminated in consolidation.</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Interim Financial Statements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2024 contained in the Company's Annual Report on Form 10-K (our "2024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for interim periods are not necessarily indicative of the results that might be expected for future interim periods or for the full year ending December 31,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reclassifications were made to the prior period amounts to conform to the current period presentation.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guidance that is intended to provide investors more detailed disclosures around specific types of expenses in the notes to the financial statements for interim and annual reporting periods. The Company will incorporate the required disclosure updates for the 2027 annual financial statements, and will determine whether to apply the updates prospectively or retrospectively.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guidance that is intended to enhance the transparency and decision usefulness of income tax information through improvements to income tax disclosures primarily related to the rate reconciliation and income taxes paid information. The Company will incorporate the required disclosure updates for the 2025 annual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first quarter of 2025, the Company updated the definitions of "affiliate revenues" and "streaming revenues." These changes have no effect on the Company's consolidated financial statements or results of operations. The impact of these changes to historical affiliate revenues and streaming revenues is not material. The new definitions are as follows:</w:t>
      </w:r>
    </w:p>
    <w:p>
      <w:pPr>
        <w:spacing w:after="0" w:line="6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Affiliate revenues: </w:t>
      </w:r>
      <w:r>
        <w:rPr>
          <w:rFonts w:ascii="Times New Roman" w:cs="Times New Roman" w:eastAsia="Times New Roman" w:hAnsi="Times New Roman"/>
          <w:sz w:val="18"/>
          <w:szCs w:val="18"/>
          <w:color w:val="auto"/>
        </w:rPr>
        <w:t>Represents fees received from distributors for the rights to use the Company's programming under multi-year contracts, commonly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as "affiliation agreements." Affiliate revenues also include fees received from distributors who provide access to the Company's streaming services to end users through a video package that also includes access to the Company's programming networks. Affiliate revenues are earned from cable and other multichannel video programming distribution platforms, including direct broadcast satellite and platforms operated by telecommunications providers and virtual multichannel video programming distributors.</w:t>
      </w:r>
    </w:p>
    <w:p>
      <w:pPr>
        <w:spacing w:after="0" w:line="7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Streaming revenues: </w:t>
      </w:r>
      <w:r>
        <w:rPr>
          <w:rFonts w:ascii="Times New Roman" w:cs="Times New Roman" w:eastAsia="Times New Roman" w:hAnsi="Times New Roman"/>
          <w:sz w:val="18"/>
          <w:szCs w:val="18"/>
          <w:color w:val="auto"/>
        </w:rPr>
        <w:t>Represents fees for the Company's streaming services earned from the Company's direct-to-consumer platforms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streaming platform arrangements with companies that sell the Company's streaming services on the Company's behalf.</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Future Performance Obligations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June 30, 2025, other than contracts for which the Company has applied the practical expedients, the aggregate amount of transaction price allocated to remaining performance obligations was not material to our consolidated revenues.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from Contracts with Customers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contract assets, and contract liabilities from contracts with customers.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8"/>
                <w:szCs w:val="18"/>
                <w:color w:val="auto"/>
              </w:rPr>
            </w:pPr>
          </w:p>
        </w:tc>
        <w:tc>
          <w:tcPr>
            <w:tcW w:w="15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30"/>
        </w:trPr>
        <w:tc>
          <w:tcPr>
            <w:tcW w:w="7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 (including long-term receivables within Other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674,631</w:t>
            </w:r>
          </w:p>
        </w:tc>
      </w:tr>
      <w:tr>
        <w:trPr>
          <w:trHeight w:val="230"/>
        </w:trPr>
        <w:tc>
          <w:tcPr>
            <w:tcW w:w="7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 liabilities, short-term (Deferred revenue)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61,838</w:t>
            </w:r>
          </w:p>
        </w:tc>
      </w:tr>
    </w:tbl>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recognized for the six months ended June 30, 2025 and 2024 relating to the contract liabilities at December 31, 2024 and 2023 was $32.3 million and $38.8 million, respectively.</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we recognized revenues of $13.4 million for a one-time retroactive adjustment reported and paid by a third party, for which our performance obligation was satisfied in a prior period.</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October 2023, the Company entered into an agreement enabling it to sell certain customer receivables to a financial institution on a recurring basis for cash. The transferred receivables will be fully guaranteed by a bankruptcy-remote entity and the financial institution that purchases the receivables will have no recourse to the Company's other assets in the event of non-payment by the customers. The Company can sell an indefinite amount of customer receivables under the agreement on a revolving basis, but the outstanding balance of unpaid customer receivables to the financial institution cannot exceed the initial program limit of $125.0 million at any given time. As of June 30, 2025, the Company had not yet sold any customer receivables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Income per Share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income per basic share is based upon net income attributable to AMC Networks' stockholders divided by the weighted average number of shares of Class A Common Stock and Class B Common Stock outstanding during the period. Net income per diluted share reflects the dilutive effects, if any, of AMC Networks' outstanding equity-based awards and the assumed conversion of the Company's 4.25% Convertible Senior Notes due 2029 (the "Convertible Notes") issued in June 2024.</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480" w:type="dxa"/>
            <w:vAlign w:val="bottom"/>
            <w:gridSpan w:val="4"/>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72"/>
        </w:trPr>
        <w:tc>
          <w:tcPr>
            <w:tcW w:w="56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Net income (loss) attributable to AMC Networks' stockholders used for basic</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w:t>
            </w:r>
          </w:p>
        </w:tc>
        <w:tc>
          <w:tcPr>
            <w:tcW w:w="0" w:type="dxa"/>
            <w:vAlign w:val="bottom"/>
          </w:tcPr>
          <w:p>
            <w:pPr>
              <w:spacing w:after="0"/>
              <w:rPr>
                <w:sz w:val="1"/>
                <w:szCs w:val="1"/>
                <w:color w:val="auto"/>
              </w:rPr>
            </w:pPr>
          </w:p>
        </w:tc>
      </w:tr>
      <w:tr>
        <w:trPr>
          <w:trHeight w:val="230"/>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 Convertible Notes interest expense, net of tax</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55"/>
        </w:trPr>
        <w:tc>
          <w:tcPr>
            <w:tcW w:w="56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AMC Networks' stockholders used for</w:t>
            </w: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51,434</w:t>
            </w: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(29,234)</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70,629</w:t>
            </w: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16,685</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44,267</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dilution:</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29"/>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4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AMC Networks' stockholders: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4.2 million of restricted stock units ("RSUs") have been excluded from the diluted weighted average common shares outstanding, as their impact would have been antidilutive.</w:t>
      </w:r>
    </w:p>
    <w:p>
      <w:pPr>
        <w:spacing w:after="0" w:line="5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all 3.4 million of our RSUs and the weighted average impact of 11.3 million common shares related to the assumed conversion of the Convertible Notes were excluded from the calculation of diluted net income (loss) per share because their inclusion would have been antidilutive since we reported a net loss.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0.2 million of RSUs have been excluded from the diluted weighted average common shares outstanding, as their impact would have been antidilutive.</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Board of Directors previously authorized a program to repurchase up to $1.5 billion of its outstanding shares of Class A Common Stock (the "Stock Repurchase Program"). The Stock Repurchase Program has no pre-established termination date and may be suspended or discontinued at any time. For the three and six months ended June 30, 2025, the Company repurchased 1.6 million shares of its Class A Common Stock at an average purchase price of $6.48 per share. As of June 30, 2025, the Company had $124.9 million of authorization remaining for repurchase under the Stock Repurchase Program.</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Restructuring and Other Related Charges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recorded restructuring and other related charges of $3.5 million and $8.3 million for the three and six months ended June 30, 2025, respectively, primarily related to the planned wind-down of a U.K. joint venture in its International segment and a restructuring plan related to its International segment (the “AMCNI Plan”) designed to achieve cost reductions and streamline operations in Southern Europe, including channel re-branding and a reduction of workforce. The Company will incur additional restructuring charges in connection with the AMCNI Plan, which is expected to be substantially completed by the end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Restructuring and other related charges were $2.9 million for the three and six months ended June 30, 2024, consisting primarily of content impairments in connection with We TV shifting to a reduced originals strategy, and severance costs.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restructuring and other related charges (credits) recognized by operating segment: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Operations</w:t>
            </w:r>
          </w:p>
        </w:tc>
        <w:tc>
          <w:tcPr>
            <w:tcW w:w="102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and other related charges</w:t>
            </w:r>
          </w:p>
        </w:tc>
        <w:tc>
          <w:tcPr>
            <w:tcW w:w="1020" w:type="dxa"/>
            <w:vAlign w:val="bottom"/>
            <w:tcBorders>
              <w:top w:val="single" w:sz="8" w:color="auto"/>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accrued restructuring and other related costs: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9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Severance and Employee-</w:t>
            </w: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Content Impairments and</w:t>
            </w:r>
          </w:p>
        </w:tc>
        <w:tc>
          <w:tcPr>
            <w:tcW w:w="420" w:type="dxa"/>
            <w:vAlign w:val="bottom"/>
          </w:tcPr>
          <w:p>
            <w:pPr>
              <w:spacing w:after="0"/>
              <w:rPr>
                <w:sz w:val="16"/>
                <w:szCs w:val="16"/>
                <w:color w:val="auto"/>
              </w:rPr>
            </w:pPr>
          </w:p>
        </w:tc>
        <w:tc>
          <w:tcPr>
            <w:tcW w:w="142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Related Costs</w:t>
            </w:r>
          </w:p>
        </w:tc>
        <w:tc>
          <w:tcPr>
            <w:tcW w:w="22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 Exit Costs</w:t>
            </w:r>
          </w:p>
        </w:tc>
        <w:tc>
          <w:tcPr>
            <w:tcW w:w="4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center"/>
              <w:ind w:left="771"/>
              <w:spacing w:after="0"/>
              <w:rPr>
                <w:sz w:val="20"/>
                <w:szCs w:val="20"/>
                <w:color w:val="auto"/>
              </w:rPr>
            </w:pPr>
            <w:r>
              <w:rPr>
                <w:rFonts w:ascii="Times New Roman" w:cs="Times New Roman" w:eastAsia="Times New Roman" w:hAnsi="Times New Roman"/>
                <w:sz w:val="18"/>
                <w:szCs w:val="18"/>
                <w:color w:val="auto"/>
                <w:w w:val="98"/>
              </w:rPr>
              <w:t>6,221</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center"/>
              <w:ind w:left="771"/>
              <w:spacing w:after="0"/>
              <w:rPr>
                <w:sz w:val="20"/>
                <w:szCs w:val="20"/>
                <w:color w:val="auto"/>
              </w:rPr>
            </w:pPr>
            <w:r>
              <w:rPr>
                <w:rFonts w:ascii="Times New Roman" w:cs="Times New Roman" w:eastAsia="Times New Roman" w:hAnsi="Times New Roman"/>
                <w:sz w:val="18"/>
                <w:szCs w:val="18"/>
                <w:color w:val="auto"/>
                <w:w w:val="98"/>
              </w:rPr>
              <w:t>8,318</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731"/>
              <w:spacing w:after="0"/>
              <w:rPr>
                <w:sz w:val="20"/>
                <w:szCs w:val="20"/>
                <w:color w:val="auto"/>
              </w:rPr>
            </w:pPr>
            <w:r>
              <w:rPr>
                <w:rFonts w:ascii="Times New Roman" w:cs="Times New Roman" w:eastAsia="Times New Roman" w:hAnsi="Times New Roman"/>
                <w:sz w:val="18"/>
                <w:szCs w:val="18"/>
                <w:color w:val="auto"/>
                <w:w w:val="98"/>
              </w:rPr>
              <w:t>(7,920)</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content impairment adjustments</w:t>
            </w:r>
          </w:p>
        </w:tc>
        <w:tc>
          <w:tcPr>
            <w:tcW w:w="2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center"/>
              <w:ind w:left="731"/>
              <w:spacing w:after="0"/>
              <w:rPr>
                <w:sz w:val="20"/>
                <w:szCs w:val="20"/>
                <w:color w:val="auto"/>
              </w:rPr>
            </w:pPr>
            <w:r>
              <w:rPr>
                <w:rFonts w:ascii="Times New Roman" w:cs="Times New Roman" w:eastAsia="Times New Roman" w:hAnsi="Times New Roman"/>
                <w:sz w:val="18"/>
                <w:szCs w:val="18"/>
                <w:color w:val="auto"/>
                <w:w w:val="98"/>
              </w:rPr>
              <w:t>(5,320)</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771"/>
              <w:spacing w:after="0"/>
              <w:rPr>
                <w:sz w:val="20"/>
                <w:szCs w:val="20"/>
                <w:color w:val="auto"/>
              </w:rPr>
            </w:pPr>
            <w:r>
              <w:rPr>
                <w:rFonts w:ascii="Times New Roman" w:cs="Times New Roman" w:eastAsia="Times New Roman" w:hAnsi="Times New Roman"/>
                <w:sz w:val="18"/>
                <w:szCs w:val="18"/>
                <w:color w:val="auto"/>
                <w:w w:val="98"/>
              </w:rPr>
              <w:t>1,653</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center"/>
              <w:ind w:left="771"/>
              <w:spacing w:after="0"/>
              <w:rPr>
                <w:sz w:val="20"/>
                <w:szCs w:val="20"/>
                <w:color w:val="auto"/>
              </w:rPr>
            </w:pPr>
            <w:r>
              <w:rPr>
                <w:rFonts w:ascii="Times New Roman" w:cs="Times New Roman" w:eastAsia="Times New Roman" w:hAnsi="Times New Roman"/>
                <w:sz w:val="18"/>
                <w:szCs w:val="18"/>
                <w:color w:val="auto"/>
                <w:w w:val="98"/>
              </w:rPr>
              <w:t>2,952</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Accrued restructuring and other related costs of $3.0 million and $6.2 million are included in Accrued liabilities in the condensed consolidated balance sheets at June 30, 2025 and December 31, 2024, respectively.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Program Rights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capitalized produced and licensed content by predominant monetization strategy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240" w:type="dxa"/>
            <w:vAlign w:val="bottom"/>
          </w:tcPr>
          <w:p>
            <w:pPr>
              <w:spacing w:after="0"/>
              <w:rPr>
                <w:sz w:val="14"/>
                <w:szCs w:val="14"/>
                <w:color w:val="auto"/>
              </w:rPr>
            </w:pPr>
          </w:p>
        </w:tc>
        <w:tc>
          <w:tcPr>
            <w:tcW w:w="166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Monetized Individually</w:t>
            </w: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Monetized as a Group</w:t>
            </w:r>
          </w:p>
        </w:tc>
        <w:tc>
          <w:tcPr>
            <w:tcW w:w="42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Completed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608,671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657,286</w:t>
            </w: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In-production and in-development</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258,920</w:t>
            </w: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owned original program rights,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867,591</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916,206</w:t>
            </w: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621,132</w:t>
            </w: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Licensed originals</w:t>
            </w:r>
          </w:p>
        </w:tc>
        <w:tc>
          <w:tcPr>
            <w:tcW w:w="2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129,191</w:t>
            </w: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and other production costs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66,890</w:t>
            </w: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licensed program rights, net</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817,094</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817,213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1,684,685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1,733,419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1,729,327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1,733,419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140" w:type="dxa"/>
            <w:vAlign w:val="bottom"/>
          </w:tcPr>
          <w:p>
            <w:pPr>
              <w:spacing w:after="0"/>
              <w:rPr>
                <w:sz w:val="14"/>
                <w:szCs w:val="14"/>
                <w:color w:val="auto"/>
              </w:rPr>
            </w:pPr>
          </w:p>
        </w:tc>
        <w:tc>
          <w:tcPr>
            <w:tcW w:w="176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Monetized as a Group</w:t>
            </w:r>
          </w:p>
        </w:tc>
        <w:tc>
          <w:tcPr>
            <w:tcW w:w="42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Completed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647,632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712,761</w:t>
            </w: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In-production and in-development</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222,660</w:t>
            </w: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owned original program rights,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65,129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870,292</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935,421</w:t>
            </w: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543,657</w:t>
            </w: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Licensed originals</w:t>
            </w:r>
          </w:p>
        </w:tc>
        <w:tc>
          <w:tcPr>
            <w:tcW w:w="2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147,245</w:t>
            </w: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and other production costs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90,318</w:t>
            </w: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licensed program rights, net</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780,959</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781,220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1,651,251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1,716,641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r>
      <w:tr>
        <w:trPr>
          <w:trHeight w:val="229"/>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1,713,952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1,716,641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including write-offs, of owned and licensed program rights, included in Technical and operating expenses in the condensed consolidated statements of income (loss),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40" w:type="dxa"/>
            <w:vAlign w:val="bottom"/>
          </w:tcPr>
          <w:p>
            <w:pPr>
              <w:spacing w:after="0"/>
              <w:rPr>
                <w:sz w:val="18"/>
                <w:szCs w:val="18"/>
                <w:color w:val="auto"/>
              </w:rPr>
            </w:pPr>
          </w:p>
        </w:tc>
        <w:tc>
          <w:tcPr>
            <w:tcW w:w="3360" w:type="dxa"/>
            <w:vAlign w:val="bottom"/>
            <w:tcBorders>
              <w:bottom w:val="single" w:sz="8" w:color="auto"/>
            </w:tcBorders>
            <w:gridSpan w:val="5"/>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340" w:type="dxa"/>
            <w:vAlign w:val="bottom"/>
            <w:tcBorders>
              <w:bottom w:val="single" w:sz="8" w:color="auto"/>
            </w:tcBorders>
            <w:gridSpan w:val="5"/>
          </w:tcPr>
          <w:p>
            <w:pPr>
              <w:jc w:val="center"/>
              <w:ind w:left="839"/>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40" w:type="dxa"/>
            <w:vAlign w:val="bottom"/>
          </w:tcPr>
          <w:p>
            <w:pPr>
              <w:spacing w:after="0"/>
              <w:rPr>
                <w:sz w:val="13"/>
                <w:szCs w:val="13"/>
                <w:color w:val="auto"/>
              </w:rPr>
            </w:pPr>
          </w:p>
        </w:tc>
        <w:tc>
          <w:tcPr>
            <w:tcW w:w="144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color w:val="auto"/>
                <w:w w:val="99"/>
              </w:rPr>
              <w:t>Predominantly</w:t>
            </w:r>
          </w:p>
        </w:tc>
        <w:tc>
          <w:tcPr>
            <w:tcW w:w="1920" w:type="dxa"/>
            <w:vAlign w:val="bottom"/>
            <w:gridSpan w:val="3"/>
          </w:tcPr>
          <w:p>
            <w:pPr>
              <w:jc w:val="center"/>
              <w:ind w:right="620"/>
              <w:spacing w:after="0" w:line="158" w:lineRule="exact"/>
              <w:rPr>
                <w:sz w:val="20"/>
                <w:szCs w:val="20"/>
                <w:color w:val="auto"/>
              </w:rPr>
            </w:pPr>
            <w:r>
              <w:rPr>
                <w:rFonts w:ascii="Times New Roman" w:cs="Times New Roman" w:eastAsia="Times New Roman" w:hAnsi="Times New Roman"/>
                <w:sz w:val="16"/>
                <w:szCs w:val="16"/>
                <w:color w:val="auto"/>
                <w:w w:val="99"/>
              </w:rPr>
              <w:t>Predominantly</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color w:val="auto"/>
                <w:w w:val="99"/>
              </w:rPr>
              <w:t>Predominantly</w:t>
            </w:r>
          </w:p>
        </w:tc>
        <w:tc>
          <w:tcPr>
            <w:tcW w:w="1880" w:type="dxa"/>
            <w:vAlign w:val="bottom"/>
            <w:gridSpan w:val="3"/>
          </w:tcPr>
          <w:p>
            <w:pPr>
              <w:jc w:val="center"/>
              <w:ind w:right="540"/>
              <w:spacing w:after="0" w:line="158" w:lineRule="exact"/>
              <w:rPr>
                <w:sz w:val="20"/>
                <w:szCs w:val="20"/>
                <w:color w:val="auto"/>
              </w:rPr>
            </w:pPr>
            <w:r>
              <w:rPr>
                <w:rFonts w:ascii="Times New Roman" w:cs="Times New Roman" w:eastAsia="Times New Roman" w:hAnsi="Times New Roman"/>
                <w:sz w:val="16"/>
                <w:szCs w:val="16"/>
                <w:color w:val="auto"/>
                <w:w w:val="99"/>
              </w:rPr>
              <w:t>Predominantly</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rPr>
              <w:t>Monetized</w:t>
            </w:r>
          </w:p>
        </w:tc>
        <w:tc>
          <w:tcPr>
            <w:tcW w:w="1920" w:type="dxa"/>
            <w:vAlign w:val="bottom"/>
            <w:gridSpan w:val="3"/>
          </w:tcPr>
          <w:p>
            <w:pPr>
              <w:jc w:val="center"/>
              <w:ind w:right="620"/>
              <w:spacing w:after="0" w:line="162" w:lineRule="exact"/>
              <w:rPr>
                <w:sz w:val="20"/>
                <w:szCs w:val="20"/>
                <w:color w:val="auto"/>
              </w:rPr>
            </w:pPr>
            <w:r>
              <w:rPr>
                <w:rFonts w:ascii="Times New Roman" w:cs="Times New Roman" w:eastAsia="Times New Roman" w:hAnsi="Times New Roman"/>
                <w:sz w:val="16"/>
                <w:szCs w:val="16"/>
                <w:color w:val="auto"/>
              </w:rPr>
              <w:t>Monetized as a</w:t>
            </w: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4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color w:val="auto"/>
              </w:rPr>
              <w:t>Monetized</w:t>
            </w:r>
          </w:p>
        </w:tc>
        <w:tc>
          <w:tcPr>
            <w:tcW w:w="1880" w:type="dxa"/>
            <w:vAlign w:val="bottom"/>
            <w:gridSpan w:val="3"/>
          </w:tcPr>
          <w:p>
            <w:pPr>
              <w:jc w:val="center"/>
              <w:ind w:right="540"/>
              <w:spacing w:after="0" w:line="162" w:lineRule="exact"/>
              <w:rPr>
                <w:sz w:val="20"/>
                <w:szCs w:val="20"/>
                <w:color w:val="auto"/>
              </w:rPr>
            </w:pPr>
            <w:r>
              <w:rPr>
                <w:rFonts w:ascii="Times New Roman" w:cs="Times New Roman" w:eastAsia="Times New Roman" w:hAnsi="Times New Roman"/>
                <w:sz w:val="16"/>
                <w:szCs w:val="16"/>
                <w:color w:val="auto"/>
              </w:rPr>
              <w:t>Monetized as a</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Individually</w:t>
            </w:r>
          </w:p>
        </w:tc>
        <w:tc>
          <w:tcPr>
            <w:tcW w:w="192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color w:val="auto"/>
              </w:rPr>
              <w:t>Group</w:t>
            </w:r>
          </w:p>
        </w:tc>
        <w:tc>
          <w:tcPr>
            <w:tcW w:w="1080" w:type="dxa"/>
            <w:vAlign w:val="bottom"/>
            <w:gridSpan w:val="2"/>
            <w:vMerge w:val="continue"/>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Individually</w:t>
            </w:r>
          </w:p>
        </w:tc>
        <w:tc>
          <w:tcPr>
            <w:tcW w:w="1880" w:type="dxa"/>
            <w:vAlign w:val="bottom"/>
            <w:gridSpan w:val="3"/>
          </w:tcPr>
          <w:p>
            <w:pPr>
              <w:jc w:val="center"/>
              <w:ind w:right="540"/>
              <w:spacing w:after="0"/>
              <w:rPr>
                <w:sz w:val="20"/>
                <w:szCs w:val="20"/>
                <w:color w:val="auto"/>
              </w:rPr>
            </w:pPr>
            <w:r>
              <w:rPr>
                <w:rFonts w:ascii="Times New Roman" w:cs="Times New Roman" w:eastAsia="Times New Roman" w:hAnsi="Times New Roman"/>
                <w:sz w:val="16"/>
                <w:szCs w:val="16"/>
                <w:color w:val="auto"/>
              </w:rPr>
              <w:t>Group</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4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original program rights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91,290</w:t>
            </w:r>
          </w:p>
        </w:tc>
        <w:tc>
          <w:tcPr>
            <w:tcW w:w="1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178,433</w:t>
            </w:r>
          </w:p>
        </w:tc>
        <w:tc>
          <w:tcPr>
            <w:tcW w:w="1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193,971</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Licensed program rights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108,752</w:t>
            </w:r>
          </w:p>
        </w:tc>
        <w:tc>
          <w:tcPr>
            <w:tcW w:w="1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108,815</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215,518</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215,660</w:t>
            </w: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200,042</w:t>
            </w: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211,750</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15,680</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393,951</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409,631</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2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ind w:left="634"/>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694"/>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color w:val="auto"/>
                <w:w w:val="99"/>
              </w:rPr>
              <w:t>Predominantly</w:t>
            </w:r>
          </w:p>
        </w:tc>
        <w:tc>
          <w:tcPr>
            <w:tcW w:w="140" w:type="dxa"/>
            <w:vAlign w:val="bottom"/>
          </w:tcPr>
          <w:p>
            <w:pPr>
              <w:spacing w:after="0"/>
              <w:rPr>
                <w:sz w:val="13"/>
                <w:szCs w:val="13"/>
                <w:color w:val="auto"/>
              </w:rPr>
            </w:pPr>
          </w:p>
        </w:tc>
        <w:tc>
          <w:tcPr>
            <w:tcW w:w="134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color w:val="auto"/>
                <w:w w:val="99"/>
              </w:rPr>
              <w:t>Predominantly</w:t>
            </w: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color w:val="auto"/>
                <w:w w:val="99"/>
              </w:rPr>
              <w:t>Predominantly</w:t>
            </w:r>
          </w:p>
        </w:tc>
        <w:tc>
          <w:tcPr>
            <w:tcW w:w="140" w:type="dxa"/>
            <w:vAlign w:val="bottom"/>
          </w:tcPr>
          <w:p>
            <w:pPr>
              <w:spacing w:after="0"/>
              <w:rPr>
                <w:sz w:val="13"/>
                <w:szCs w:val="13"/>
                <w:color w:val="auto"/>
              </w:rPr>
            </w:pPr>
          </w:p>
        </w:tc>
        <w:tc>
          <w:tcPr>
            <w:tcW w:w="13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color w:val="auto"/>
                <w:w w:val="99"/>
              </w:rPr>
              <w:t>Predominantly</w:t>
            </w: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Monetized</w:t>
            </w:r>
          </w:p>
        </w:tc>
        <w:tc>
          <w:tcPr>
            <w:tcW w:w="140" w:type="dxa"/>
            <w:vAlign w:val="bottom"/>
          </w:tcPr>
          <w:p>
            <w:pPr>
              <w:spacing w:after="0"/>
              <w:rPr>
                <w:sz w:val="14"/>
                <w:szCs w:val="14"/>
                <w:color w:val="auto"/>
              </w:rPr>
            </w:pPr>
          </w:p>
        </w:tc>
        <w:tc>
          <w:tcPr>
            <w:tcW w:w="13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color w:val="auto"/>
              </w:rPr>
              <w:t>Monetized as a</w:t>
            </w:r>
          </w:p>
        </w:tc>
        <w:tc>
          <w:tcPr>
            <w:tcW w:w="44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rPr>
              <w:t>Monetized</w:t>
            </w: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rPr>
              <w:t>Monetized as a</w:t>
            </w:r>
          </w:p>
        </w:tc>
        <w:tc>
          <w:tcPr>
            <w:tcW w:w="380" w:type="dxa"/>
            <w:vAlign w:val="bottom"/>
          </w:tcPr>
          <w:p>
            <w:pPr>
              <w:spacing w:after="0"/>
              <w:rPr>
                <w:sz w:val="14"/>
                <w:szCs w:val="14"/>
                <w:color w:val="auto"/>
              </w:rPr>
            </w:pPr>
          </w:p>
        </w:tc>
        <w:tc>
          <w:tcPr>
            <w:tcW w:w="9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Individually</w:t>
            </w:r>
          </w:p>
        </w:tc>
        <w:tc>
          <w:tcPr>
            <w:tcW w:w="1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Group</w:t>
            </w:r>
          </w:p>
        </w:tc>
        <w:tc>
          <w:tcPr>
            <w:tcW w:w="4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Individually</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Group</w:t>
            </w:r>
          </w:p>
        </w:tc>
        <w:tc>
          <w:tcPr>
            <w:tcW w:w="3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original program rights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78,564</w:t>
            </w:r>
          </w:p>
        </w:tc>
        <w:tc>
          <w:tcPr>
            <w:tcW w:w="1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42,165</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138,670</w:t>
            </w:r>
          </w:p>
        </w:tc>
        <w:tc>
          <w:tcPr>
            <w:tcW w:w="1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180,835</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Licensed program rights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116,086</w:t>
            </w:r>
          </w:p>
        </w:tc>
        <w:tc>
          <w:tcPr>
            <w:tcW w:w="1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116,287</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232,049</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233,881</w:t>
            </w: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17,514</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194,650</w:t>
            </w: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212,164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43,997</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370,719</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414,716</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were no significant program rights write-offs included in technical and operating expenses for the three and six months ended June 30, 2025 or 2024.</w:t>
      </w:r>
    </w:p>
    <w:p>
      <w:pPr>
        <w:spacing w:after="0" w:line="6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may qualify for tax incentives through eligible spend on productions. Receivables related to tax incentives earned on production spend as of June 30, 2025 consisted of $175.2 million recorded in Prepaid expenses and other current assets and $42.7 million recorded in Other assets. Receivables related to tax incentives earned on production spend as of December 31, 2024 consisted of $182.0 million recorded in Prepaid expenses and other current assets and $42.4 million recorded in Other assets.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Investments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holds several investments in and loans to non-consolidated entities that are included in Other assets in the condensed consolidated balance sheets. Equity method investments were $89.9 million and $81.8 million at June 30, 2025 and December 31, 2024, respectively. Investments in non-marketable equity securities were $44.6 million and $43.9 million at June 30, 2025 and December 31, 2024, respectively.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Other Intangible Assets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amount of goodwill, by operating segment,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8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420" w:type="dxa"/>
            <w:vAlign w:val="bottom"/>
          </w:tcPr>
          <w:p>
            <w:pPr>
              <w:spacing w:after="0"/>
              <w:rPr>
                <w:sz w:val="18"/>
                <w:szCs w:val="18"/>
                <w:color w:val="auto"/>
              </w:rPr>
            </w:pPr>
          </w:p>
        </w:tc>
        <w:tc>
          <w:tcPr>
            <w:tcW w:w="138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166,266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246,304</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13,134</w:t>
            </w:r>
          </w:p>
        </w:tc>
      </w:tr>
      <w:tr>
        <w:trPr>
          <w:trHeight w:val="248"/>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259,438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2025 and December 31, 2024, accumulated impairment charges totaled $556.2 million.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information relating to the Company's identifiable intangible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Gross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Estimated Useful</w:t>
            </w:r>
          </w:p>
        </w:tc>
        <w:tc>
          <w:tcPr>
            <w:tcW w:w="0" w:type="dxa"/>
            <w:vAlign w:val="bottom"/>
          </w:tcPr>
          <w:p>
            <w:pPr>
              <w:spacing w:after="0"/>
              <w:rPr>
                <w:sz w:val="1"/>
                <w:szCs w:val="1"/>
                <w:color w:val="auto"/>
              </w:rPr>
            </w:pPr>
          </w:p>
        </w:tc>
      </w:tr>
      <w:tr>
        <w:trPr>
          <w:trHeight w:val="214"/>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Lives</w:t>
            </w:r>
          </w:p>
        </w:tc>
        <w:tc>
          <w:tcPr>
            <w:tcW w:w="0" w:type="dxa"/>
            <w:vAlign w:val="bottom"/>
          </w:tcPr>
          <w:p>
            <w:pPr>
              <w:spacing w:after="0"/>
              <w:rPr>
                <w:sz w:val="1"/>
                <w:szCs w:val="1"/>
                <w:color w:val="auto"/>
              </w:rPr>
            </w:pP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Affiliate and customer relationships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629,607</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(486,355)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143,252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to 25 years</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Advertiser relationships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years</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 names and other amortizable intangible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91,858</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(50,748)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41,110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 to 20 years</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767,747</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(583,385)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184,362</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787,647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(583,385)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204,262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4"/>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restart"/>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Affiliate and customer relationships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610,048</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(456,052)</w:t>
            </w:r>
          </w:p>
        </w:tc>
        <w:tc>
          <w:tcPr>
            <w:tcW w:w="10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153,996</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Advertiser relationships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 names and other amortizable intangible assets</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88,751</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(46,169)</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42,582</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745,081</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(548,503)</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196,578</w:t>
            </w: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764,981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(548,503)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216,478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Aggregate amortization expense for amortizable intangible assets for the three months ended June 30, 2025 and 2024 was $8.0 million and $9.6 million, respectively, and for the six months ended June 30, 2025 and 2024 was $15.8 million and $18.2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Estimated aggregate amortization expense for intangible assets subject to amortization for each of the following five years is: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31,031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6"/>
              </w:rPr>
              <w:t>30,087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25,344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6"/>
              </w:rPr>
              <w:t>23,139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19,858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69"/>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8. Accrued Liabilities</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4"/>
                <w:szCs w:val="24"/>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24"/>
                <w:szCs w:val="24"/>
                <w:color w:val="auto"/>
              </w:rPr>
            </w:pP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7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related costs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Participations and residuals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Long-term Debt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73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Company's long-term debt consists of:</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4"/>
                <w:szCs w:val="24"/>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24"/>
                <w:szCs w:val="24"/>
                <w:color w:val="auto"/>
              </w:rPr>
            </w:pP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40"/>
        </w:trPr>
        <w:tc>
          <w:tcPr>
            <w:tcW w:w="20" w:type="dxa"/>
            <w:vAlign w:val="bottom"/>
            <w:tcBorders>
              <w:top w:val="single" w:sz="8" w:color="auto"/>
            </w:tcBorders>
            <w:shd w:val="clear" w:color="auto" w:fill="CCEEFF"/>
          </w:tcPr>
          <w:p>
            <w:pPr>
              <w:spacing w:after="0"/>
              <w:rPr>
                <w:sz w:val="20"/>
                <w:szCs w:val="20"/>
                <w:color w:val="auto"/>
              </w:rPr>
            </w:pPr>
          </w:p>
        </w:tc>
        <w:tc>
          <w:tcPr>
            <w:tcW w:w="7300" w:type="dxa"/>
            <w:vAlign w:val="bottom"/>
            <w:tcBorders>
              <w:top w:val="single" w:sz="8" w:color="auto"/>
            </w:tcBorders>
            <w:gridSpan w:val="2"/>
            <w:shd w:val="clear" w:color="auto" w:fill="CCEEFF"/>
          </w:tcPr>
          <w:p>
            <w:pPr>
              <w:spacing w:after="0" w:line="239" w:lineRule="exact"/>
              <w:rPr>
                <w:sz w:val="20"/>
                <w:szCs w:val="20"/>
                <w:color w:val="auto"/>
              </w:rPr>
            </w:pPr>
            <w:r>
              <w:rPr>
                <w:rFonts w:ascii="Times New Roman" w:cs="Times New Roman" w:eastAsia="Times New Roman" w:hAnsi="Times New Roman"/>
                <w:sz w:val="18"/>
                <w:szCs w:val="18"/>
                <w:color w:val="auto"/>
              </w:rPr>
              <w:t xml:space="preserve">Senior Secured Credit Facility: </w:t>
            </w:r>
            <w:r>
              <w:rPr>
                <w:rFonts w:ascii="Times New Roman" w:cs="Times New Roman" w:eastAsia="Times New Roman" w:hAnsi="Times New Roman"/>
                <w:sz w:val="25"/>
                <w:szCs w:val="25"/>
                <w:color w:val="auto"/>
                <w:vertAlign w:val="superscript"/>
              </w:rPr>
              <w:t>(a)</w:t>
            </w:r>
          </w:p>
        </w:tc>
        <w:tc>
          <w:tcPr>
            <w:tcW w:w="300" w:type="dxa"/>
            <w:vAlign w:val="bottom"/>
            <w:tcBorders>
              <w:top w:val="single" w:sz="8" w:color="auto"/>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 A Facility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329,375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10.25% Senior Secured Notes due January 2029</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4.25% Senior Notes due February 2029</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885,866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3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4.25% Convertible Senior Notes due February 2029</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2,233,991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2,369,385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(8,152)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2,205,322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portion of long-term debt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2,127,822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2,328,719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660" w:hanging="328"/>
        <w:spacing w:after="0" w:line="272" w:lineRule="auto"/>
        <w:tabs>
          <w:tab w:leader="none" w:pos="65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principal amount of the debt, with the Term Loan A (non-extended) of $70.0 million maturing in February 2026, the Term Loan A (extended) of $259.4 million maturing in April 2028, and commitments under our undrawn $175.0 million revolving credit facility terminating in April 2028. Total undrawn revolver commitments are available to be drawn for general corporate purposes of the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2025, the Company voluntarily prepaid the remaining $90.0 million of borrowings under the Term Loan A Facility (non-extended), $20.0 million of which was paid in May 2025 and the remaining $70.0 million of which was paid in July 2025 with the proceeds from the issuance of the 2032 Secured Notes offering described below. During the six months ended June 30, 2025, the Company also continued to make quarterly payments of the principal amount of the Term Loan A Facility (extended) totaling $16.3 million.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AMC Networks' credit agreement (as amended, the "Credit Agreement") generally requires AMC Networks Inc. and its restricted subsidiaries on a consolidated basis to comply with a maximum total net leverage ratio of 5.75:1.00 from April 9, 2024 through March 31, 2026, after which the maximum total net leverage ratio changes to 5.50:1.00. In addition, the Credit Agreement requires a minimum interest coverage ratio of 2.00:1.00 for AMC Networks Inc. and its restricted subsidiaries on a consolidated basis through September 30, 2026, after which the minimum interest coverage ratio changes to 2.25:1.00. All borrowings under the Credit Agreement are subject to the satisfaction of customary conditions, including the absence of a default and accuracy of representations and warranties. AMC Networks was in compliance with all of its financial covenants under the Credit Agreement as of June 30,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4.25% Senior Notes due 2029</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second quarter of 2025, the Company repurchased $99.1 million principal amount of its 4.25% Senior Notes due February 2029 (the "Senior Notes") through open market repurchases, at a discount of $26.7 million, and retired the repurchased notes. The discount, net of a $0.9 million write-off of unamortized discount and deferred financing costs associated with the Senior Notes, was recognized as a gain on extinguishment of debt in the condensed consolidated statements of income (loss) during the second quarter of 2025.</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Utilizing proceeds from the July 3, 2025 offering of 2032 Secured Notes described below, the Company completed a cash tender offer on July 17, 2025 to purchase an additional $600.0 million of Senior Notes at a discount of $111.0 million. The discount, net of a $5.2 million write-off of unamortized discount and deferred financing costs associated with the Senior Notes, will be recognized as a gain on extinguishment of debt in the condensed consolidated statements of income (loss) during the third quarter of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2032 Secured Notes Offering</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3, 2025, AMC Networks completed an offering of $400 million aggregate principal amount of its 10.500% Senior Secured Notes due 2032 (the “2032 Secured Notes”). AMC Networks received net proceeds of $394.5 million, after deducting initial purchaser discounts. The 2032 Secured Notes are guaranteed by AMC Network Entertainment and AMC Networks' subsidiaries that guarantee the Credit Agreement (the "Guarantors").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2032 Secured Notes were issued pursuant to an Indenture, dated as of July 3, 2025 (the “2032 Secured Notes Indenture”), among AMC Networks, the Guarantors and U.S. Bank Trust Company, National Association, as Trustee.</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2032 Secured Notes accrue interest at a rate of 10.500% per annum and mature on July 15, 2032. Interest is payable semiannually on January 15 and July 15 of each year, commencing on January 15, 2026. The 2032 Secured Notes are AMC Networks’ general senior secured obligations, secured on a first-priority basis by substantially all of AMC Networks’ and the Guarantors’ assets and property (the “Collateral”), subject to certain liens permitted under the 2032 Secured Notes Indenture, and will rank equally with all of AMC Networks’ existing and future senior indebtedness, senior in right of payment to AMC Networks’ future subordinated indebtedness and effectively senior to any of AMC Networks’ existing and future unsecured indebtedness or indebtedness that is secured by a lien ranking junior to the lien securing the 2032 Secured Notes, in each case, to the extent of the value of the Collateral.</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or after July 15, 2028, AMC Networks may redeem the 2032 Secured Notes, at its option, in whole or in part, at any time and from time to time, at the redemption prices (expressed as percentages of principal amount) set forth below, plus accrued and unpaid interest thereon, to the applicable redemption date, if redeemed during the twelve month period beginning on July 15 of the years indicated below:</w:t>
      </w:r>
    </w:p>
    <w:p>
      <w:pPr>
        <w:spacing w:after="0" w:line="356" w:lineRule="exact"/>
        <w:rPr>
          <w:sz w:val="20"/>
          <w:szCs w:val="20"/>
          <w:color w:val="auto"/>
        </w:rPr>
      </w:pPr>
    </w:p>
    <w:tbl>
      <w:tblPr>
        <w:tblLayout w:type="fixed"/>
        <w:tblInd w:w="1540" w:type="dxa"/>
        <w:tblCellMar>
          <w:top w:w="0" w:type="dxa"/>
          <w:left w:w="0" w:type="dxa"/>
          <w:bottom w:w="0" w:type="dxa"/>
          <w:right w:w="0" w:type="dxa"/>
        </w:tblCellMar>
      </w:tblPr>
      <w:tr>
        <w:trPr>
          <w:trHeight w:val="213"/>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960" w:type="dxa"/>
            <w:vAlign w:val="bottom"/>
            <w:tcBorders>
              <w:bottom w:val="single" w:sz="8" w:color="auto"/>
            </w:tcBorders>
            <w:shd w:val="clear" w:color="auto" w:fill="CCEEFF"/>
          </w:tcPr>
          <w:p>
            <w:pPr>
              <w:ind w:left="27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1"/>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96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105.250%</w:t>
            </w:r>
          </w:p>
        </w:tc>
      </w:tr>
      <w:tr>
        <w:trPr>
          <w:trHeight w:val="22"/>
        </w:trPr>
        <w:tc>
          <w:tcPr>
            <w:tcW w:w="42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960" w:type="dxa"/>
            <w:vAlign w:val="bottom"/>
            <w:tcBorders>
              <w:bottom w:val="single" w:sz="8" w:color="CCEEFF"/>
            </w:tcBorders>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rPr>
              <w:t>102.625%</w:t>
            </w: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396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3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optional redemption of the 2032 Secured Notes described above, at any time prior to July 15, 2028, AMC Networks may redeem up to 40% of the aggregate principal amount of the 2032 Secured Notes at a redemption price equal to 110.500% of the principal amount thereof, plus accrued and unpaid interest and additional interest, if any, using the net proceeds of certain equity offerings. At any time prior to July 15, 2028, AMC Networks may also redeem up to 10% of the aggregate principal amount of the 2032 Secured Notes during any twelve month period at a redemption price equal to 103.000% of the aggregate principal amount thereof, plus accrued and unpaid interest thereon to, but excluding, the redemption date.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Finally, at any time prior to July 15, 2028, AMC Networks may redeem the 2032 Secured Notes, at its option in whole or in part, at any time and from time to time, at a redemption price equal to 100% of the principal amount thereof to be redeemed plus the “Applicable Premium” calculated as described in the 2032 Secured Notes Indenture at the Treasury rate + 50 basis points, and accrued and unpaid interest thereon, if any, to, but excluding, the redemption date.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Company's leases consist of non-cancelable agreements for office space, and to a lesser extent, equipment leases for satellite transponders, which expire at various dates through 2033. Leases with an initial term of 12 months or less are not recorded on the balance sheet, instead the lease expense is recorded on a straight-line basis over the lease term. For lease agreements entered into, we combine lease and non-lease components. Some leases include options to extend the lease term or terminate the lease prior to the end of the lease term. The depreciable life of assets and leasehold improvements are limited by the expected lease term, unless there is a transfer of title or purchase option reasonably certain of exercise.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leases generally provide for fixed annual rentals plus certain other costs or credits. Some leases include rental payments based on a percentage of revenue over contractual levels or based on an index or rate. Our lease agreements do not include any material residual value guarantees or material restrictive covenants.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the rate implicit in our leases is not readily determinable, the Company uses its incremental borrowing rate based on the information available at the lease commencement date to determine the present value of the lease payments.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leases included in the condensed consolidated balance sheets: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580" w:type="dxa"/>
            <w:vAlign w:val="bottom"/>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340" w:type="dxa"/>
            <w:vAlign w:val="bottom"/>
          </w:tcPr>
          <w:p>
            <w:pPr>
              <w:spacing w:after="0"/>
              <w:rPr>
                <w:sz w:val="18"/>
                <w:szCs w:val="18"/>
                <w:color w:val="auto"/>
              </w:rPr>
            </w:pPr>
          </w:p>
        </w:tc>
        <w:tc>
          <w:tcPr>
            <w:tcW w:w="18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Pr>
          <w:p>
            <w:pPr>
              <w:spacing w:after="0"/>
              <w:rPr>
                <w:sz w:val="18"/>
                <w:szCs w:val="18"/>
                <w:color w:val="auto"/>
              </w:rPr>
            </w:pPr>
          </w:p>
        </w:tc>
        <w:tc>
          <w:tcPr>
            <w:tcW w:w="18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6"/>
        </w:trPr>
        <w:tc>
          <w:tcPr>
            <w:tcW w:w="20" w:type="dxa"/>
            <w:vAlign w:val="bottom"/>
            <w:tcBorders>
              <w:top w:val="single" w:sz="8" w:color="auto"/>
            </w:tcBorders>
            <w:shd w:val="clear" w:color="auto" w:fill="CCEEFF"/>
          </w:tcPr>
          <w:p>
            <w:pPr>
              <w:spacing w:after="0"/>
              <w:rPr>
                <w:sz w:val="16"/>
                <w:szCs w:val="16"/>
                <w:color w:val="auto"/>
              </w:rPr>
            </w:pPr>
          </w:p>
        </w:tc>
        <w:tc>
          <w:tcPr>
            <w:tcW w:w="2340" w:type="dxa"/>
            <w:vAlign w:val="bottom"/>
            <w:tcBorders>
              <w:top w:val="single" w:sz="8" w:color="auto"/>
            </w:tcBorders>
            <w:gridSpan w:val="3"/>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45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58,390</w:t>
            </w: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w:t>
            </w:r>
          </w:p>
        </w:tc>
        <w:tc>
          <w:tcPr>
            <w:tcW w:w="45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w:t>
            </w:r>
          </w:p>
        </w:tc>
      </w:tr>
      <w:tr>
        <w:trPr>
          <w:trHeight w:val="223"/>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lease assets</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1560" w:type="dxa"/>
            <w:vAlign w:val="bottom"/>
            <w:tcBorders>
              <w:bottom w:val="single" w:sz="8" w:color="CCEEFF"/>
            </w:tcBorders>
            <w:shd w:val="clear" w:color="auto" w:fill="CCEEFF"/>
          </w:tcPr>
          <w:p>
            <w:pPr>
              <w:spacing w:after="0"/>
              <w:rPr>
                <w:sz w:val="15"/>
                <w:szCs w:val="15"/>
                <w:color w:val="auto"/>
              </w:rPr>
            </w:pPr>
          </w:p>
        </w:tc>
        <w:tc>
          <w:tcPr>
            <w:tcW w:w="4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45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27,798</w:t>
            </w:r>
          </w:p>
        </w:tc>
      </w:tr>
      <w:tr>
        <w:trPr>
          <w:trHeight w:val="230"/>
        </w:trPr>
        <w:tc>
          <w:tcPr>
            <w:tcW w:w="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Finance</w:t>
            </w:r>
          </w:p>
        </w:tc>
        <w:tc>
          <w:tcPr>
            <w:tcW w:w="4580" w:type="dxa"/>
            <w:vAlign w:val="bottom"/>
            <w:tcBorders>
              <w:bottom w:val="single" w:sz="8" w:color="CCEEFF"/>
            </w:tcBorders>
            <w:gridSpan w:val="2"/>
          </w:tcPr>
          <w:p>
            <w:pPr>
              <w:ind w:left="74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32,439</w:t>
            </w:r>
          </w:p>
        </w:tc>
      </w:tr>
      <w:tr>
        <w:trPr>
          <w:trHeight w:val="210"/>
        </w:trPr>
        <w:tc>
          <w:tcPr>
            <w:tcW w:w="20" w:type="dxa"/>
            <w:vAlign w:val="bottom"/>
          </w:tcPr>
          <w:p>
            <w:pPr>
              <w:spacing w:after="0"/>
              <w:rPr>
                <w:sz w:val="18"/>
                <w:szCs w:val="18"/>
                <w:color w:val="auto"/>
              </w:rPr>
            </w:pPr>
          </w:p>
        </w:tc>
        <w:tc>
          <w:tcPr>
            <w:tcW w:w="2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45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Lease obligations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51,929</w:t>
            </w:r>
          </w:p>
        </w:tc>
      </w:tr>
      <w:tr>
        <w:trPr>
          <w:trHeight w:val="229"/>
        </w:trPr>
        <w:tc>
          <w:tcPr>
            <w:tcW w:w="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Finance</w:t>
            </w:r>
          </w:p>
        </w:tc>
        <w:tc>
          <w:tcPr>
            <w:tcW w:w="4580" w:type="dxa"/>
            <w:vAlign w:val="bottom"/>
            <w:tcBorders>
              <w:bottom w:val="single" w:sz="8" w:color="CCEEFF"/>
            </w:tcBorders>
            <w:gridSpan w:val="2"/>
          </w:tcPr>
          <w:p>
            <w:pPr>
              <w:ind w:left="740"/>
              <w:spacing w:after="0"/>
              <w:rPr>
                <w:sz w:val="20"/>
                <w:szCs w:val="20"/>
                <w:color w:val="auto"/>
              </w:rPr>
            </w:pPr>
            <w:r>
              <w:rPr>
                <w:rFonts w:ascii="Times New Roman" w:cs="Times New Roman" w:eastAsia="Times New Roman" w:hAnsi="Times New Roman"/>
                <w:sz w:val="18"/>
                <w:szCs w:val="18"/>
                <w:color w:val="auto"/>
              </w:rPr>
              <w:t>Lease obligations</w:t>
            </w: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12,652</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64,581</w:t>
            </w:r>
          </w:p>
        </w:tc>
      </w:tr>
      <w:tr>
        <w:trPr>
          <w:trHeight w:val="250"/>
        </w:trPr>
        <w:tc>
          <w:tcPr>
            <w:tcW w:w="2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4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 Quoted prices for identical instruments in active markets.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 Instruments whose significant value drivers are unobservable.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each of these hierarchy levels, the Company's financial assets and liabilities that are measured at fair value on a recurring basis at June 30, 2025 and December 31,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320" w:type="dxa"/>
            <w:vAlign w:val="bottom"/>
            <w:tcBorders>
              <w:top w:val="single" w:sz="8" w:color="auto"/>
              <w:bottom w:val="single" w:sz="8" w:color="auto"/>
            </w:tcBorders>
          </w:tcPr>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At June 30, 2025: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r>
      <w:tr>
        <w:trPr>
          <w:trHeight w:val="184"/>
        </w:trPr>
        <w:tc>
          <w:tcPr>
            <w:tcW w:w="20" w:type="dxa"/>
            <w:vAlign w:val="bottom"/>
            <w:shd w:val="clear" w:color="auto" w:fill="CCEEFF"/>
          </w:tcPr>
          <w:p>
            <w:pPr>
              <w:spacing w:after="0"/>
              <w:rPr>
                <w:sz w:val="16"/>
                <w:szCs w:val="16"/>
                <w:color w:val="auto"/>
              </w:rPr>
            </w:pPr>
          </w:p>
        </w:tc>
        <w:tc>
          <w:tcPr>
            <w:tcW w:w="510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295,542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295,542</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r>
      <w:tr>
        <w:trPr>
          <w:trHeight w:val="189"/>
        </w:trPr>
        <w:tc>
          <w:tcPr>
            <w:tcW w:w="20" w:type="dxa"/>
            <w:vAlign w:val="bottom"/>
          </w:tcPr>
          <w:p>
            <w:pPr>
              <w:spacing w:after="0"/>
              <w:rPr>
                <w:sz w:val="16"/>
                <w:szCs w:val="16"/>
                <w:color w:val="auto"/>
              </w:rPr>
            </w:pPr>
          </w:p>
        </w:tc>
        <w:tc>
          <w:tcPr>
            <w:tcW w:w="51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r>
      <w:tr>
        <w:trPr>
          <w:trHeight w:val="270"/>
        </w:trPr>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14"/>
        </w:trPr>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320" w:type="dxa"/>
            <w:vAlign w:val="bottom"/>
            <w:tcBorders>
              <w:bottom w:val="single" w:sz="8" w:color="auto"/>
            </w:tcBorders>
            <w:shd w:val="clear" w:color="auto" w:fill="CCEEFF"/>
          </w:tcPr>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At December 31, 2024: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510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equivalents</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250,841</w:t>
            </w:r>
          </w:p>
        </w:tc>
      </w:tr>
      <w:tr>
        <w:trPr>
          <w:trHeight w:val="230"/>
        </w:trPr>
        <w:tc>
          <w:tcPr>
            <w:tcW w:w="20" w:type="dxa"/>
            <w:vAlign w:val="bottom"/>
          </w:tcPr>
          <w:p>
            <w:pPr>
              <w:spacing w:after="0"/>
              <w:rPr>
                <w:sz w:val="19"/>
                <w:szCs w:val="19"/>
                <w:color w:val="auto"/>
              </w:rPr>
            </w:pPr>
          </w:p>
        </w:tc>
        <w:tc>
          <w:tcPr>
            <w:tcW w:w="51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4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r>
    </w:tbl>
    <w:p>
      <w:pPr>
        <w:spacing w:after="0" w:line="17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Company's cash equivalents (comprised of money market mutual funds) are classified within Level I of the fair value hierarchy because they are valued using quoted market prices.</w:t>
      </w:r>
    </w:p>
    <w:p>
      <w:pPr>
        <w:spacing w:after="0" w:line="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Company's foreign currency derivatives are classified within Level II of the fair value hierarchy as their fair values are determined based on a market approach valuation technique that uses readily observable market parameters and the consideration of counterparty risk.</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Fair value measurements are also used in nonrecurring valuations performed in connection with impairment testing. These nonrecurring valuations primarily include the valuation of program rights, goodwill, intangible assets and property and equipment. All of our nonrecurring valuations use significant unobservable inputs and therefore fall under Level III of the fair value hierarchy.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 Debt and Senior Notes</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0" w:type="dxa"/>
            <w:vAlign w:val="bottom"/>
            <w:tcBorders>
              <w:bottom w:val="single" w:sz="8" w:color="auto"/>
            </w:tcBorders>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500" w:type="dxa"/>
            <w:vAlign w:val="bottom"/>
          </w:tcPr>
          <w:p>
            <w:pPr>
              <w:spacing w:after="0"/>
              <w:rPr>
                <w:sz w:val="16"/>
                <w:szCs w:val="16"/>
                <w:color w:val="auto"/>
              </w:rPr>
            </w:pPr>
          </w:p>
        </w:tc>
        <w:tc>
          <w:tcPr>
            <w:tcW w:w="140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8"/>
                <w:szCs w:val="18"/>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00" w:type="dxa"/>
            <w:vAlign w:val="bottom"/>
          </w:tcPr>
          <w:p>
            <w:pPr>
              <w:spacing w:after="0"/>
              <w:rPr>
                <w:sz w:val="18"/>
                <w:szCs w:val="18"/>
                <w:color w:val="auto"/>
              </w:rPr>
            </w:pPr>
          </w:p>
        </w:tc>
        <w:tc>
          <w:tcPr>
            <w:tcW w:w="140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5"/>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w w:val="99"/>
              </w:rPr>
              <w:t>Debt instruments:</w:t>
            </w:r>
          </w:p>
        </w:tc>
        <w:tc>
          <w:tcPr>
            <w:tcW w:w="600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7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 A Facility</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324,598</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329,375</w:t>
            </w: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10.25% Senior Secured Notes due 2029</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907,813</w:t>
            </w:r>
          </w:p>
        </w:tc>
      </w:tr>
      <w:tr>
        <w:trPr>
          <w:trHeight w:val="230"/>
        </w:trPr>
        <w:tc>
          <w:tcPr>
            <w:tcW w:w="20" w:type="dxa"/>
            <w:vAlign w:val="bottom"/>
          </w:tcPr>
          <w:p>
            <w:pPr>
              <w:spacing w:after="0"/>
              <w:rPr>
                <w:sz w:val="19"/>
                <w:szCs w:val="19"/>
                <w:color w:val="auto"/>
              </w:rPr>
            </w:pPr>
          </w:p>
        </w:tc>
        <w:tc>
          <w:tcPr>
            <w:tcW w:w="7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4.25% Senior Notes due 2029</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706,478</w:t>
            </w: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4.25% Convertible Senior Notes due 2029</w:t>
            </w:r>
          </w:p>
        </w:tc>
        <w:tc>
          <w:tcPr>
            <w:tcW w:w="3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120,753</w:t>
            </w: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2,205,322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2,064,419</w:t>
            </w:r>
          </w:p>
        </w:tc>
      </w:tr>
      <w:tr>
        <w:trPr>
          <w:trHeight w:val="21"/>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119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5"/>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60" w:type="dxa"/>
            <w:vAlign w:val="bottom"/>
          </w:tcPr>
          <w:p>
            <w:pPr>
              <w:spacing w:after="0"/>
              <w:rPr>
                <w:sz w:val="16"/>
                <w:szCs w:val="16"/>
                <w:color w:val="auto"/>
              </w:rPr>
            </w:pPr>
          </w:p>
        </w:tc>
        <w:tc>
          <w:tcPr>
            <w:tcW w:w="154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60" w:type="dxa"/>
            <w:vAlign w:val="bottom"/>
          </w:tcPr>
          <w:p>
            <w:pPr>
              <w:spacing w:after="0"/>
              <w:rPr>
                <w:sz w:val="18"/>
                <w:szCs w:val="18"/>
                <w:color w:val="auto"/>
              </w:rPr>
            </w:pPr>
          </w:p>
        </w:tc>
        <w:tc>
          <w:tcPr>
            <w:tcW w:w="154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5"/>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w w:val="99"/>
              </w:rPr>
              <w:t>Debt instruments:</w:t>
            </w:r>
          </w:p>
        </w:tc>
        <w:tc>
          <w:tcPr>
            <w:tcW w:w="604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7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 A Facility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359,660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356,934</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10.25% Senior Secured Notes due 2029</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927,500</w:t>
            </w:r>
          </w:p>
        </w:tc>
      </w:tr>
      <w:tr>
        <w:trPr>
          <w:trHeight w:val="230"/>
        </w:trPr>
        <w:tc>
          <w:tcPr>
            <w:tcW w:w="20" w:type="dxa"/>
            <w:vAlign w:val="bottom"/>
          </w:tcPr>
          <w:p>
            <w:pPr>
              <w:spacing w:after="0"/>
              <w:rPr>
                <w:sz w:val="19"/>
                <w:szCs w:val="19"/>
                <w:color w:val="auto"/>
              </w:rPr>
            </w:pPr>
          </w:p>
        </w:tc>
        <w:tc>
          <w:tcPr>
            <w:tcW w:w="7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4.25% Senior Notes due 2029</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772,002</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4.25% Convertible Senior Notes due 2029</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139,410</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142,313</w:t>
            </w: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2,336,219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2,198,749</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Derivative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foreign currency risk to the extent that we enter into transactions denominated in currencies other than one of our subsidiaries' respective functional currencies (non-functional currency risk), such as affiliation agreements, programming contracts, certain trade receivables and accounts payable (including intercompany amounts).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values of the Company's derivative financial instruments included in the condensed consolidated balance sheets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80" w:type="dxa"/>
            <w:vAlign w:val="bottom"/>
            <w:gridSpan w:val="2"/>
          </w:tcPr>
          <w:p>
            <w:pPr>
              <w:ind w:left="146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72"/>
        </w:trPr>
        <w:tc>
          <w:tcPr>
            <w:tcW w:w="332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4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r>
      <w:tr>
        <w:trPr>
          <w:trHeight w:val="24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4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amounts of gains and losses related to the Company's derivative financial instruments not designated as hedging instruments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Location of Gain (Loss) Recognized</w:t>
            </w:r>
          </w:p>
        </w:tc>
        <w:tc>
          <w:tcPr>
            <w:tcW w:w="200" w:type="dxa"/>
            <w:vAlign w:val="bottom"/>
          </w:tcPr>
          <w:p>
            <w:pPr>
              <w:spacing w:after="0"/>
              <w:rPr>
                <w:sz w:val="16"/>
                <w:szCs w:val="16"/>
                <w:color w:val="auto"/>
              </w:rPr>
            </w:pPr>
          </w:p>
        </w:tc>
        <w:tc>
          <w:tcPr>
            <w:tcW w:w="5560" w:type="dxa"/>
            <w:vAlign w:val="bottom"/>
            <w:gridSpan w:val="10"/>
            <w:vMerge w:val="restart"/>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Amount of Gain (Loss) Recognized in Earnings on Derivatives</w:t>
            </w:r>
          </w:p>
        </w:tc>
        <w:tc>
          <w:tcPr>
            <w:tcW w:w="0" w:type="dxa"/>
            <w:vAlign w:val="bottom"/>
          </w:tcPr>
          <w:p>
            <w:pPr>
              <w:spacing w:after="0"/>
              <w:rPr>
                <w:sz w:val="1"/>
                <w:szCs w:val="1"/>
                <w:color w:val="auto"/>
              </w:rPr>
            </w:pPr>
          </w:p>
        </w:tc>
      </w:tr>
      <w:tr>
        <w:trPr>
          <w:trHeight w:val="214"/>
        </w:trPr>
        <w:tc>
          <w:tcPr>
            <w:tcW w:w="2820" w:type="dxa"/>
            <w:vAlign w:val="bottom"/>
          </w:tcPr>
          <w:p>
            <w:pPr>
              <w:spacing w:after="0"/>
              <w:rPr>
                <w:sz w:val="18"/>
                <w:szCs w:val="18"/>
                <w:color w:val="auto"/>
              </w:rPr>
            </w:pP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Earnings on Derivatives</w:t>
            </w:r>
          </w:p>
        </w:tc>
        <w:tc>
          <w:tcPr>
            <w:tcW w:w="200" w:type="dxa"/>
            <w:vAlign w:val="bottom"/>
          </w:tcPr>
          <w:p>
            <w:pPr>
              <w:spacing w:after="0"/>
              <w:rPr>
                <w:sz w:val="18"/>
                <w:szCs w:val="18"/>
                <w:color w:val="auto"/>
              </w:rPr>
            </w:pPr>
          </w:p>
        </w:tc>
        <w:tc>
          <w:tcPr>
            <w:tcW w:w="5560" w:type="dxa"/>
            <w:vAlign w:val="bottom"/>
            <w:gridSpan w:val="1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20" w:type="dxa"/>
            <w:vAlign w:val="bottom"/>
          </w:tcPr>
          <w:p>
            <w:pPr>
              <w:spacing w:after="0"/>
              <w:rPr>
                <w:sz w:val="20"/>
                <w:szCs w:val="20"/>
                <w:color w:val="auto"/>
              </w:rPr>
            </w:pPr>
          </w:p>
        </w:tc>
        <w:tc>
          <w:tcPr>
            <w:tcW w:w="2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640" w:type="dxa"/>
            <w:vAlign w:val="bottom"/>
            <w:tcBorders>
              <w:top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Borders>
              <w:top w:val="single" w:sz="8" w:color="auto"/>
            </w:tcBorders>
          </w:tcPr>
          <w:p>
            <w:pPr>
              <w:spacing w:after="0"/>
              <w:rPr>
                <w:sz w:val="20"/>
                <w:szCs w:val="20"/>
                <w:color w:val="auto"/>
              </w:rPr>
            </w:pPr>
          </w:p>
        </w:tc>
        <w:tc>
          <w:tcPr>
            <w:tcW w:w="2620" w:type="dxa"/>
            <w:vAlign w:val="bottom"/>
            <w:tcBorders>
              <w:top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51"/>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Miscellaneous,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2025, income tax expense was $16.1 million on income from operations before income taxes of $68.8 million, and $31.0 million on income from operations before income taxes of $105.9 million, respectively, representing an effective rate of 23% and 29%, respectively. The variance from the federal statutory rate of 21% for the three months ended June 30, 2025 primarily consists of state and local income tax expense. Items resulting in variances from the federal statutory rate of 21% for the six months ended June 30, 2025 primarily consist of state and local income tax expense, tax expense for shortfalls related to share-based compensation, tax expense for an increase in the valuation allowance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foreign taxes and tax expense related to non-deductible compensation.</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2024, income tax expense was $10.9 million on income (loss) from operations before income taxes of $(21.4) million, and $34.5 million on income from operations before income taxes of $59.6 million, respectively, representing an effective tax rate of (51)% and 58%, respectively. The effective tax rate for both the three and six months ended June 30, 2024 was impacted by the $68.0 million nondeductible goodwill impairment charge at AMCNI. Inclusive of the nondeductible goodwill impairment charge, items resulting in variances from the federal statutory rate of 21% for the three and six months ended June 30, 2024 primarily consist of state and local income tax expense, tax expense from foreign operations, tax expense for an increase in the valuation allowance for foreign taxes and tax expense related to non-deductible compensation.</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June 30, 2025, the Company had foreign tax credit carryforwards of approximately $50.1 million, expiring on various dates from 2025 through 2035. These carryforwards have been reduced to zero by a valuation allowance of $50.1 million as it is more likely than not that these carryforwards will not be realized.</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2025, the Company’s cash and cash equivalents balance of $866.4 million included approximately $139.2 million held by foreign subsidiaries. Of this amount, approximately $8.0 million is expected to be repatriated to the United States with the remaining amount continuing to be reinvested in foreign operations. Tax expense related to the expected repatriation amount has been accrued in prior periods and the Company does not expect to incur any significant, additional taxes related to the remaining balance.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the Pillar Two minimum tax requirement has not had, and is not expected to have, a material impact on the Company's results of operations or financial position for the year ending December 31, 2025.</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in the U.S., which contains a broad range of tax reform provisions impacting companies. The Company is currently evaluating the impact this legislation will have on its results of operations and financial position. As the legislation was signed into law subsequent to quarter end, the impacts are not included in the Company’s operating results for the six months ended June 30, 2025.</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June 30, 2025, the Company's contractual obligations not reflected on the Company's condensed consolidated balance sheets decreased $79.8 million, as compared to December 31, 2024, to $515.5 million. The decrease was primarily related to payments for program rights and third-party service contracts.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remaining claims. On April 6, 2022, the court granted the Company’s summary adjudication motion in part, dismissing the Plaintiffs’ claims for breach of the implied covenant of good faith and fair dealing and inducing breach of contract. On January 26, 2023, the Plaintiffs filed a notice of appeal of the court’s post-trial, demurrer, and summary adjudication decisions. On September 25, 2024, a hearing was held on the Plaintiffs’ appeals. On November 4, 2024, the appellate court issued a decision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affirming the trial court’s decisions in favor of the Company in the 2021 first phase trial and the 2022 motion for summary judgment. The parties entered into an agreement to resolve through confidential binding arbitration the remaining claims in the litigation (consisting mainly of ordinary course profit participation audit claims), and as a result, the court formally dismissed the case. The arbitration to resolve the two remaining claims for breach of contract was held between October 16 through October 20, 2023. On March 12, 2024, the arbitral panel issued a decision awarding the Plaintiffs a sum of approximately $7.8 million. The arbitral panel's decision did not have a material impact on the Company's financial condition or results of operations.</w:t>
      </w:r>
    </w:p>
    <w:p>
      <w:pPr>
        <w:spacing w:after="0" w:line="75"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On November 14, 2022, the Plaintiffs filed a separate complaint in California Superior Court (the “MFN Litigation”) in connection with the Company’s July 16, 2021 settlement agreement with Frank Darabont (“Darabont”), Ferenc, Inc., Darkwoods Productions, Inc., and Creative Artists Agency, LLC (the “Darabont Parties”), which resolved litigations the 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Plaintiffs claim in the MFN Litigation that they are entitled to actual and compensatory damages in excess of $200 million. The Plaintiffs also brought a cause of action to enjoin an arbitration the Company commenced in May 2022 concerning the same dispute. On December 15, 2022, the Company removed the MFN Litigation to the United States District Court for the Central District of California. On January 13, 2023, the Company filed a motion to dismiss the MFN Litigation and informed the court that the Company had withdrawn the arbitration Plaintiffs sought to enjoin. On March 25, 2024, the Court issued a ruling denying the Company’s motion to dismiss. On February 25, 2025, the Plaintiffs filed an amended complaint adding two claims for the alleged breach of the MFN provisions of their contracts based on certain agreements the Company entered into with another profit participant and a claim for breach of the implied covenant of good faith and fair dealing. On March 14, 2025, the Company filed its answer to the amended complaint. The parties are currently conducting discovery. The trial for this matter, previously scheduled for October 27, 2025, has been rescheduled to March 26, 2026. 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spacing w:after="0" w:line="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is party to various lawsuits and claims in the ordinary course of business, including the matters described above, as well as other lawsuits and claims relating to employment, intellectual property, and privacy and data protection matters.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Equity Plans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second quarter of 2025, AMC Networks granted 275,522 RSUs to non-employee directors under the 2011 Stock Plan for Non-Employee Directors that vested on the date of grant.</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first quarter of 2025, AMC Networks granted 3,103,666 RSUs to certain executive officers and employees under the AMC Networks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2016 Employee Stock Plan, which vest ratably over a three-year period.</w:t>
      </w:r>
    </w:p>
    <w:p>
      <w:pPr>
        <w:spacing w:after="0" w:line="9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2025, 103,070 RSUs previously issued to employees of the Company vested. On the vesting date, 52,281 RSUs were surrendered to AMC Networks to cover the required statutory tax withholding obligations and 50,789 shares of AMC Networks' Class A Common Stock were issued. During the six months ended June 30, 2025, 1,397,031 RSUs previously issued to employees of the Company vested. On the vesting date, 566,095 RSUs were surrendered to AMC Networks to cover the required statutory tax withholding obligations and 830,936 shares of AMC Networks' Class A Common Stock were issued. Units are surrendered to satisfy the employees' statutory minimum tax withholding obligations for the applicable income and other employment tax. The units surrendered during the six months ended June 30, 2025 had an aggregate value of $4.0 million, which has been reflected as a financing activity in the condensed consolidated statements of cash flows for the six months ended June 30, 2025.</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share-based compensation expenses of $8.0 million and $13.8 million for the three and six months ended June 30, 2025, respectively, and $8.5 million and $14.5 million for the three and six months ended June 30, 2024, respectively. Share-based compensation expenses are recognized in the condensed consolidated statements of income (loss) as part of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June 30, 2025, there was $30.0 million of total unrecognized share-based compensation cost related to outstanding unvested share-based awards. The unrecognized compensation cost is expected to be recognized over a weighted average remaining period of approximately 2.2 years.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Redeemable Noncontrolling Interests</w:t>
      </w:r>
    </w:p>
    <w:p>
      <w:pPr>
        <w:spacing w:after="0" w:line="121" w:lineRule="exact"/>
        <w:rPr>
          <w:sz w:val="20"/>
          <w:szCs w:val="20"/>
          <w:color w:val="auto"/>
        </w:rPr>
      </w:pPr>
    </w:p>
    <w:p>
      <w:pPr>
        <w:jc w:val="both"/>
        <w:ind w:right="80"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the Company's previous acquisitions of New Video Channel America L.L.C (owner of the cable channel BBCA) and RLJ Entertainment, the terms of the acquisition agreements provide the noncontrolling members with a right to put all of their noncontrolling interest to subsidiaries of the Company at a future time, within ninety days following October 31, 2025, or earlier upon a change of control, in the case of RLJ Entertainment. Since the exercise of these put rights is outside the Company's control, the noncontrolling interest in each entity is presented as a redeemable noncontrolling interest outside of stockholders' equity on the Company's condensed consolidated balance sheets.</w:t>
      </w:r>
    </w:p>
    <w:p>
      <w:pPr>
        <w:spacing w:after="0" w:line="75" w:lineRule="exact"/>
        <w:rPr>
          <w:sz w:val="20"/>
          <w:szCs w:val="20"/>
          <w:color w:val="auto"/>
        </w:rPr>
      </w:pPr>
    </w:p>
    <w:p>
      <w:pPr>
        <w:jc w:val="both"/>
        <w:ind w:right="80" w:firstLine="405"/>
        <w:spacing w:after="0" w:line="255" w:lineRule="auto"/>
        <w:rPr>
          <w:sz w:val="20"/>
          <w:szCs w:val="20"/>
          <w:color w:val="auto"/>
        </w:rPr>
      </w:pPr>
      <w:r>
        <w:rPr>
          <w:rFonts w:ascii="Times New Roman" w:cs="Times New Roman" w:eastAsia="Times New Roman" w:hAnsi="Times New Roman"/>
          <w:sz w:val="18"/>
          <w:szCs w:val="18"/>
          <w:color w:val="auto"/>
        </w:rPr>
        <w:t>On November 1, 2024, the Company acquired the remaining 50.1% of the BBC America joint-venture that it had not previously owned from BBC Studios for $42.0 million in cash. Since the Company retained the controlling financial interest, the transaction was accounted for as an equity transaction and therefore no gain or loss was recorded in the consolidated statements of income (loss). As a result, the carrying amount of the noncontrolling interest was reduced to zero, reflecting the Company's 100% ownership of the BBC America business, and the $90.9 million difference between this reduction and the $42.0 million purchase price was recognized in Paid-in capital on the condensed consolidated balance sheets. The amount recorded in Paid-in capital was partially offset by $21.5 million of deferred taxes reflecting the difference between the existing noncontrolling interest and the tax basis (amount paid) as of the acquisition date.</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activity related to redeemable noncontrolling interests for the three and six months ended June 30, 2025 and 2024:</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6040" w:type="dxa"/>
            <w:vAlign w:val="bottom"/>
          </w:tcPr>
          <w:p>
            <w:pPr>
              <w:jc w:val="center"/>
              <w:ind w:left="4099"/>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r>
      <w:tr>
        <w:trPr>
          <w:trHeight w:val="212"/>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30, 2025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5380" w:type="dxa"/>
            <w:vAlign w:val="bottom"/>
            <w:tcBorders>
              <w:top w:val="single" w:sz="8" w:color="auto"/>
            </w:tcBorders>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61,076</w:t>
            </w:r>
          </w:p>
        </w:tc>
        <w:tc>
          <w:tcPr>
            <w:tcW w:w="0" w:type="dxa"/>
            <w:vAlign w:val="bottom"/>
          </w:tcPr>
          <w:p>
            <w:pPr>
              <w:spacing w:after="0"/>
              <w:rPr>
                <w:sz w:val="1"/>
                <w:szCs w:val="1"/>
                <w:color w:val="auto"/>
              </w:rPr>
            </w:pPr>
          </w:p>
        </w:tc>
      </w:tr>
      <w:tr>
        <w:trPr>
          <w:trHeight w:val="230"/>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4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to redemption fair value</w:t>
            </w:r>
          </w:p>
        </w:tc>
        <w:tc>
          <w:tcPr>
            <w:tcW w:w="49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4960" w:type="dxa"/>
            <w:vAlign w:val="bottom"/>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42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0" w:type="dxa"/>
            <w:vAlign w:val="bottom"/>
          </w:tcPr>
          <w:p>
            <w:pPr>
              <w:spacing w:after="0"/>
              <w:rPr>
                <w:sz w:val="1"/>
                <w:szCs w:val="1"/>
                <w:color w:val="auto"/>
              </w:rPr>
            </w:pPr>
          </w:p>
        </w:tc>
      </w:tr>
      <w:tr>
        <w:trPr>
          <w:trHeight w:val="214"/>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0" w:type="dxa"/>
            <w:vAlign w:val="bottom"/>
          </w:tcPr>
          <w:p>
            <w:pPr>
              <w:spacing w:after="0"/>
              <w:rPr>
                <w:sz w:val="1"/>
                <w:szCs w:val="1"/>
                <w:color w:val="auto"/>
              </w:rPr>
            </w:pPr>
          </w:p>
        </w:tc>
      </w:tr>
      <w:tr>
        <w:trPr>
          <w:trHeight w:val="225"/>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538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197,370</w:t>
            </w:r>
          </w:p>
        </w:tc>
        <w:tc>
          <w:tcPr>
            <w:tcW w:w="0" w:type="dxa"/>
            <w:vAlign w:val="bottom"/>
          </w:tcPr>
          <w:p>
            <w:pPr>
              <w:spacing w:after="0"/>
              <w:rPr>
                <w:sz w:val="1"/>
                <w:szCs w:val="1"/>
                <w:color w:val="auto"/>
              </w:rPr>
            </w:pPr>
          </w:p>
        </w:tc>
      </w:tr>
      <w:tr>
        <w:trPr>
          <w:trHeight w:val="229"/>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 (loss)</w:t>
            </w:r>
          </w:p>
        </w:tc>
        <w:tc>
          <w:tcPr>
            <w:tcW w:w="4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4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Adjustment to redemption fair value</w:t>
            </w:r>
          </w:p>
        </w:tc>
        <w:tc>
          <w:tcPr>
            <w:tcW w:w="49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4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180,065</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2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4"/>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538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55,881</w:t>
            </w:r>
          </w:p>
        </w:tc>
        <w:tc>
          <w:tcPr>
            <w:tcW w:w="0" w:type="dxa"/>
            <w:vAlign w:val="bottom"/>
          </w:tcPr>
          <w:p>
            <w:pPr>
              <w:spacing w:after="0"/>
              <w:rPr>
                <w:sz w:val="1"/>
                <w:szCs w:val="1"/>
                <w:color w:val="auto"/>
              </w:rPr>
            </w:pPr>
          </w:p>
        </w:tc>
      </w:tr>
      <w:tr>
        <w:trPr>
          <w:trHeight w:val="230"/>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4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to redemption fair value</w:t>
            </w:r>
          </w:p>
        </w:tc>
        <w:tc>
          <w:tcPr>
            <w:tcW w:w="49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4960" w:type="dxa"/>
            <w:vAlign w:val="bottom"/>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960" w:type="dxa"/>
            <w:vAlign w:val="bottom"/>
            <w:vMerge w:val="restart"/>
          </w:tcPr>
          <w:p>
            <w:pPr>
              <w:jc w:val="right"/>
              <w:ind w:right="341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6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9220" w:type="dxa"/>
            <w:vAlign w:val="bottom"/>
          </w:tcPr>
          <w:p>
            <w:pPr>
              <w:jc w:val="center"/>
              <w:ind w:left="1932"/>
              <w:spacing w:after="0"/>
              <w:rPr>
                <w:sz w:val="20"/>
                <w:szCs w:val="20"/>
                <w:color w:val="auto"/>
              </w:rPr>
            </w:pPr>
            <w:r>
              <w:rPr>
                <w:rFonts w:ascii="Times New Roman" w:cs="Times New Roman" w:eastAsia="Times New Roman" w:hAnsi="Times New Roman"/>
                <w:sz w:val="18"/>
                <w:szCs w:val="18"/>
                <w:color w:val="auto"/>
              </w:rPr>
              <w:t>AMC NETWORKS INC. AND SUBSIDIARIES</w:t>
            </w: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9220" w:type="dxa"/>
            <w:vAlign w:val="bottom"/>
          </w:tcPr>
          <w:p>
            <w:pPr>
              <w:jc w:val="center"/>
              <w:ind w:left="1952"/>
              <w:spacing w:after="0"/>
              <w:rPr>
                <w:sz w:val="20"/>
                <w:szCs w:val="20"/>
                <w:color w:val="auto"/>
              </w:rPr>
            </w:pPr>
            <w:r>
              <w:rPr>
                <w:rFonts w:ascii="Times New Roman" w:cs="Times New Roman" w:eastAsia="Times New Roman" w:hAnsi="Times New Roman"/>
                <w:sz w:val="18"/>
                <w:szCs w:val="18"/>
                <w:color w:val="auto"/>
                <w:w w:val="99"/>
              </w:rPr>
              <w:t>NOTES TO CONDENSED CONSOLIDATED FINANCIAL STATEMENTS - (Continued)</w:t>
            </w: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4"/>
        </w:trPr>
        <w:tc>
          <w:tcPr>
            <w:tcW w:w="9220" w:type="dxa"/>
            <w:vAlign w:val="bottom"/>
          </w:tcPr>
          <w:p>
            <w:pPr>
              <w:jc w:val="center"/>
              <w:ind w:left="1932"/>
              <w:spacing w:after="0"/>
              <w:rPr>
                <w:sz w:val="20"/>
                <w:szCs w:val="20"/>
                <w:color w:val="auto"/>
              </w:rPr>
            </w:pPr>
            <w:r>
              <w:rPr>
                <w:rFonts w:ascii="Times New Roman" w:cs="Times New Roman" w:eastAsia="Times New Roman" w:hAnsi="Times New Roman"/>
                <w:sz w:val="18"/>
                <w:szCs w:val="18"/>
                <w:color w:val="auto"/>
              </w:rPr>
              <w:t>(unaudited)</w:t>
            </w:r>
          </w:p>
        </w:tc>
        <w:tc>
          <w:tcPr>
            <w:tcW w:w="4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702"/>
        </w:trPr>
        <w:tc>
          <w:tcPr>
            <w:tcW w:w="922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9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185,297</w:t>
            </w:r>
          </w:p>
        </w:tc>
      </w:tr>
      <w:tr>
        <w:trPr>
          <w:trHeight w:val="23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 (loss)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9"/>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r>
      <w:tr>
        <w:trPr>
          <w:trHeight w:val="230"/>
        </w:trPr>
        <w:tc>
          <w:tcPr>
            <w:tcW w:w="9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Adjustment to redemption fair value</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180,065</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 Party Transactions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and its related parties enter into transactions with each other in the ordinary course of business. Revenues, net from related parties amounted to $1.2 million and $1.3 million for the three months ended June 30, 2025 and 2024, respectively, and $2.4 million and $2.6 million for the six months ended June 30, 2025 and 2024, respectively. Amounts charged to the Company, included in Selling, general and administrative expenses, pursuant to transactions with its related parties amounted to $0.4 million and $0.1 million for the three months ended June 30, 2025 and 2024, respectively, and $0.9 million and $0.5 million for the six months ended June 30, 2025 and 2024,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Cash Flows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the Company's non-cash investing and financing activities and other supplemental data:</w:t>
      </w:r>
    </w:p>
    <w:p>
      <w:pPr>
        <w:spacing w:after="0" w:line="14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21590</wp:posOffset>
            </wp:positionV>
            <wp:extent cx="21774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Non-Cash Investing and Financing Activities:</w:t>
            </w:r>
          </w:p>
        </w:tc>
        <w:tc>
          <w:tcPr>
            <w:tcW w:w="2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additions</w:t>
            </w:r>
          </w:p>
        </w:tc>
        <w:tc>
          <w:tcPr>
            <w:tcW w:w="2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r>
      <w:tr>
        <w:trPr>
          <w:trHeight w:val="230"/>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incurred but not yet paid</w:t>
            </w:r>
          </w:p>
        </w:tc>
        <w:tc>
          <w:tcPr>
            <w:tcW w:w="2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Supplemental Data:</w:t>
            </w:r>
          </w:p>
        </w:tc>
        <w:tc>
          <w:tcPr>
            <w:tcW w:w="2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interest paid</w:t>
            </w:r>
          </w:p>
        </w:tc>
        <w:tc>
          <w:tcPr>
            <w:tcW w:w="2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67,731</w:t>
            </w:r>
          </w:p>
        </w:tc>
      </w:tr>
      <w:tr>
        <w:trPr>
          <w:trHeight w:val="234"/>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payments (refunds), net</w:t>
            </w:r>
          </w:p>
        </w:tc>
        <w:tc>
          <w:tcPr>
            <w:tcW w:w="24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Information</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classifies its operations into two operating segments: Domestic Operations and International. These operating segments represent strategic business units that are managed separately.</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evaluates segment performance based on operating segment adjusted operating income ("AOI"). The Company defines AOI as operating income (loss) before depreciation and amortization, cloud computing amortization, share-based compensation expenses or benefit,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segment adjusted operating income to income from operations before income taxes, and other information as to the continuing operations of the Company's operating segments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6"/>
          </w:tcPr>
          <w:p>
            <w:pPr>
              <w:jc w:val="center"/>
              <w:ind w:left="511"/>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1100" w:type="dxa"/>
            <w:vAlign w:val="bottom"/>
            <w:tcBorders>
              <w:bottom w:val="single" w:sz="8" w:color="auto"/>
            </w:tcBorders>
          </w:tcPr>
          <w:p>
            <w:pPr>
              <w:spacing w:after="0"/>
              <w:rPr>
                <w:sz w:val="18"/>
                <w:szCs w:val="18"/>
                <w:color w:val="auto"/>
              </w:rPr>
            </w:pPr>
          </w:p>
        </w:tc>
      </w:tr>
      <w:tr>
        <w:trPr>
          <w:trHeight w:val="398"/>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460" w:type="dxa"/>
            <w:vAlign w:val="bottom"/>
          </w:tcPr>
          <w:p>
            <w:pPr>
              <w:spacing w:after="0"/>
              <w:rPr>
                <w:sz w:val="24"/>
                <w:szCs w:val="24"/>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from external customers</w:t>
            </w:r>
          </w:p>
        </w:tc>
        <w:tc>
          <w:tcPr>
            <w:tcW w:w="5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320,359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367,428</w:t>
            </w:r>
          </w:p>
        </w:tc>
      </w:tr>
      <w:tr>
        <w:trPr>
          <w:trHeight w:val="230"/>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148,609</w:t>
            </w:r>
          </w:p>
        </w:tc>
      </w:tr>
      <w:tr>
        <w:trPr>
          <w:trHeight w:val="229"/>
        </w:trPr>
        <w:tc>
          <w:tcPr>
            <w:tcW w:w="6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83,987</w:t>
            </w:r>
          </w:p>
        </w:tc>
      </w:tr>
      <w:tr>
        <w:trPr>
          <w:trHeight w:val="223"/>
        </w:trPr>
        <w:tc>
          <w:tcPr>
            <w:tcW w:w="6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600,024</w:t>
            </w:r>
          </w:p>
        </w:tc>
      </w:tr>
      <w:tr>
        <w:trPr>
          <w:trHeight w:val="229"/>
        </w:trPr>
        <w:tc>
          <w:tcPr>
            <w:tcW w:w="63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(Content licensing and other) </w:t>
            </w:r>
            <w:r>
              <w:rPr>
                <w:rFonts w:ascii="Times New Roman" w:cs="Times New Roman" w:eastAsia="Times New Roman" w:hAnsi="Times New Roman"/>
                <w:sz w:val="23"/>
                <w:szCs w:val="23"/>
                <w:color w:val="auto"/>
                <w:vertAlign w:val="superscript"/>
              </w:rPr>
              <w:t>(a)</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w:t>
            </w:r>
          </w:p>
        </w:tc>
      </w:tr>
      <w:tr>
        <w:trPr>
          <w:trHeight w:val="223"/>
        </w:trPr>
        <w:tc>
          <w:tcPr>
            <w:tcW w:w="63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602,388</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32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Elimination of inter-segment revenues </w:t>
            </w:r>
            <w:r>
              <w:rPr>
                <w:rFonts w:ascii="Times New Roman" w:cs="Times New Roman" w:eastAsia="Times New Roman" w:hAnsi="Times New Roman"/>
                <w:sz w:val="23"/>
                <w:szCs w:val="23"/>
                <w:color w:val="auto"/>
                <w:vertAlign w:val="superscript"/>
              </w:rPr>
              <w:t>(a)</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revenues, net</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600,024</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(b)</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Content expenses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research, and advertising sales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3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(c)</w:t>
            </w: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5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141,076</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total segment adjusted operating income</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Elimination of inter-segment profits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29"/>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Unallocated corporate overhead costs (d)</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(30,595)</w:t>
            </w:r>
          </w:p>
        </w:tc>
      </w:tr>
      <w:tr>
        <w:trPr>
          <w:trHeight w:val="23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w:t>
            </w:r>
          </w:p>
        </w:tc>
      </w:tr>
      <w:tr>
        <w:trPr>
          <w:trHeight w:val="229"/>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(26,446)</w:t>
            </w:r>
          </w:p>
        </w:tc>
      </w:tr>
      <w:tr>
        <w:trPr>
          <w:trHeight w:val="23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r>
      <w:tr>
        <w:trPr>
          <w:trHeight w:val="23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r>
      <w:tr>
        <w:trPr>
          <w:trHeight w:val="23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64,469</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(42,460)</w:t>
            </w:r>
          </w:p>
        </w:tc>
      </w:tr>
      <w:tr>
        <w:trPr>
          <w:trHeight w:val="23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w:t>
            </w:r>
          </w:p>
        </w:tc>
      </w:tr>
      <w:tr>
        <w:trPr>
          <w:trHeight w:val="23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extinguishment of debt, net</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25,745</w:t>
            </w:r>
          </w:p>
        </w:tc>
      </w:tr>
      <w:tr>
        <w:trPr>
          <w:trHeight w:val="23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Miscellaneous, net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68,778</w:t>
            </w:r>
          </w:p>
        </w:tc>
      </w:tr>
      <w:tr>
        <w:trPr>
          <w:trHeight w:val="20"/>
        </w:trPr>
        <w:tc>
          <w:tcPr>
            <w:tcW w:w="6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80" w:firstLine="8"/>
        <w:spacing w:after="0" w:line="282" w:lineRule="auto"/>
        <w:tabs>
          <w:tab w:leader="none" w:pos="1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revenues primarily relate to Domestic Operations content licensing sales to International, as well as services performed by AMCNI on behalf of businesses within the Domestic Operations segment.</w:t>
      </w:r>
    </w:p>
    <w:p>
      <w:pPr>
        <w:spacing w:after="0" w:line="6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 (the "CODM").</w:t>
      </w:r>
    </w:p>
    <w:p>
      <w:pPr>
        <w:spacing w:after="0" w:line="122" w:lineRule="exact"/>
        <w:rPr>
          <w:rFonts w:ascii="Times New Roman" w:cs="Times New Roman" w:eastAsia="Times New Roman" w:hAnsi="Times New Roman"/>
          <w:sz w:val="14"/>
          <w:szCs w:val="14"/>
          <w:color w:val="auto"/>
        </w:rPr>
      </w:pPr>
    </w:p>
    <w:p>
      <w:pPr>
        <w:ind w:right="220" w:firstLine="8"/>
        <w:spacing w:after="0" w:line="302" w:lineRule="auto"/>
        <w:tabs>
          <w:tab w:leader="none" w:pos="1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spacing w:after="0" w:line="5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corporate overhead costs include costs such as executive salaries and benefits and costs of maintaining corporate headquarters, facilities and common support functions.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ind w:left="400" w:right="224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72"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6"/>
          </w:tcPr>
          <w:p>
            <w:pPr>
              <w:jc w:val="center"/>
              <w:ind w:left="491"/>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100" w:type="dxa"/>
            <w:vAlign w:val="bottom"/>
            <w:tcBorders>
              <w:bottom w:val="single" w:sz="8" w:color="auto"/>
            </w:tcBorders>
          </w:tcPr>
          <w:p>
            <w:pPr>
              <w:spacing w:after="0"/>
              <w:rPr>
                <w:sz w:val="18"/>
                <w:szCs w:val="18"/>
                <w:color w:val="auto"/>
              </w:rPr>
            </w:pPr>
          </w:p>
        </w:tc>
      </w:tr>
      <w:tr>
        <w:trPr>
          <w:trHeight w:val="398"/>
        </w:trPr>
        <w:tc>
          <w:tcPr>
            <w:tcW w:w="6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460" w:type="dxa"/>
            <w:vAlign w:val="bottom"/>
          </w:tcPr>
          <w:p>
            <w:pPr>
              <w:spacing w:after="0"/>
              <w:rPr>
                <w:sz w:val="24"/>
                <w:szCs w:val="24"/>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 from external customers</w:t>
            </w: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w:t>
            </w: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322,576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49,604</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372,180</w:t>
            </w:r>
          </w:p>
        </w:tc>
      </w:tr>
      <w:tr>
        <w:trPr>
          <w:trHeight w:val="230"/>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Advertising</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186,723</w:t>
            </w:r>
          </w:p>
        </w:tc>
      </w:tr>
      <w:tr>
        <w:trPr>
          <w:trHeight w:val="229"/>
        </w:trPr>
        <w:tc>
          <w:tcPr>
            <w:tcW w:w="6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67,031</w:t>
            </w:r>
          </w:p>
        </w:tc>
      </w:tr>
      <w:tr>
        <w:trPr>
          <w:trHeight w:val="223"/>
        </w:trPr>
        <w:tc>
          <w:tcPr>
            <w:tcW w:w="6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625,934</w:t>
            </w:r>
          </w:p>
        </w:tc>
      </w:tr>
      <w:tr>
        <w:trPr>
          <w:trHeight w:val="229"/>
        </w:trPr>
        <w:tc>
          <w:tcPr>
            <w:tcW w:w="6200" w:type="dxa"/>
            <w:vAlign w:val="bottom"/>
            <w:tcBorders>
              <w:bottom w:val="single" w:sz="8" w:color="CCEEFF"/>
            </w:tcBorders>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(Content licensing and other) </w:t>
            </w:r>
            <w:r>
              <w:rPr>
                <w:rFonts w:ascii="Times New Roman" w:cs="Times New Roman" w:eastAsia="Times New Roman" w:hAnsi="Times New Roman"/>
                <w:sz w:val="23"/>
                <w:szCs w:val="23"/>
                <w:color w:val="auto"/>
                <w:vertAlign w:val="superscript"/>
              </w:rPr>
              <w:t>(a)</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23"/>
        </w:trPr>
        <w:tc>
          <w:tcPr>
            <w:tcW w:w="6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628,386</w:t>
            </w: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2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Elimination of inter-segment revenues </w:t>
            </w:r>
            <w:r>
              <w:rPr>
                <w:rFonts w:ascii="Times New Roman" w:cs="Times New Roman" w:eastAsia="Times New Roman" w:hAnsi="Times New Roman"/>
                <w:sz w:val="23"/>
                <w:szCs w:val="23"/>
                <w:color w:val="auto"/>
                <w:vertAlign w:val="superscript"/>
              </w:rPr>
              <w:t>(a)</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revenues, net</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625,934</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2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(b)</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Content expenses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Marketing, research, and advertising sales expenses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20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(c)</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184,613</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operating income</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 of inter-segment profits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30"/>
        </w:trPr>
        <w:tc>
          <w:tcPr>
            <w:tcW w:w="62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Unallocated corporate overhead costs </w:t>
            </w:r>
            <w:r>
              <w:rPr>
                <w:rFonts w:ascii="Times New Roman" w:cs="Times New Roman" w:eastAsia="Times New Roman" w:hAnsi="Times New Roman"/>
                <w:sz w:val="23"/>
                <w:szCs w:val="23"/>
                <w:color w:val="auto"/>
                <w:vertAlign w:val="superscript"/>
              </w:rPr>
              <w:t>(d)</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(31,436)</w:t>
            </w:r>
          </w:p>
        </w:tc>
      </w:tr>
      <w:tr>
        <w:trPr>
          <w:trHeight w:val="229"/>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w:t>
            </w:r>
          </w:p>
        </w:tc>
      </w:tr>
      <w:tr>
        <w:trPr>
          <w:trHeight w:val="230"/>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(26,493)</w:t>
            </w:r>
          </w:p>
        </w:tc>
      </w:tr>
      <w:tr>
        <w:trPr>
          <w:trHeight w:val="230"/>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(96,819)</w:t>
            </w:r>
          </w:p>
        </w:tc>
      </w:tr>
      <w:tr>
        <w:trPr>
          <w:trHeight w:val="230"/>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29"/>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r>
      <w:tr>
        <w:trPr>
          <w:trHeight w:val="230"/>
        </w:trPr>
        <w:tc>
          <w:tcPr>
            <w:tcW w:w="62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r>
      <w:tr>
        <w:trPr>
          <w:trHeight w:val="22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w:t>
            </w: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(43,216)</w:t>
            </w:r>
          </w:p>
        </w:tc>
      </w:tr>
      <w:tr>
        <w:trPr>
          <w:trHeight w:val="230"/>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w:t>
            </w:r>
          </w:p>
        </w:tc>
      </w:tr>
      <w:tr>
        <w:trPr>
          <w:trHeight w:val="229"/>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extinguishment of debt, net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62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Miscellaneous, net</w:t>
            </w: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48"/>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8" w:right="20" w:firstLine="8"/>
        <w:spacing w:after="0" w:line="282" w:lineRule="auto"/>
        <w:tabs>
          <w:tab w:leader="none" w:pos="18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revenues primarily relate to Domestic Operations content licensing sales to International, as well as services performed by AMCNI on behalf of businesses within the Domestic Operations segment.</w:t>
      </w:r>
    </w:p>
    <w:p>
      <w:pPr>
        <w:spacing w:after="0" w:line="67" w:lineRule="exact"/>
        <w:rPr>
          <w:rFonts w:ascii="Times New Roman" w:cs="Times New Roman" w:eastAsia="Times New Roman" w:hAnsi="Times New Roman"/>
          <w:sz w:val="14"/>
          <w:szCs w:val="14"/>
          <w:color w:val="auto"/>
        </w:rPr>
      </w:pPr>
    </w:p>
    <w:p>
      <w:pPr>
        <w:ind w:left="212" w:hanging="212"/>
        <w:spacing w:after="0"/>
        <w:tabs>
          <w:tab w:leader="none" w:pos="21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w:t>
      </w:r>
    </w:p>
    <w:p>
      <w:pPr>
        <w:spacing w:after="0" w:line="122" w:lineRule="exact"/>
        <w:rPr>
          <w:rFonts w:ascii="Times New Roman" w:cs="Times New Roman" w:eastAsia="Times New Roman" w:hAnsi="Times New Roman"/>
          <w:sz w:val="14"/>
          <w:szCs w:val="14"/>
          <w:color w:val="auto"/>
        </w:rPr>
      </w:pPr>
    </w:p>
    <w:p>
      <w:pPr>
        <w:ind w:left="-8" w:right="160" w:firstLine="8"/>
        <w:spacing w:after="0" w:line="302" w:lineRule="auto"/>
        <w:tabs>
          <w:tab w:leader="none" w:pos="18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spacing w:after="0" w:line="53" w:lineRule="exact"/>
        <w:rPr>
          <w:rFonts w:ascii="Times New Roman" w:cs="Times New Roman" w:eastAsia="Times New Roman" w:hAnsi="Times New Roman"/>
          <w:sz w:val="14"/>
          <w:szCs w:val="14"/>
          <w:color w:val="auto"/>
        </w:rPr>
      </w:pPr>
    </w:p>
    <w:p>
      <w:pPr>
        <w:ind w:left="212" w:hanging="212"/>
        <w:spacing w:after="0"/>
        <w:tabs>
          <w:tab w:leader="none" w:pos="21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corporate overhead costs include costs such as executive salaries and benefits and costs of maintaining corporate headquarters, facilities and common support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21" w:right="399" w:bottom="1440" w:gutter="0" w:footer="0" w:header="0"/>
        </w:sectPr>
      </w:pPr>
    </w:p>
    <w:bookmarkStart w:id="25" w:name="page26"/>
    <w:bookmarkEnd w:id="25"/>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6"/>
          </w:tcPr>
          <w:p>
            <w:pPr>
              <w:jc w:val="center"/>
              <w:ind w:left="631"/>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140" w:type="dxa"/>
            <w:vAlign w:val="bottom"/>
            <w:tcBorders>
              <w:bottom w:val="single" w:sz="8" w:color="auto"/>
            </w:tcBorders>
          </w:tcPr>
          <w:p>
            <w:pPr>
              <w:spacing w:after="0"/>
              <w:rPr>
                <w:sz w:val="18"/>
                <w:szCs w:val="18"/>
                <w:color w:val="auto"/>
              </w:rPr>
            </w:pPr>
          </w:p>
        </w:tc>
      </w:tr>
      <w:tr>
        <w:trPr>
          <w:trHeight w:val="561"/>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420" w:type="dxa"/>
            <w:vAlign w:val="bottom"/>
          </w:tcPr>
          <w:p>
            <w:pPr>
              <w:spacing w:after="0"/>
              <w:rPr>
                <w:sz w:val="24"/>
                <w:szCs w:val="24"/>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from external customers</w:t>
            </w:r>
          </w:p>
        </w:tc>
        <w:tc>
          <w:tcPr>
            <w:tcW w:w="4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633,732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725,503</w:t>
            </w:r>
          </w:p>
        </w:tc>
      </w:tr>
      <w:tr>
        <w:trPr>
          <w:trHeight w:val="22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290,465</w:t>
            </w:r>
          </w:p>
        </w:tc>
      </w:tr>
      <w:tr>
        <w:trPr>
          <w:trHeight w:val="229"/>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139,289</w:t>
            </w:r>
          </w:p>
        </w:tc>
      </w:tr>
      <w:tr>
        <w:trPr>
          <w:trHeight w:val="223"/>
        </w:trPr>
        <w:tc>
          <w:tcPr>
            <w:tcW w:w="6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1,155,257</w:t>
            </w:r>
          </w:p>
        </w:tc>
      </w:tr>
      <w:tr>
        <w:trPr>
          <w:trHeight w:val="229"/>
        </w:trPr>
        <w:tc>
          <w:tcPr>
            <w:tcW w:w="63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(Content licensing and other) </w:t>
            </w:r>
            <w:r>
              <w:rPr>
                <w:rFonts w:ascii="Times New Roman" w:cs="Times New Roman" w:eastAsia="Times New Roman" w:hAnsi="Times New Roman"/>
                <w:sz w:val="23"/>
                <w:szCs w:val="23"/>
                <w:color w:val="auto"/>
                <w:vertAlign w:val="superscript"/>
              </w:rPr>
              <w:t>(a)</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w:t>
            </w:r>
          </w:p>
        </w:tc>
      </w:tr>
      <w:tr>
        <w:trPr>
          <w:trHeight w:val="223"/>
        </w:trPr>
        <w:tc>
          <w:tcPr>
            <w:tcW w:w="63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1,158,641</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32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Elimination of inter-segment revenues </w:t>
            </w:r>
            <w:r>
              <w:rPr>
                <w:rFonts w:ascii="Times New Roman" w:cs="Times New Roman" w:eastAsia="Times New Roman" w:hAnsi="Times New Roman"/>
                <w:sz w:val="23"/>
                <w:szCs w:val="23"/>
                <w:color w:val="auto"/>
                <w:vertAlign w:val="superscript"/>
              </w:rPr>
              <w:t>(a)</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revenues, net</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1,155,257</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6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(b)</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Content expenses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research, and advertising sales expenses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3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(c)</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4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274,851</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operating income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Elimination of inter-segment profits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229"/>
        </w:trPr>
        <w:tc>
          <w:tcPr>
            <w:tcW w:w="6320" w:type="dxa"/>
            <w:vAlign w:val="bottom"/>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Unallocated corporate overhead costs </w:t>
            </w:r>
            <w:r>
              <w:rPr>
                <w:rFonts w:ascii="Times New Roman" w:cs="Times New Roman" w:eastAsia="Times New Roman" w:hAnsi="Times New Roman"/>
                <w:sz w:val="23"/>
                <w:szCs w:val="23"/>
                <w:color w:val="auto"/>
                <w:vertAlign w:val="superscript"/>
              </w:rPr>
              <w:t>(d)</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(59,883)</w:t>
            </w:r>
          </w:p>
        </w:tc>
      </w:tr>
      <w:tr>
        <w:trPr>
          <w:trHeight w:val="23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w:t>
            </w:r>
          </w:p>
        </w:tc>
      </w:tr>
      <w:tr>
        <w:trPr>
          <w:trHeight w:val="23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(47,372)</w:t>
            </w:r>
          </w:p>
        </w:tc>
      </w:tr>
      <w:tr>
        <w:trPr>
          <w:trHeight w:val="23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w:t>
            </w:r>
          </w:p>
        </w:tc>
      </w:tr>
      <w:tr>
        <w:trPr>
          <w:trHeight w:val="23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r>
      <w:tr>
        <w:trPr>
          <w:trHeight w:val="22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128,666</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(85,852)</w:t>
            </w:r>
          </w:p>
        </w:tc>
      </w:tr>
      <w:tr>
        <w:trPr>
          <w:trHeight w:val="230"/>
        </w:trPr>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16,620</w:t>
            </w:r>
          </w:p>
        </w:tc>
      </w:tr>
      <w:tr>
        <w:trPr>
          <w:trHeight w:val="229"/>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extinguishment of debt, net</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25,745</w:t>
            </w:r>
          </w:p>
        </w:tc>
      </w:tr>
      <w:tr>
        <w:trPr>
          <w:trHeight w:val="230"/>
        </w:trPr>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Miscellaneous, net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20,707</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105,886</w:t>
            </w:r>
          </w:p>
        </w:tc>
      </w:tr>
      <w:tr>
        <w:trPr>
          <w:trHeight w:val="21"/>
        </w:trPr>
        <w:tc>
          <w:tcPr>
            <w:tcW w:w="6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80" w:firstLine="8"/>
        <w:spacing w:after="0" w:line="282" w:lineRule="auto"/>
        <w:tabs>
          <w:tab w:leader="none" w:pos="19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revenues primarily relate to Domestic Operations content licensing sales to International, as well as services performed by AMCNI on behalf of businesses within the Domestic Operations segment.</w:t>
      </w:r>
    </w:p>
    <w:p>
      <w:pPr>
        <w:spacing w:after="0" w:line="6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w:t>
      </w:r>
    </w:p>
    <w:p>
      <w:pPr>
        <w:spacing w:after="0" w:line="122" w:lineRule="exact"/>
        <w:rPr>
          <w:rFonts w:ascii="Times New Roman" w:cs="Times New Roman" w:eastAsia="Times New Roman" w:hAnsi="Times New Roman"/>
          <w:sz w:val="14"/>
          <w:szCs w:val="14"/>
          <w:color w:val="auto"/>
        </w:rPr>
      </w:pPr>
    </w:p>
    <w:p>
      <w:pPr>
        <w:ind w:right="220" w:firstLine="8"/>
        <w:spacing w:after="0" w:line="302" w:lineRule="auto"/>
        <w:tabs>
          <w:tab w:leader="none" w:pos="19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spacing w:after="0" w:line="5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corporate overhead costs include costs such as executive salaries and benefits and costs of maintaining corporate headquarters, facilities and common support functions.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6"/>
          </w:tcPr>
          <w:p>
            <w:pPr>
              <w:jc w:val="center"/>
              <w:ind w:left="631"/>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140" w:type="dxa"/>
            <w:vAlign w:val="bottom"/>
            <w:tcBorders>
              <w:bottom w:val="single" w:sz="8" w:color="auto"/>
            </w:tcBorders>
          </w:tcPr>
          <w:p>
            <w:pPr>
              <w:spacing w:after="0"/>
              <w:rPr>
                <w:sz w:val="18"/>
                <w:szCs w:val="18"/>
                <w:color w:val="auto"/>
              </w:rPr>
            </w:pPr>
          </w:p>
        </w:tc>
      </w:tr>
      <w:tr>
        <w:trPr>
          <w:trHeight w:val="561"/>
        </w:trPr>
        <w:tc>
          <w:tcPr>
            <w:tcW w:w="6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420" w:type="dxa"/>
            <w:vAlign w:val="bottom"/>
          </w:tcPr>
          <w:p>
            <w:pPr>
              <w:spacing w:after="0"/>
              <w:rPr>
                <w:sz w:val="24"/>
                <w:szCs w:val="24"/>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 from external customers</w:t>
            </w:r>
          </w:p>
        </w:tc>
        <w:tc>
          <w:tcPr>
            <w:tcW w:w="4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Subscription</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645,134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100,453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745,587</w:t>
            </w:r>
          </w:p>
        </w:tc>
      </w:tr>
      <w:tr>
        <w:trPr>
          <w:trHeight w:val="229"/>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Advertising</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348,101</w:t>
            </w:r>
          </w:p>
        </w:tc>
      </w:tr>
      <w:tr>
        <w:trPr>
          <w:trHeight w:val="229"/>
        </w:trPr>
        <w:tc>
          <w:tcPr>
            <w:tcW w:w="62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128,707</w:t>
            </w:r>
          </w:p>
        </w:tc>
      </w:tr>
      <w:tr>
        <w:trPr>
          <w:trHeight w:val="223"/>
        </w:trPr>
        <w:tc>
          <w:tcPr>
            <w:tcW w:w="6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1,222,395</w:t>
            </w:r>
          </w:p>
        </w:tc>
      </w:tr>
      <w:tr>
        <w:trPr>
          <w:trHeight w:val="229"/>
        </w:trPr>
        <w:tc>
          <w:tcPr>
            <w:tcW w:w="6200" w:type="dxa"/>
            <w:vAlign w:val="bottom"/>
            <w:tcBorders>
              <w:bottom w:val="single" w:sz="8" w:color="CCEEFF"/>
            </w:tcBorders>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(Content licensing and other) </w:t>
            </w:r>
            <w:r>
              <w:rPr>
                <w:rFonts w:ascii="Times New Roman" w:cs="Times New Roman" w:eastAsia="Times New Roman" w:hAnsi="Times New Roman"/>
                <w:sz w:val="23"/>
                <w:szCs w:val="23"/>
                <w:color w:val="auto"/>
                <w:vertAlign w:val="superscript"/>
              </w:rPr>
              <w:t>(a)</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w:t>
            </w:r>
          </w:p>
        </w:tc>
      </w:tr>
      <w:tr>
        <w:trPr>
          <w:trHeight w:val="223"/>
        </w:trPr>
        <w:tc>
          <w:tcPr>
            <w:tcW w:w="6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1,228,217</w:t>
            </w: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2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Elimination of inter-segment revenues </w:t>
            </w:r>
            <w:r>
              <w:rPr>
                <w:rFonts w:ascii="Times New Roman" w:cs="Times New Roman" w:eastAsia="Times New Roman" w:hAnsi="Times New Roman"/>
                <w:sz w:val="23"/>
                <w:szCs w:val="23"/>
                <w:color w:val="auto"/>
                <w:vertAlign w:val="superscript"/>
              </w:rPr>
              <w:t>(a)</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revenues, net</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1,222,395</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62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(b)</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Content expenses</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Marketing, research, and advertising sales expenses</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20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(c)</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360,332</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237"/>
        </w:trPr>
        <w:tc>
          <w:tcPr>
            <w:tcW w:w="6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operating income</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Elimination of inter-segment profits</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30"/>
        </w:trPr>
        <w:tc>
          <w:tcPr>
            <w:tcW w:w="62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Unallocated corporate overhead costs </w:t>
            </w:r>
            <w:r>
              <w:rPr>
                <w:rFonts w:ascii="Times New Roman" w:cs="Times New Roman" w:eastAsia="Times New Roman" w:hAnsi="Times New Roman"/>
                <w:sz w:val="23"/>
                <w:szCs w:val="23"/>
                <w:color w:val="auto"/>
                <w:vertAlign w:val="superscript"/>
              </w:rPr>
              <w:t>(d)</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(57,731)</w:t>
            </w:r>
          </w:p>
        </w:tc>
      </w:tr>
      <w:tr>
        <w:trPr>
          <w:trHeight w:val="229"/>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w:t>
            </w:r>
          </w:p>
        </w:tc>
      </w:tr>
      <w:tr>
        <w:trPr>
          <w:trHeight w:val="230"/>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(52,319)</w:t>
            </w:r>
          </w:p>
        </w:tc>
      </w:tr>
      <w:tr>
        <w:trPr>
          <w:trHeight w:val="230"/>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(96,819)</w:t>
            </w:r>
          </w:p>
        </w:tc>
      </w:tr>
      <w:tr>
        <w:trPr>
          <w:trHeight w:val="230"/>
        </w:trPr>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29"/>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w:t>
            </w:r>
          </w:p>
        </w:tc>
      </w:tr>
      <w:tr>
        <w:trPr>
          <w:trHeight w:val="230"/>
        </w:trPr>
        <w:tc>
          <w:tcPr>
            <w:tcW w:w="62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4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(7,533)</w:t>
            </w:r>
          </w:p>
        </w:tc>
      </w:tr>
      <w:tr>
        <w:trPr>
          <w:trHeight w:val="22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120,966</w:t>
            </w: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(76,057)</w:t>
            </w:r>
          </w:p>
        </w:tc>
      </w:tr>
      <w:tr>
        <w:trPr>
          <w:trHeight w:val="23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18,177</w:t>
            </w:r>
          </w:p>
        </w:tc>
      </w:tr>
      <w:tr>
        <w:trPr>
          <w:trHeight w:val="229"/>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extinguishment of debt, net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6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Miscellaneous, net</w:t>
            </w:r>
          </w:p>
        </w:tc>
        <w:tc>
          <w:tcPr>
            <w:tcW w:w="4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w:t>
            </w:r>
          </w:p>
        </w:tc>
      </w:tr>
      <w:tr>
        <w:trPr>
          <w:trHeight w:val="248"/>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80" w:firstLine="8"/>
        <w:spacing w:after="0" w:line="282" w:lineRule="auto"/>
        <w:tabs>
          <w:tab w:leader="none" w:pos="1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revenues primarily relate to Domestic Operations content licensing sales to International, as well as services performed by AMCNI on behalf of businesses within the Domestic Operations segment.</w:t>
      </w:r>
    </w:p>
    <w:p>
      <w:pPr>
        <w:spacing w:after="0" w:line="6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w:t>
      </w:r>
    </w:p>
    <w:p>
      <w:pPr>
        <w:spacing w:after="0" w:line="122" w:lineRule="exact"/>
        <w:rPr>
          <w:rFonts w:ascii="Times New Roman" w:cs="Times New Roman" w:eastAsia="Times New Roman" w:hAnsi="Times New Roman"/>
          <w:sz w:val="14"/>
          <w:szCs w:val="14"/>
          <w:color w:val="auto"/>
        </w:rPr>
      </w:pPr>
    </w:p>
    <w:p>
      <w:pPr>
        <w:ind w:right="220" w:firstLine="8"/>
        <w:spacing w:after="0" w:line="302" w:lineRule="auto"/>
        <w:tabs>
          <w:tab w:leader="none" w:pos="1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spacing w:after="0" w:line="5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corporate overhead costs include costs such as executive salaries and benefits and costs of maintaining corporate headquarters, facilities and common support functions.</w:t>
      </w:r>
    </w:p>
    <w:p>
      <w:pPr>
        <w:spacing w:after="0" w:line="16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Subscription revenues in the Domestic Operations segment include revenues related to the Company's streaming services of $169.0 million and $150.2 million for the three months ended June 30, 2025 and 2024, respectively, and $326.1 million and $295.3 million for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ind w:left="340" w:right="2300"/>
        <w:spacing w:after="0" w:line="275" w:lineRule="auto"/>
        <w:rPr>
          <w:sz w:val="20"/>
          <w:szCs w:val="20"/>
          <w:color w:val="auto"/>
        </w:rPr>
      </w:pPr>
      <w:r>
        <w:rPr>
          <w:rFonts w:ascii="Times New Roman" w:cs="Times New Roman" w:eastAsia="Times New Roman" w:hAnsi="Times New Roman"/>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does not disclose total assets for each operating segment because these amounts are not regularly reviewed by the CODM nor are they used in assessing segment performance or deciding how to allocate resources to the segments.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revenues based on customer location: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88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6"/>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481,821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487,414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929,211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971,507</w:t>
            </w:r>
          </w:p>
        </w:tc>
      </w:tr>
      <w:tr>
        <w:trPr>
          <w:trHeight w:val="229"/>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180,126</w:t>
            </w:r>
          </w:p>
        </w:tc>
      </w:tr>
      <w:tr>
        <w:trPr>
          <w:trHeight w:val="229"/>
        </w:trPr>
        <w:tc>
          <w:tcPr>
            <w:tcW w:w="4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70,762</w:t>
            </w:r>
          </w:p>
        </w:tc>
      </w:tr>
      <w:tr>
        <w:trPr>
          <w:trHeight w:val="248"/>
        </w:trPr>
        <w:tc>
          <w:tcPr>
            <w:tcW w:w="4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1,222,395</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One customer within the Domestic Operations segment accounted for approximately 18% of consolidated revenues, net for the three and six months ended June 30, 2025. For the three and six months ended June 30, 2024, one customer within the Domestic Operations segment accounted for approximately 15% of consolidated revenues.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property and equipment based on asset location: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127,881</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13,634</w:t>
            </w:r>
          </w:p>
        </w:tc>
      </w:tr>
      <w:tr>
        <w:trPr>
          <w:trHeight w:val="229"/>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48"/>
        </w:trPr>
        <w:tc>
          <w:tcPr>
            <w:tcW w:w="7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30" w:lineRule="exact"/>
        <w:rPr>
          <w:sz w:val="20"/>
          <w:szCs w:val="20"/>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revenues;</w:t>
      </w:r>
    </w:p>
    <w:p>
      <w:pPr>
        <w:spacing w:after="0" w:line="27" w:lineRule="exact"/>
        <w:rPr>
          <w:rFonts w:ascii="Times New Roman" w:cs="Times New Roman" w:eastAsia="Times New Roman" w:hAnsi="Times New Roman"/>
          <w:sz w:val="18"/>
          <w:szCs w:val="18"/>
          <w:color w:val="auto"/>
        </w:rPr>
      </w:pPr>
    </w:p>
    <w:p>
      <w:pPr>
        <w:ind w:left="820" w:right="340" w:hanging="326"/>
        <w:spacing w:after="0" w:line="250"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including changes in viewer consumption patterns, for our programming networks, our subscription streaming services, our programming (including our owned original programming and our film content) and our production services;</w:t>
      </w: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advertising inventory and our ability to deliver guaranteed viewer ratings;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cable, telecommunications, streaming and programming industries;</w:t>
      </w:r>
    </w:p>
    <w:p>
      <w:pPr>
        <w:spacing w:after="0" w:line="9" w:lineRule="exact"/>
        <w:rPr>
          <w:rFonts w:ascii="Times New Roman" w:cs="Times New Roman" w:eastAsia="Times New Roman" w:hAnsi="Times New Roman"/>
          <w:sz w:val="18"/>
          <w:szCs w:val="18"/>
          <w:color w:val="auto"/>
        </w:rPr>
      </w:pPr>
    </w:p>
    <w:p>
      <w:pPr>
        <w:ind w:left="820" w:right="20" w:hanging="326"/>
        <w:spacing w:after="0" w:line="250"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obtain or produce, desirable content for our programming services, other forms of distribution, including digital and licensing in international markets, as well as our film distribution businesses;</w:t>
      </w: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personnel or artistic talent;</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strikes, including those related to the Writers, Directors, and Screen Actors guilds;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of our program rights and other electronic data;</w:t>
      </w:r>
    </w:p>
    <w:p>
      <w:pPr>
        <w:spacing w:after="0" w:line="9" w:lineRule="exact"/>
        <w:rPr>
          <w:rFonts w:ascii="Times New Roman" w:cs="Times New Roman" w:eastAsia="Times New Roman" w:hAnsi="Times New Roman"/>
          <w:sz w:val="18"/>
          <w:szCs w:val="18"/>
          <w:color w:val="auto"/>
        </w:rPr>
      </w:pPr>
    </w:p>
    <w:p>
      <w:pPr>
        <w:ind w:left="820" w:hanging="326"/>
        <w:spacing w:after="0" w:line="250"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failures of our or our vendors’ information technology systems or products, including by cyber-attack, data leakage, unauthorized access or theft;</w:t>
      </w: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renew distribution or affiliation agreements with distributors;</w:t>
      </w:r>
    </w:p>
    <w:p>
      <w:pPr>
        <w:spacing w:after="0" w:line="9" w:lineRule="exact"/>
        <w:rPr>
          <w:rFonts w:ascii="Times New Roman" w:cs="Times New Roman" w:eastAsia="Times New Roman" w:hAnsi="Times New Roman"/>
          <w:sz w:val="18"/>
          <w:szCs w:val="18"/>
          <w:color w:val="auto"/>
        </w:rPr>
      </w:pPr>
    </w:p>
    <w:p>
      <w:pPr>
        <w:ind w:left="820" w:hanging="326"/>
        <w:spacing w:after="0" w:line="250"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business conditions and industry trends in the countries in which we operate, including fluctuations in inflation rates, recession risk and the impact of tariffs and changes in trade policies and uncertainty regarding the foregoing;</w:t>
      </w: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interest rates;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laws or regulations under which we operate;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treaties relating to taxation, or the interpretation thereof, in the United States or in the countries in which we operate;</w:t>
      </w:r>
    </w:p>
    <w:p>
      <w:pPr>
        <w:spacing w:after="0" w:line="9" w:lineRule="exact"/>
        <w:rPr>
          <w:rFonts w:ascii="Times New Roman" w:cs="Times New Roman" w:eastAsia="Times New Roman" w:hAnsi="Times New Roman"/>
          <w:sz w:val="18"/>
          <w:szCs w:val="18"/>
          <w:color w:val="auto"/>
        </w:rPr>
      </w:pPr>
    </w:p>
    <w:p>
      <w:pPr>
        <w:ind w:left="820" w:right="360" w:hanging="326"/>
        <w:spacing w:after="0" w:line="250"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and proposed federal, state and international laws and regulations relating to data protection, privacy and security, including the European Union's General Data Protection Regulation, the California Consumer Privacy Act and other similar comprehensive privacy and security laws that have been or may be enacted in other states;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and high leverage;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access to, or inability to access, capital or credit markets, or significant increases in costs to borrow;</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expenses;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and dispositions of assets;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new businesses and, if acquired, to integrate, and implement our plan with respect to businesses we acquire;</w:t>
      </w:r>
    </w:p>
    <w:p>
      <w:pPr>
        <w:spacing w:after="0" w:line="9" w:lineRule="exact"/>
        <w:rPr>
          <w:rFonts w:ascii="Times New Roman" w:cs="Times New Roman" w:eastAsia="Times New Roman" w:hAnsi="Times New Roman"/>
          <w:sz w:val="18"/>
          <w:szCs w:val="18"/>
          <w:color w:val="auto"/>
        </w:rPr>
      </w:pPr>
    </w:p>
    <w:p>
      <w:pPr>
        <w:ind w:left="820" w:right="320" w:hanging="326"/>
        <w:spacing w:after="0" w:line="250"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we may discover post-closing with the operations, including the internal controls and financial reporting process, of businesses we acquire;</w:t>
      </w: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arbitration and other proceedings or investigations;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pending uncompleted transactions, if any, are completed on the terms and at the times set forth (if at all);</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community and rating agency perceptions of our business, operations, financial condition and the industry in which we operate;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related to our goodwill and other intangible assets;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or other health emergencies on the economy and our business;</w:t>
      </w:r>
    </w:p>
    <w:p>
      <w:pPr>
        <w:spacing w:after="0" w:line="9" w:lineRule="exact"/>
        <w:rPr>
          <w:rFonts w:ascii="Times New Roman" w:cs="Times New Roman" w:eastAsia="Times New Roman" w:hAnsi="Times New Roman"/>
          <w:sz w:val="18"/>
          <w:szCs w:val="18"/>
          <w:color w:val="auto"/>
        </w:rPr>
      </w:pPr>
    </w:p>
    <w:p>
      <w:pPr>
        <w:ind w:left="820" w:right="220" w:hanging="326"/>
        <w:spacing w:after="0" w:line="250"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are outside our control, such as political unrest in international markets, terrorist attacks, natural disasters and other similar events; and</w:t>
      </w:r>
    </w:p>
    <w:p>
      <w:pPr>
        <w:ind w:left="820" w:right="200" w:hanging="326"/>
        <w:spacing w:after="0" w:line="255"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described under Item 1A, "Risk Factors" in our 2024 Annual Report on Form 10-K (the "2024 Form 10-K"), as filed with the Securities and Exchange Commission, and Part II, Item 1A, “Risk Factors,” in this Quarterly Report on Form 10-Q for the quarter ended June 30, 2025.</w:t>
      </w:r>
    </w:p>
    <w:p>
      <w:pPr>
        <w:spacing w:after="0" w:line="2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We disclaim any obligation to update or revise the forward-looking statements contained herein, except as otherwise required by applicable federal securities laws.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or MD&amp;A, is a supplement to and should be read in conjunction with the unaudited condensed consolidated financial statements and notes thereto included elsewhere herein and our 2024 Form 10-K to enhance the understanding of our financial condition, changes in financial condition and results of our operations. Unless the context otherwise requires, all references to "we," "us," "our," "AMC Networks" or the "Company" refer to AMC Networks Inc., together with its subsidiaries. The MD&amp;A is organized as follows:</w:t>
      </w:r>
    </w:p>
    <w:p>
      <w:pPr>
        <w:spacing w:after="0" w:line="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Overview. </w:t>
      </w:r>
      <w:r>
        <w:rPr>
          <w:rFonts w:ascii="Times New Roman" w:cs="Times New Roman" w:eastAsia="Times New Roman" w:hAnsi="Times New Roman"/>
          <w:sz w:val="18"/>
          <w:szCs w:val="18"/>
          <w:color w:val="auto"/>
        </w:rPr>
        <w:t>This section provides a general description of our business and our operating segments, as well as other matters that we believe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in understanding our results of operations and financial condition and in anticipating future trends.</w:t>
      </w:r>
    </w:p>
    <w:p>
      <w:pPr>
        <w:spacing w:after="0" w:line="5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Consolidated Results of Operations. </w:t>
      </w:r>
      <w:r>
        <w:rPr>
          <w:rFonts w:ascii="Times New Roman" w:cs="Times New Roman" w:eastAsia="Times New Roman" w:hAnsi="Times New Roman"/>
          <w:sz w:val="18"/>
          <w:szCs w:val="18"/>
          <w:color w:val="auto"/>
        </w:rPr>
        <w:t>This section provides an analysis of our results of operations for the three and six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and six months ended June 30, 2024. Our discussion is presented on both a consolidated and segment basis. Our two segments are: (i) Domestic Operations and (ii) International.</w:t>
      </w:r>
    </w:p>
    <w:p>
      <w:pPr>
        <w:spacing w:after="0" w:line="65"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This section provides a discussion of our financial condition as of June 30, 2025, as well as an analysis of our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for the six months ended June 30, 2025 and 2024. The discussion of our financial condition and liquidity also includes summaries of (i) our primary sources of liquidity and (ii) our contractual obligations that existed at June 30, 2025 as compared to December 31, 2024.</w:t>
      </w:r>
    </w:p>
    <w:p>
      <w:pPr>
        <w:spacing w:after="0" w:line="6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This section provides an update, if any, to our significant accounting policies or critical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since December 31, 2024.</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118" w:lineRule="exact"/>
        <w:rPr>
          <w:sz w:val="20"/>
          <w:szCs w:val="20"/>
          <w:color w:val="auto"/>
        </w:rPr>
      </w:pPr>
    </w:p>
    <w:p>
      <w:pPr>
        <w:jc w:val="both"/>
        <w:ind w:firstLine="405"/>
        <w:spacing w:after="0" w:line="230" w:lineRule="auto"/>
        <w:rPr>
          <w:sz w:val="20"/>
          <w:szCs w:val="20"/>
          <w:color w:val="auto"/>
        </w:rPr>
      </w:pPr>
      <w:r>
        <w:rPr>
          <w:rFonts w:ascii="Times New Roman" w:cs="Times New Roman" w:eastAsia="Times New Roman" w:hAnsi="Times New Roman"/>
          <w:sz w:val="18"/>
          <w:szCs w:val="18"/>
          <w:color w:val="auto"/>
        </w:rPr>
        <w:t>The tables presented below set forth our consolidated revenues, net, operating income and adjusted operating income ("AOI")</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2920" w:type="dxa"/>
            <w:vAlign w:val="bottom"/>
            <w:gridSpan w:val="4"/>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37"/>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4"/>
        </w:trPr>
        <w:tc>
          <w:tcPr>
            <w:tcW w:w="4560" w:type="dxa"/>
            <w:vAlign w:val="bottom"/>
            <w:tcBorders>
              <w:bottom w:val="single" w:sz="8" w:color="CCEEFF"/>
            </w:tcBorders>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Revenues, net</w:t>
            </w:r>
          </w:p>
        </w:tc>
        <w:tc>
          <w:tcPr>
            <w:tcW w:w="340" w:type="dxa"/>
            <w:vAlign w:val="bottom"/>
            <w:tcBorders>
              <w:bottom w:val="single" w:sz="8" w:color="auto"/>
            </w:tcBorders>
            <w:shd w:val="clear" w:color="auto" w:fill="CCEEFF"/>
          </w:tcPr>
          <w:p>
            <w:pPr>
              <w:jc w:val="right"/>
              <w:ind w:right="150"/>
              <w:spacing w:after="0" w:line="19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600,024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line="199"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625,934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line="199"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1,155,257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line="199"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1,222,395</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60" w:type="dxa"/>
            <w:vAlign w:val="bottom"/>
            <w:vMerge w:val="continue"/>
          </w:tcPr>
          <w:p>
            <w:pPr>
              <w:spacing w:after="0"/>
              <w:rPr>
                <w:sz w:val="15"/>
                <w:szCs w:val="15"/>
                <w:color w:val="auto"/>
              </w:rPr>
            </w:pPr>
          </w:p>
        </w:tc>
        <w:tc>
          <w:tcPr>
            <w:tcW w:w="340" w:type="dxa"/>
            <w:vAlign w:val="bottom"/>
            <w:tcBorders>
              <w:bottom w:val="single" w:sz="8" w:color="auto"/>
            </w:tcBorders>
          </w:tcPr>
          <w:p>
            <w:pPr>
              <w:jc w:val="right"/>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64,469</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10,788</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128,666</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120,966</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109,386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152,807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213,871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301,931</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manage our business through the following two operating segments:</w:t>
      </w:r>
    </w:p>
    <w:p>
      <w:pPr>
        <w:spacing w:after="0" w:line="115" w:lineRule="exact"/>
        <w:rPr>
          <w:sz w:val="20"/>
          <w:szCs w:val="20"/>
          <w:color w:val="auto"/>
        </w:rPr>
      </w:pPr>
    </w:p>
    <w:p>
      <w:pPr>
        <w:jc w:val="both"/>
        <w:ind w:left="660" w:hanging="328"/>
        <w:spacing w:after="0" w:line="257"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Domestic Operations: </w:t>
      </w:r>
      <w:r>
        <w:rPr>
          <w:rFonts w:ascii="Times New Roman" w:cs="Times New Roman" w:eastAsia="Times New Roman" w:hAnsi="Times New Roman"/>
          <w:sz w:val="18"/>
          <w:szCs w:val="18"/>
          <w:color w:val="auto"/>
        </w:rPr>
        <w:t>Consists of our five programming networks, our streaming services, our AMC Studios operation and our film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Our programming networks are AMC, We TV, BBC AMERICA ("BBCA"), IFC, and SundanceTV. Our streaming services consist of AMC+ and our targeted subscription streaming services (Acorn TV, Shudder, Sundance Now, ALLBLK, and HIDIVE). Our AMC Studios operation produces original programming for our programming services and third parties and also licenses programming worldwide. Our film distribution business includes IFC Films, RLJ Entertainment Films and Shudder. The operating segment also includes AMC Networks Broadcasting &amp; Technology, our technical services business, which primarily services the programming networks.</w:t>
      </w:r>
    </w:p>
    <w:p>
      <w:pPr>
        <w:spacing w:after="0" w:line="74"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Consists of AMC Networks International ("AMCNI"), our international programming businesses consisting of a portfolio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channels distributed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714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84" w:lineRule="exact"/>
        <w:rPr>
          <w:sz w:val="20"/>
          <w:szCs w:val="20"/>
          <w:color w:val="auto"/>
        </w:rPr>
      </w:pPr>
    </w:p>
    <w:p>
      <w:pPr>
        <w:ind w:right="80" w:firstLine="8"/>
        <w:spacing w:after="0" w:line="205" w:lineRule="auto"/>
        <w:tabs>
          <w:tab w:leader="none" w:pos="103"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Adjusted Operating Income (Loss), is a non-GAAP financial measure. See the "Non-GAAP Financial Measures" section on page 42 for additional information, including our definition and our use of this non-GAAP financial measure, and for a reconciliation to its most comparable GAAP financial measure.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Domestic Operations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our Domestic Operations segment, we earn revenue principally from: (i) subscription revenues in connection with the distribution of our programming through our programming networks and streaming services, (ii) the sale of advertising, and (iii) the licensing of our original programming to distributors, including the distribution of programming of IFC Films.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first quarter of 2025, the Company updated the definition of "aggregate paid subscribers" and the definitions of "affiliate revenues" and "streaming revenues". These changes have no effect on the Company's consolidated financial statements or results of operations. The impact of these changes to historical affiliate revenues and streaming revenues is not material. The new definitions are as follows:</w:t>
      </w:r>
    </w:p>
    <w:p>
      <w:pPr>
        <w:spacing w:after="0" w:line="6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Streaming subscriber (previously "aggregate paid subscriber"): </w:t>
      </w:r>
      <w:r>
        <w:rPr>
          <w:rFonts w:ascii="Times New Roman" w:cs="Times New Roman" w:eastAsia="Times New Roman" w:hAnsi="Times New Roman"/>
          <w:sz w:val="18"/>
          <w:szCs w:val="18"/>
          <w:color w:val="auto"/>
        </w:rPr>
        <w:t>A subscriber who registers on an a la carte basis and from whom we receive a fee,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of our streaming services directly through our direct-to-consumer applications or indirectly through one of our streaming platform arrangements. This definitional change resulted in the exclusion of subscribers from our count who received access to our streaming services from distributors through a video package that also included access to our programming networks. Subscribers in this Quarterly Report on Form 10-Q reflect our updated definition.</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Affiliate revenues: </w:t>
      </w:r>
      <w:r>
        <w:rPr>
          <w:rFonts w:ascii="Times New Roman" w:cs="Times New Roman" w:eastAsia="Times New Roman" w:hAnsi="Times New Roman"/>
          <w:sz w:val="18"/>
          <w:szCs w:val="18"/>
          <w:color w:val="auto"/>
        </w:rPr>
        <w:t>Represents fees received from distributors for the rights to use the Company's programming under multi-year contracts, commonly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as "affiliation agreements." Affiliate revenues also include fees received from distributors who provide access to our streaming services to end users through a video package that also includes access to our programming networks. Affiliate revenues are earned from cable and other multichannel video programming distribution platforms, including direct broadcast satellite and platforms operated by telecommunications providers and virtual multichannel video programming distributors.</w:t>
      </w:r>
    </w:p>
    <w:p>
      <w:pPr>
        <w:spacing w:after="0" w:line="129"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Streaming revenues: </w:t>
      </w:r>
      <w:r>
        <w:rPr>
          <w:rFonts w:ascii="Times New Roman" w:cs="Times New Roman" w:eastAsia="Times New Roman" w:hAnsi="Times New Roman"/>
          <w:sz w:val="18"/>
          <w:szCs w:val="18"/>
          <w:color w:val="auto"/>
        </w:rPr>
        <w:t>Represents fees for our streaming services earned from our direct-to-consumer platforms as well as through streaming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with companies that sell our streaming services on our behalf.</w:t>
      </w:r>
    </w:p>
    <w:p>
      <w:pPr>
        <w:spacing w:after="0" w:line="10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Substantially all of our subscription revenues for our programming networks are based on a per subscriber fee. The subscription revenues we earn vary from period to period, distributor to distributor and also vary among our programming services, but are generally based on the impact of renewals of distributor agreements and upon the number of each distributor's subscribers who receive our programming, referred to as viewing subscribers. Subscription fees for our services are typically based on a per subscriber fee and are generally paid by distributors and consumers on a monthly basis. In negotiating for additional subscribers or extended carriage, we have agreed, in some instances, to make upfront payments to a distributor which we record as deferred carriage fees and which are amortized as a reduction to revenue over the period of the related affiliation agreement. We also may support the distributors' efforts to market our networks. We believe that these transactions generate a positive return on investment over the contract period.</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affiliation agreements with our distributors, we have the right to sell a specified amount of national advertising time on our programming networks. Our advertising revenues are more variable than subscription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Most of our advertising revenues vary based on the timing of our original programming series and the popularity of our programming as measured by Nielsen.</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Content licensing revenue is earned from the licensing of original programming for digital, foreign and home video distribution and is recognized upon availability or distribution by the licensee, and, to a lesser extent, is earned through the distribution of AMC Studios produced series to third parties. Content licensing revenues vary based on the timing of availability of programming to distributors.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continue to contract for and produce high-quality, attractive programming and remain disciplined in our marketing spend in our efforts to acquire and retain higher lifetime value subscribers. As competition for programming increases and alternative distribution technologies continue to emerge and develop in the industry, costs for content acquisition and original programming have increased. There is a concentration of subscribers in the hands of a few distributors, which could create disparate bargaining power between the largest distributors and us by giving those distributors greater leverage in negotiating the price and other terms of affiliation agreements. We also seek to increase our content licensing revenues by expanding the opportunities for licensing our programming through digital distribution platforms, foreign distribution and home video services.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Content expenses, included in technical and operating expenses, represent the largest expenses of the Domestic Operations segment and primarily consist of amortization of program rights, such as those for original programming, feature films and licensed series, as well as participation and residual costs. The other components of technical and operating expenses primarily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include distribution and production related costs and program operating costs including cost of delivery, such as origination, transmission, uplink and encryption.</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on original programming, both scripted and unscripted, across all of our programming services. These original series generally result in higher ratings for our networks and higher viewership on our streaming services.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There may be significant changes in the level of our technical and operating expenses due to the level of our content investment spend and the related amortization of content acquisition and/or original programming costs. Program rights that are predominantly monetized as a group are amortized based on projected usage and viewership patterns, typically resulting in an accelerated amortization pattern and, to a lesser extent, program rights that are predominantly monetized individually are amortized based on the individual-film-forecast-computation method.</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Most original series require us to make significant up-front investments. Our programming efforts are not always commercially successful, which has in the past resulted and could in the future result in a write-off of program rights. If events or changes in circumstances indicate that the fair value of program rights predominantly monetized individually or as a group is less than their unamortized cost, the Company will write off the excess to technical and operating expenses in the condensed consolidated statements of income (loss). Program rights with no future programming usefulness are substantively abandoned resulting in the write-off of remaining unamortized cost.</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International</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our International segment, we earn revenue principally from subscription revenue in connection with the international distribution of programming and, to a lesser extent, the sale of advertising from our AMCNI programming networks. Subscription revenue consists of the fees paid by distributors to carry our programming networks. Our subscription revenues are generally based on either a per-subscriber fee or a fixed contractual annual fee, under multi-year affiliation agreements. Subscription revenues are derived from the distribution of our programming networks primarily in Europe, and to a lesser extent, Latin America.</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Content expenses and programming operating costs primarily comprise technical and operating expenses. Content expenses represent the largest expense of the International segment and primarily consist of amortization of acquired content. Program operating costs include costs such as origination, transmission, uplink and encryption of our linear AMCNI channels as well as content hosting and delivery costs at our various on-line content distribution initiatives. Other components of technical and operating expense include costs of dubbing and sub-titling of programs. Our programming efforts are not all commercially successful, which has in the past resulted and could in the future result in a write-off of program rights. If events or changes in circumstances indicate that the fair value of program rights predominantly monetized individually or a group is less than its unamortized cost, the Company will write off the excess to technical and operating expenses in the condensed consolidated statements of income (loss). Program rights with no future programming usefulness are substantively abandoned, resulting in the write-off of remaining unamortized cost.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Economic Conditions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future performance is dependent, to a large extent, on general economic conditions, which can impact, among other things, our ability to manage our businesses effectively and our relative strength and leverage in the marketplace, with both suppliers and customers. Additionally, macroeconomic and geopolitical risks, particularly high inflation and interest rates, as well as recently announced or implemented tariffs and changes to the U.S.'s and other countries' trade policies, and uncertainty regarding further changes to any of the foregoing, may adversely impact our results of operations, cash flows and financial position or our ability to refinance our indebtedness on terms favorable to us, or at all.</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Capital and credit market disruptions, as well as other events such as pandemics or other health emergencies, inflation, tariffs and changes to the U.S.'s and other countries' trade policies, international conflict and recession, have in the past caused and could in the future cause market volatility and economic downturns, which have led and may lead to lower demand for our products, such as lower demand for television advertising and a decrease in the number of subscribers receiving our programming services. Events such as these have in the past adversely impacted, and may in the future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amounts presented and discussed below represent 100% of each operating segment's revenues, net and expenses. Where we have management control of an entity, we consolidate 100% of such entity in our condensed consolidated statements of income (loss) notwithstanding that a third-party owns an interest, which may be significant, in such entity. The noncontrolling owner's interest in the operating results of consolidated subsidiaries are reflected in net income attributable to noncontrolling interests in our condensed consolidated statements of income (loss).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and Six Months Ended June 30, 2025 and 2024</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20" w:type="dxa"/>
            <w:vAlign w:val="bottom"/>
            <w:tcBorders>
              <w:bottom w:val="single" w:sz="8" w:color="CCEEFF"/>
            </w:tcBorders>
            <w:vMerge w:val="continue"/>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367,428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725,503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128,707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 net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Technical and operating (excluding depreciation</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and amortization)</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280,727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552,303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615,146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1,026,591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1,101,429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29"/>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extinguishment of debt,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Miscellaneous,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77.6 %</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155"/>
        </w:trPr>
        <w:tc>
          <w:tcPr>
            <w:tcW w:w="40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AMC Networks'</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50,289</w:t>
            </w:r>
          </w:p>
        </w:tc>
        <w:tc>
          <w:tcPr>
            <w:tcW w:w="10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(29,234)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68,338</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16,569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n/m - Absolute percentages greater than 100% and comparisons between positive and negative values or zero values are considered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 net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vs. 2024</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Subscription revenues decreased 0.7% in our Domestic Operations segment due to a decline in affiliate revenues primarily due to basic subscriber declines, partially offset by an increase in streaming revenues primarily due to the impact of price increases across our services. Subscription revenues decreased 5.1% in our International segment primarily due to the non-renewal of a distribution agreement in Spain in the fourth quarter of 2024. We expect linear subscriber declines to continue in our Domestic Operations segment, consistent with the declines across the cable ecosystem.</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3" w:name="page34"/>
    <w:bookmarkEnd w:id="3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Advertising revenues decreased 17.8% in our Domestic Operations segment primarily due to linear ratings declines and lower marketplace pricing, including digital pricing. Advertising revenues decreased 30.7% in our International segment primarily due to the recognition of a $13.4 million retroactive adjustment reported and paid by a third party in the second quarter of 2024. We expect advertising revenue to continue to decline as the advertising market gravitates toward other distribution platforms.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Content licensing and other revenues increased 26.1% in our Domestic Operations segment primarily due to the sale of our music catalog. We expect content licensing revenues to vary in 2025 based on the timing and availability of our programming to distributors.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vs. 2024</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Subscription revenues decreased 1.8% in our Domestic Operations segment due to a decline in affiliate revenues primarily due to basic subscriber declines, partially offset by an increase in streaming revenues primarily due to the impact of price increases across our services. Subscription revenues decreased 8.6% in our International segment primarily due to the non-renewal of a distribution agreement in Spain in the fourth quarter of 2024.</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Advertising revenues decreased 16.3% in our Domestic Operations segment primarily due to linear ratings declines and lower marketplace pricing, including digital pricing. Advertising revenues decreased 17.7% in our International segment primarily due to the recognition of a $13.4 million retroactive adjustment reported and paid by a third party in the second quarter of 2024.</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Content licensing and other revenues increased 7.2% in our Domestic Operations segment primarily due to the sale of our music catalog during the second quarter of 2025, partially offset by the prior year beneficial impact associated with the sale of our rights and interests to </w:t>
      </w:r>
      <w:r>
        <w:rPr>
          <w:rFonts w:ascii="Times New Roman" w:cs="Times New Roman" w:eastAsia="Times New Roman" w:hAnsi="Times New Roman"/>
          <w:sz w:val="18"/>
          <w:szCs w:val="18"/>
          <w:i w:val="1"/>
          <w:iCs w:val="1"/>
          <w:color w:val="auto"/>
        </w:rPr>
        <w:t>Killing Eve</w:t>
      </w:r>
      <w:r>
        <w:rPr>
          <w:rFonts w:ascii="Times New Roman" w:cs="Times New Roman" w:eastAsia="Times New Roman" w:hAnsi="Times New Roman"/>
          <w:sz w:val="18"/>
          <w:szCs w:val="18"/>
          <w:color w:val="auto"/>
        </w:rPr>
        <w:t xml:space="preserve"> in the first quarter of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Technical and operating expenses (excluding depreciation and amortization)</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components of technical and operating expenses are primarily content expenses, which include the amortization of program rights, such as those for original programming, feature films and licensed series, and participation and residual costs. Technical and operating expenses also include other direct programming costs, such as distribution and production related costs and program delivery costs, such as transmission, encryption, hosting, and formatting.</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may be significant changes in the level of our technical and operating expenses due to original programming costs and/or content acquisition costs. As competition for programming increases, costs for content acquisition and original programming are expected to increase.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vs. 2024</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Technical and operating expenses (excluding depreciation and amortization) increased 1.0% in our Domestic Operations segment primarily due to higher participation and residuals costs, partially offset by a decrease in other direct programming costs and program rights amortization. Technical and operating expenses (excluding depreciation and amortization) decreased 0.9% in our International segment primarily due to a decrease in other direct programming costs.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vs. 2024</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Technical and operating expenses (excluding depreciation and amortization) decreased 0.9% in our Domestic Operations segment primarily due to a decrease in other direct programming costs and program rights amortization, partially offset by higher participation and residuals costs. Technical and operating expenses (excluding depreciation and amortization) increased 1.8% in our International segment primarily due to higher content expenses, driven by increased program investment.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selling, general and administrative expenses primarily include sales, marketing, research and advertising expenses, employee related costs and costs of non-production facilities.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and may continue to be significant changes in the level of our selling, general and administrative expenses due to the timing of promotions and marketing of original programming series.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vs. 2024</w:t>
      </w:r>
    </w:p>
    <w:p>
      <w:pPr>
        <w:spacing w:after="0" w:line="11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10.9% in our Domestic Operations segment primarily due to higher marketing expenses mainly driven by increased paid media spend for AMC+, higher employee related costs, and an increase in legal costs related to outstanding litigation. Selling, general and administrative expenses increased 0.9% in our International segment primarily due to higher selling expenses.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excluding share-based compensation, also include unallocated executive management and administrative support services, such as executive salaries and benefits costs, costs of maintaining corporate headquarters, facilities and common support functions. Unallocated corporate overhead costs decreased 2.7% to $30.6 million primarily due to lower employee related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vs. 2024</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9.2% in our Domestic Operations segment primarily due to higher marketing expenses mainly driven by increased paid media spend for AMC+, higher employee related costs, and an increase in legal costs related to outstanding litigation. Selling, general and administrative expenses decreased 5.9% in our International segment primarily due to a decrease in corporate overhead costs allocated to AMCNI and lower selling expenses, including commissions.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Unallocated corporate overhead costs increased 3.7% to $59.9 million primarily due to higher employee related costs, including higher bonus and severance expenses.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and other charges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and six months ended June 30, 2025</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impairment and other charges for the three and six months ended June 30,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and six months ended June 30, 2024</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we determined that the decline in our stock price was an indicator of potential impairment of goodwill. Accordingly, we performed quantitative assessments for all of our reporting units and concluded that the fair value of the AMCNI reporting unit declined to less than its carrying amount. As a result, we recognized an impairment charge of $68.0 million, which is included in Impairment and other charges in the condensed consolidated statements of income (loss).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during the second quarter of 2024, given continued market challenges and linear declines, we determined that sufficient indicators of potential impairment of long-lived assets existed at BBCA, and concluded that the carrying amount of the BBCA asset group was not recoverable. The carrying value of the BBCA asset group exceeded its fair value, and accordingly an impairment charge of $29.2 million was recorded for identifiable intangible assets and other long-lived assets, which is included in Impairment and other charges in the condensed consolidated statements of income (loss) within the Domestic Operations operating segment.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 and other related charges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and six months ended June 30, 2025</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Restructuring and other related charges were $3.5 million and $8.3 million for the three and six months ended June 30, 2025, respectively, primarily related to the planned wind-down of a U.K. joint venture in our International segment and a restructuring plan related to our International segment designed to achieve cost reductions and streamline operations in Southern Europe, including channel re-branding and a reduction of workforce.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and six months ended June 30, 2024</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restructuring and other related charges of $2.9 million in our Domestic Operations segment primarily consisted of content impairments in connection with We TV shifting to a reduced originals strategy, and severance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vs. 2024</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increase in operating income was primarily attributable to a $96.8 million decrease in impairment and other charges, partially offset by a $25.9 million decrease in revenues, net and a $13.5 million increase in selling, general and administrative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vs. 2024</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increase in operating income was primarily attributable to a $96.8 million decrease in impairment and other charges, partially offset by a $67.1 million decrease in revenues, net and a $22.6 million increase in selling, general and administrative costs.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vs. 2024</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was primarily due to lower outstanding balances under our Term Loan A Facility and 4.25% Senior Notes due February 2029 (the "Senior Notes"), partially offset by the impact of a full quarter of interest expense for the 4.25% Convertible Senior Notes due 2029 (the "Convertible Notes") and 10.25% Senior Secured Notes due 2029 that were issued in June 2024 and April 2024,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vs. 2024</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 in interest expense was primarily due to an increase in average interest rates associated with the April 2024 issuance of the Company's 10.25% Senior Secured Notes due 2029 to refinance the Company's 4.75% Senior Notes due 2025 and the impact of a full year of interest expense for the Convertible Notes that were issued in June 2024, partially offset by the impact of lower outstanding balances under our Term Loan A Facility and the Senior Notes.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and six months ended June 30, 2025 vs. 2024</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decrease in interest income was primarily attributable to interest received in connection with a one-time retroactive adjustment reported and paid by a third party during the second quarter of 2024, as well as lower interest income recognized in connection with our long-term content licensing receivables.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extinguishment of debt, net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and six months ended June 30, 2025</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we repurchased $99.1 million principal amount of our outstanding Senior Notes through open market repurchases, at a discount of $26.7 million, and retired the repurchased notes. We recorded a $25.8 million gain which reflects the discount, net of $0.9 million to write-off a portion of the unamortized discount and deferred financing costs associated with the Senior Notes.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and six months ended June 30, 2024</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2024, we repurchased $15.0 million of our outstanding Senior Notes through open market repurchases, at a discount of $4.9 million, and retired the repurchased notes. We recorded a $4.7 million gain which reflects the discount, net of $0.2 million to write-off a portion of the unamortized discount and deferred financing costs associated with the notes.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22, 2024, we completed a cash tender offer (the "2025 Senior Notes Tender Offer") to purchase any and all outstanding 4.75% Senior Notes due 2025 and redeemed all 4.75% Senior Notes due 2025 that remained outstanding after completion of the 2025 Senior Notes Tender Offer at a price of 100.000% of their principal amount, plus accrued and unpaid interest to, but not including, the redemption date. In connection with the 2025 Senior Notes Tender Offer and redemption, we recorded a charge of $3.1 million to write-off the remaining unamortized discount and deferred financing costs associated with the 4.75% Senior Notes due 2025.</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9, 2024, we entered into Amendment No. 3 ("Amendment No. 3") to the Second Amended and Restated Credit Agreement, dated as of July 28, 2017 (as amended to date and by Amendment No. 3, the "Credit Agreement"). In connection with Amendment No. 3, we made a $165.6 million partial prepayment of the Term Loan A facility under the Credit Agreement (the “Term Loan A Facility”), bringing the total principal amount outstanding under the Term Loan A Facility to $425 million, and reduced the revolving credit facility under the Credit Agreement (the “Revolving Credit Facility”) to $175 million. In connection with the partial prepayment of the Term Loan A Facility and reduction of the revolving loan commitments, the Company recorded a charge of $1.3 million to write-off a portion of the unamortized discount and deferred financing costs associated with the Credit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Miscellaneous, net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and six months ended June 30, 2025 vs. 2024</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miscellaneous, net was primarily related to the impact of foreign currency fluctuations and the impact of prior year costs incurred in connection with the second quarter 2024 refinancing transactions.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auto"/>
        </w:rPr>
        <w:t>Income tax expense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vs. 2024</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income tax expense was $16.1 million on income from operations before income taxes of $68.8 million, representing an effective tax rate of 23%. The variance from the federal statutory rate of 21% primarily consists of state and local income tax expense.</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2024, income tax expense was $10.9 million on income (loss) from operations before income taxes of $(21.4) million, representing an effective tax rate of (51)%. The effective tax rate for the three months ended June 30, 2024 was impacted by the $68.0 million nondeductible goodwill impairment charge at AMCNI. Inclusive of the nondeductible goodwill impairment charge, items resulting in variances from the federal statutory rate of 21% primarily consist of state and local income tax expense, tax expense from foreign operations, tax expense for an increase in the valuation allowance for foreign taxes and tax expense related to non-deductible compensation.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vs. 2024</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income tax expense was $31.0 million on income from operations before income taxes of $105.9 million, representing an effective tax rate of 29%. Items resulting in variances from the federal statutory rate of 21% primarily consist of state and local income tax expense, tax expense for shortfalls related to share-based compensation, tax expense for an increase in the valuation allowance for foreign taxes and tax expense related to non-deductible compensation.</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2024, income tax expense was $34.5 million on income from operations before income taxes of $59.6 million, representing an effective tax rate of 58%. The effective tax rate for the six months ended June 30, 2024 was impacted by the $68.0 million nondeductible goodwill impairment charge at AMCNI. Inclusive of the nondeductible goodwill impairment charge, items resulting in variances from the federal statutory rate of 21% primarily consist of state and local income tax expense, tax expense from foreign operations, tax expense for an increase in the valuation allowance for foreign taxes and tax expense related to non-deductible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We use segment adjusted operating income as the measure of profit or loss for our operating segments. See the "Non-GAAP Financial Measures" section below for our definition of Adjusted Operating Income and a reconciliation from Operating Income to Adjusted Operating Income on a consolidated basis. The segment financial information set forth below, including the discussion related to individual line items, does not reflect inter-segment eliminations unless specifically indicated.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Domestic Operations segment results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20" w:type="dxa"/>
            <w:vAlign w:val="bottom"/>
            <w:tcBorders>
              <w:bottom w:val="single" w:sz="8" w:color="CCEEFF"/>
            </w:tcBorders>
            <w:vMerge w:val="continue"/>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320,359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633,732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128,329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1,062,517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Technical and operating expenses (excluding</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250,579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247,989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486,559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126,339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155,348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317,667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bl>
    <w:p>
      <w:pPr>
        <w:ind w:left="700" w:hanging="188"/>
        <w:spacing w:after="0"/>
        <w:tabs>
          <w:tab w:leader="none" w:pos="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and operating expenses exclude cloud computing amortization</w:t>
      </w:r>
    </w:p>
    <w:p>
      <w:pPr>
        <w:spacing w:after="0" w:line="32" w:lineRule="exact"/>
        <w:rPr>
          <w:rFonts w:ascii="Times New Roman" w:cs="Times New Roman" w:eastAsia="Times New Roman" w:hAnsi="Times New Roman"/>
          <w:sz w:val="14"/>
          <w:szCs w:val="14"/>
          <w:color w:val="auto"/>
        </w:rPr>
      </w:pPr>
    </w:p>
    <w:p>
      <w:pPr>
        <w:ind w:left="720" w:hanging="208"/>
        <w:spacing w:after="0"/>
        <w:tabs>
          <w:tab w:leader="none" w:pos="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general and administrative expenses exclude share-based compensation expenses and cloud computing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-215900</wp:posOffset>
            </wp:positionV>
            <wp:extent cx="15170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015"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-215900</wp:posOffset>
            </wp:positionV>
            <wp:extent cx="15087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 net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vs. 2024</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Subscription revenues decreased due to a 12.2% decline in affiliate revenues, partially offset by a 12.5% increase in streaming revenues. Affiliate revenues decreased primarily due to basic subscriber declines and, to a lesser extent, contractual rate decreases in connection with renewals. Streaming revenues increased primarily due to the impact of price increases across our services.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Revenues related to the Company's streaming services were $169.0 million and $150.2 million for the three months ended June 30, 2025 and 2024, respectively. Streaming subscribers were 10.4 million at June 30, 2025, an increase of 2% compared to 10.2 million streaming subscribers at March 31, 2025 and June 30, 2024.</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Advertising revenues decreased primarily due to linear ratings declines and lower marketplace pricing, including digital pricing.</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Content licensing and other revenues increased primarily due to the sale of our music catalog and additional revenues earned in connection with the continued success and production of </w:t>
      </w:r>
      <w:r>
        <w:rPr>
          <w:rFonts w:ascii="Times New Roman" w:cs="Times New Roman" w:eastAsia="Times New Roman" w:hAnsi="Times New Roman"/>
          <w:sz w:val="18"/>
          <w:szCs w:val="18"/>
          <w:i w:val="1"/>
          <w:iCs w:val="1"/>
          <w:color w:val="auto"/>
        </w:rPr>
        <w:t>Silo</w:t>
      </w:r>
      <w:r>
        <w:rPr>
          <w:rFonts w:ascii="Times New Roman" w:cs="Times New Roman" w:eastAsia="Times New Roman" w:hAnsi="Times New Roman"/>
          <w:sz w:val="18"/>
          <w:szCs w:val="18"/>
          <w:color w:val="auto"/>
        </w:rPr>
        <w:t>, a series originally produced by AMC Studios for a third party, partially offset by the impact of timing and availability of deliveries in the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vs. 2024</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Subscription revenues decreased due to a 12.1% decline in affiliate revenues, partially offset by a 10.4% increase in streaming revenues. Affiliate revenues decreased primarily due to basic subscriber declines and, to a lesser extent, contractual rate decreases in connection with renewals. Streaming revenues increased primarily due to the impact of price increases across our services. Revenues related to the Company's streaming services were $326.1 million and $295.3 million for the six months ended June 30, 2025 and 2024, respectively.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Advertising revenues decreased primarily due to linear ratings declines and lower marketplace pricing, including digital pricing.</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Content licensing and other revenues increased primarily due to the sale of our music catalog and additional revenues earned in connection with the continued success and production of </w:t>
      </w:r>
      <w:r>
        <w:rPr>
          <w:rFonts w:ascii="Times New Roman" w:cs="Times New Roman" w:eastAsia="Times New Roman" w:hAnsi="Times New Roman"/>
          <w:sz w:val="18"/>
          <w:szCs w:val="18"/>
          <w:i w:val="1"/>
          <w:iCs w:val="1"/>
          <w:color w:val="auto"/>
        </w:rPr>
        <w:t>Silo</w:t>
      </w:r>
      <w:r>
        <w:rPr>
          <w:rFonts w:ascii="Times New Roman" w:cs="Times New Roman" w:eastAsia="Times New Roman" w:hAnsi="Times New Roman"/>
          <w:sz w:val="18"/>
          <w:szCs w:val="18"/>
          <w:color w:val="auto"/>
        </w:rPr>
        <w:t>, a series originally produced by AMC Studios for a third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 xml:space="preserve">party, partially offset by the prior year beneficial impact associated with the sale of our rights and interests to </w:t>
      </w:r>
      <w:r>
        <w:rPr>
          <w:rFonts w:ascii="Times New Roman" w:cs="Times New Roman" w:eastAsia="Times New Roman" w:hAnsi="Times New Roman"/>
          <w:sz w:val="18"/>
          <w:szCs w:val="18"/>
          <w:i w:val="1"/>
          <w:iCs w:val="1"/>
          <w:color w:val="auto"/>
        </w:rPr>
        <w:t>Killing Eve</w:t>
      </w:r>
      <w:r>
        <w:rPr>
          <w:rFonts w:ascii="Times New Roman" w:cs="Times New Roman" w:eastAsia="Times New Roman" w:hAnsi="Times New Roman"/>
          <w:sz w:val="18"/>
          <w:szCs w:val="18"/>
          <w:color w:val="auto"/>
        </w:rPr>
        <w:t xml:space="preserve"> in the first quarter of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Technical and operating expenses (excluding depreciation and amortization)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vs. 2024</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Technical and operating expenses (excluding depreciation and amortization) increased primarily due to higher participation and residuals costs, partially offset by a decrease in other direct programming costs and program rights amortization.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vs. 2024</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Technical and operating expenses (excluding depreciation and amortization) decreased primarily due to a decrease in other direct programming costs and program rights amortization, partially offset by higher participation and residuals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and six months ended June 30, 2025 vs. 2024</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primarily due to higher marketing expenses mainly driven by increased paid media spend for AMC+, higher employee related costs, and an increase in legal costs related to outstanding litigation.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adjusted operating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and six months ended June 30, 2025 vs. 2024</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segment adjusted operating income was primarily attributable to the continued revenue headwinds in our linear businesses, partially offset by the favorable impact of selling our music catalog.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our International segment results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80" w:type="dxa"/>
            <w:vAlign w:val="bottom"/>
            <w:tcBorders>
              <w:bottom w:val="single" w:sz="8" w:color="CCEEFF"/>
            </w:tcBorders>
            <w:vMerge w:val="continue"/>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92"/>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ind w:right="92"/>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175"/>
        </w:trPr>
        <w:tc>
          <w:tcPr>
            <w:tcW w:w="3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Technical and operating expenses (excluding</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(a)</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Selling, general and administrative expenses exclude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 net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vs. 2024</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Subscription revenues decreased primarily due to the non-renewal of a distribution agreement in Spain in the fourth quarter of 2024 partially offset by the favorable impact of foreign currency translation.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Advertising revenues decreased primarily due to the recognition of a $13.4 million retroactive adjustment reported and paid by a third party in the second quarter of 2024 and lower digital and advanced advertising revenue in the U.K., partially offset by the impact of higher pricing in the U.K. linear advertising market and the favorable impact of foreign currency translation.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vs. 2024</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Subscription revenues decreased primarily due to the non-renewal of a distribution agreement in Spain in the fourth quarter of 2024.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9" w:name="page40"/>
    <w:bookmarkEnd w:id="3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Advertising revenues decreased primarily due to the recognition of a $13.4 million retroactive adjustment reported and paid by a third party in the second quarter of 2024 and lower digital and advanced advertising revenue in the U.K., partially offset by the impact of higher pricing in the U.K. linear advertising market and the favorable impact of foreign currency translation.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Technical and operating expenses (excluding depreciation and amortization)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vs. 2024</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Technical and operating expenses (excluding depreciation and amortization) decreased primarily due to a decrease in other direct programming costs.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vs. 2024</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Technical and operating expenses (excluding depreciation and amortization) increased due to higher content expenses, primarily driven by increased program investment.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vs. 2024</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 increased primarily due to higher selling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vs. 2024</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decreased primarily due to a decrease in corporate overhead costs allocated to AMCNI and lower selling expenses, including commissions.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adjusted operating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and six months ended June 30, 2025 vs. 2024</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segment adjusted operating income was primarily due to the recognition of a retroactive adjustment reported and paid by a third party for $13.4 million in the second quarter of 2024 and the impact of the non-renewal of a distribution agreement in Spain in the fourth quarter of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operations typically generate positive net cash flow from operating activities. However, each of our programming businesses has substantial programming acquisition and production expenditure requirements.</w:t>
      </w:r>
    </w:p>
    <w:p>
      <w:pPr>
        <w:spacing w:after="0" w:line="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of June 30, 2025, our cash and cash equivalents balance of $866.4 million included approximately $139.2 million held by foreign subsidiaries. Of this amount, approximately $8.0 million is expected to be repatriated to the United States with the remaining amount continuing to be reinvested in foreign operations. Tax expense related to the expected repatriation amount has been accrued in prior periods and we do not expect to incur any significant, additional taxes related to the remaining balance.</w:t>
      </w:r>
    </w:p>
    <w:p>
      <w:pPr>
        <w:spacing w:after="0" w:line="3"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Our primary source of cash typically includes cash flow from operations. Sources of cash also include amounts available under our Revolving Credit Facility and, subject to market conditions, access to capital and credit markets. The Revolving Credit Facility was not drawn upon at June 30, 2025. The total undrawn revolver commitment is available to be drawn for our general corporate purposes.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 although adverse conditions in the financial markets have in the past impacted, and are expected in the future to impact, access to those markets.</w:t>
      </w:r>
    </w:p>
    <w:p>
      <w:pPr>
        <w:spacing w:after="0" w:line="8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believe that a combination of cash-on-hand, cash generated from operating activities, availability under our Revolving Credit Facility and our accounts receivable monetization program, borrowings under additional financing facilities and proceeds from the issuance of new debt,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the entirety of the outstanding balances of our debt at the applicable maturity dates. As a result, we will be dependent upon our ability to access the capital and credit markets in order to repay, refinance, repurchase through privately negotiated transactions, open market repurchases, tender offers or otherwise or redeem the outstanding balances of our indebtedness.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0" w:name="page41"/>
    <w:bookmarkEnd w:id="40"/>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are currently evaluating our liquidity profile in connection with our consideration of our funding and investment needs. Depending on market conditions, we may purchase, redeem, prepay, refinance, amend, exchange, extend or otherwise retire any amount of our outstanding indebtedness at any time and from time to time, in open market or privately negotiated transactions with the holders of such indebtedness or otherwise. We may not proceed with any of such transactions in light of market conditions or other relevant factors and, if we do proceed, the terms of any such transaction would be subject to market and other conditions.</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Credit Agreement generally requires us and our restricted subsidiaries on a consolidated basis to comply with a maximum total net leverage ratio of 5.75:1.00 from April 9, 2024 through March 31, 2026, after which the maximum total net leverage ratio changes to 5.50:1.00. As of June 30, 2025, the total net leverage ratio was approximately 4.45:1.00. In addition, the Credit Agreement requires a minimum interest coverage ratio of 2.00:1.00 for us and our restricted subsidiaries on a consolidated basis until September 30, 2026, after which the minimum interest coverage ratio changes to 2.25:1.00. As of June 30, 2025, the interest coverage ratio was approximately 2.46:1.00. All borrowings under the Credit Agreement are subject to the satisfaction of customary conditions, including the absence of a default and accuracy of representations and warranties.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were in compliance with all of our debt covenants as of June 30, 2025.</w:t>
      </w:r>
    </w:p>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Failure to raise significant amounts of funding to repay our outstanding debt obligations at their respective maturity dates would adversely affect our business. In such a circumstance, we would need to take other actions including selling assets, seeking strategic investments from third parties or reducing other discretionary uses of cash. For information relating to our outstanding debt obligations, refer to Item 7, "Management's Discussion and Analysis of Financial Condition and Results of Operations - Debt Financing Agreements" of our 2024 Form 10-K. In addition, economic or market disruptions could lead to lower demand for our services, such as loss of subscribers and lower levels of advertising. These events would adversely impact our results of operations, cash flows and financial position.</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we repurchased $99.1 million principal amount of our Senior Notes through open market repurchases, at a discount of $26.7 million, and retired the repurchased notes. Additionally, in May 2025, we voluntarily prepaid $20.0 million of borrowings under the Term Loan A Facility (non-extended).</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July 3, 2025, we issued $400 million aggregate principal amount of 10.500% Senior Secured Notes due 2032 (the “2032 Secured Notes”). We received net proceeds of $394.5 million, after deducting initial purchaser discounts. The 2032 Secured Notes are guaranteed by AMC Network Entertainment and AMC Networks' subsidiaries that guarantee the Credit Agreement. The proceeds were used to facilitate the completion of a cash tender offer on July 17, 2025 to purchase $600.0 million of our Senior Notes, at a discount of $111.0 million, and to voluntary prepay the remaining $70.0 million of borrowings under the Term Loan A (non-extended) on July 3, 2025 with the proceeds from the issuance of the 2032 Secured Notes and cash-on-hand.</w:t>
      </w:r>
    </w:p>
    <w:p>
      <w:pPr>
        <w:spacing w:after="0" w:line="75"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and, while we are still evaluating the impacts of this legislation, we expect it to result in additional cash tax savings for the year ending December 31, 2025.</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Board of Directors has authorized a program to repurchase up to $1.5 billion of our outstanding shares of Class A Common Stock (the "Stock Repurchase Program"). The Stock Repurchase Program has no pre-established termination date and may be suspended or discontinued at any time. For the three and six months ended June 30, 2025, the Company repurchased 1.6 million shares of its Class A Common Stock at an average purchase price of $6.48 per share. As of June 30, 2025, the Company had $124.9 million of authorization remaining for repurchase under the Stock Repurchase Program.</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is a summary of cash flows provided by (used in) operating, investing and financing activities for the periods indicated:</w:t>
      </w:r>
    </w:p>
    <w:p>
      <w:pPr>
        <w:spacing w:after="0" w:line="20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21590</wp:posOffset>
            </wp:positionV>
            <wp:extent cx="22974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255,272</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(12,022)</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from operations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237,328</w:t>
            </w:r>
          </w:p>
        </w:tc>
      </w:tr>
      <w:tr>
        <w:trPr>
          <w:trHeight w:val="20"/>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2025 and 2024 amounted to $211.6 million and $255.3 million,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1" w:name="page42"/>
    <w:bookmarkEnd w:id="41"/>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net cash provided by operating activities primarily resulted from $510.7 million of net income before amortization of program rights, depreciation and amortization, and other non-cash items, partially offset by payments for program rights of $331.5 million. Changes in all other assets and liabilities resulted in a net cash inflow of $32.4 million.</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net cash provided by operating activities primarily resulted from $615.6 million of net income before amortization of program rights, depreciation and amortization, and other non-cash items, partially offset by payments for program rights of $435.5 million. Changes in all other assets and liabilities resulted in a net cash inflow of $75.2 million.</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and 2024 amounted to $22.4 million and $12.0 million, respectively, and primarily consisted of capital expenditures.</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2025 and 2024 amounted to $126.2 million and $5.9 million, respectively.</w:t>
      </w:r>
    </w:p>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net cash used in financing activities primarily related to open-market repurchases of our Senior Notes of $72.4 million, principal payments on the Term Loan A Facility of $36.3 million and the purchase of treasury stock for $10.3 million.</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net cash used in financing activities primarily related to long-term debt refinancing transactions and the Convertible Notes issuance as well as distributions to noncontrolling interests of $16.5 million.</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June 30, 2025, our contractual obligations not reflected on the condensed consolidated balance sheets decreased $79.8 million, as compared to December 31, 2024, to $515.5 million. The decrease was primarily related to payments for program rights and third-party service contracts.</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terms and conditions of the guarantees with respect to the notes outstanding as of June 30, 2025 for which AMC Networks is the issuer.</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Note Guarantees</w:t>
      </w:r>
    </w:p>
    <w:p>
      <w:pPr>
        <w:spacing w:after="0" w:line="11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Debt of AMC Networks as of June 30, 2025 included $875.0 million of 10.25% Senior Secured Notes due 2029, $885.9 million of 4.25% Senior Notes due 2029, and $143.8 million of 4.25% Convertible Senior Notes due 2029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Foreign subsidiaries of AMC Networks do not and will not guarantee the notes.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2" w:name="page43"/>
    <w:bookmarkEnd w:id="42"/>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Summarized Financial Information</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6"/>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0" w:type="dxa"/>
            <w:vAlign w:val="bottom"/>
          </w:tcPr>
          <w:p>
            <w:pPr>
              <w:spacing w:after="0"/>
              <w:rPr>
                <w:sz w:val="1"/>
                <w:szCs w:val="1"/>
                <w:color w:val="auto"/>
              </w:rPr>
            </w:pPr>
          </w:p>
        </w:tc>
      </w:tr>
      <w:tr>
        <w:trPr>
          <w:trHeight w:val="399"/>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240" w:type="dxa"/>
            <w:vAlign w:val="bottom"/>
          </w:tcPr>
          <w:p>
            <w:pPr>
              <w:spacing w:after="0"/>
              <w:rPr>
                <w:sz w:val="24"/>
                <w:szCs w:val="24"/>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24"/>
                <w:szCs w:val="24"/>
                <w:color w:val="auto"/>
              </w:rPr>
            </w:pPr>
          </w:p>
        </w:tc>
        <w:tc>
          <w:tcPr>
            <w:tcW w:w="180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0" w:type="dxa"/>
            <w:vAlign w:val="bottom"/>
          </w:tcPr>
          <w:p>
            <w:pPr>
              <w:spacing w:after="0"/>
              <w:rPr>
                <w:sz w:val="1"/>
                <w:szCs w:val="1"/>
                <w:color w:val="auto"/>
              </w:rPr>
            </w:pP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890,226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875,842</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718,568</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92,949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156,500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41,117</w:t>
            </w:r>
          </w:p>
        </w:tc>
        <w:tc>
          <w:tcPr>
            <w:tcW w:w="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125,128</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118,673</w:t>
            </w:r>
          </w:p>
        </w:tc>
        <w:tc>
          <w:tcPr>
            <w:tcW w:w="0" w:type="dxa"/>
            <w:vAlign w:val="bottom"/>
          </w:tcPr>
          <w:p>
            <w:pPr>
              <w:spacing w:after="0"/>
              <w:rPr>
                <w:sz w:val="1"/>
                <w:szCs w:val="1"/>
                <w:color w:val="auto"/>
              </w:rPr>
            </w:pPr>
          </w:p>
        </w:tc>
      </w:tr>
      <w:tr>
        <w:trPr>
          <w:trHeight w:val="81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8"/>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Pr>
          <w:p>
            <w:pPr>
              <w:spacing w:after="0"/>
              <w:rPr>
                <w:sz w:val="24"/>
                <w:szCs w:val="24"/>
                <w:color w:val="auto"/>
              </w:rPr>
            </w:pPr>
          </w:p>
        </w:tc>
        <w:tc>
          <w:tcPr>
            <w:tcW w:w="3720" w:type="dxa"/>
            <w:vAlign w:val="bottom"/>
            <w:gridSpan w:val="4"/>
          </w:tcPr>
          <w:p>
            <w:pPr>
              <w:jc w:val="right"/>
              <w:ind w:right="123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08"/>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0" w:type="dxa"/>
            <w:vAlign w:val="bottom"/>
          </w:tcPr>
          <w:p>
            <w:pPr>
              <w:spacing w:after="0"/>
              <w:rPr>
                <w:sz w:val="1"/>
                <w:szCs w:val="1"/>
                <w:color w:val="auto"/>
              </w:rPr>
            </w:pPr>
          </w:p>
        </w:tc>
      </w:tr>
      <w:tr>
        <w:trPr>
          <w:trHeight w:val="21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due from subsidiaries</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82,342</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1,435,157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1,386,554</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3,452,459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2,730,843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2,718,427</w:t>
            </w: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equity:</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subsidiaries</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236,859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473,418</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2,252,721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2,474,505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describe our significant accounting policies in Note 2 to the Company's Consolidated Financial Statements included in our 2024 Form 10-K.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in our significant accounting policies since December 31, 2024.</w:t>
      </w:r>
    </w:p>
    <w:p>
      <w:pPr>
        <w:spacing w:after="0" w:line="9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discuss our critical accounting estimates in Item 7, "Management's Discussion and Analysis of Financial Condition and Results of Operations," in our 2024 Form 10-K. There have been no significant changes in our critical accounting estimates since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Internally, we use AOI and Free Cash Flow as the most important indicators of our business performance, and evaluate management's effectiveness with specific reference to these indicators.</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evaluate segment performance based on operating segment AOI. We define AOI, which is a financial measure that is not calculated in accordance with generally accepted accounting principles ("GAAP"), as operating income (loss) before share-based compensation expenses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reconciliation of operating income to AOI for the periods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2900" w:type="dxa"/>
            <w:vAlign w:val="bottom"/>
            <w:gridSpan w:val="4"/>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120,966</w:t>
            </w:r>
          </w:p>
        </w:tc>
      </w:tr>
      <w:tr>
        <w:trPr>
          <w:trHeight w:val="229"/>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14,532</w:t>
            </w:r>
          </w:p>
        </w:tc>
      </w:tr>
      <w:tr>
        <w:trPr>
          <w:trHeight w:val="230"/>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52,319</w:t>
            </w:r>
          </w:p>
        </w:tc>
      </w:tr>
      <w:tr>
        <w:trPr>
          <w:trHeight w:val="229"/>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29"/>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96,819</w:t>
            </w:r>
          </w:p>
        </w:tc>
      </w:tr>
      <w:tr>
        <w:trPr>
          <w:trHeight w:val="23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w:t>
            </w:r>
          </w:p>
        </w:tc>
      </w:tr>
      <w:tr>
        <w:trPr>
          <w:trHeight w:val="230"/>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Majority owned equity investees AOI</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152,807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213,871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301,931</w:t>
            </w:r>
          </w:p>
        </w:tc>
      </w:tr>
      <w:tr>
        <w:trPr>
          <w:trHeight w:val="20"/>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define Free Cash Flow, which is a non-GAAP financial measure, as net cash provided by operating activities less capital expenditures, all of which are reported in our Consolidated Statement of Cash Flows. We believe the most comparable GAAP financial measure of our liquidity is net cash provided by operating activities. We believe that Free Cash Flow is useful as an indicator of our overall liquidity, as the amount of Free Cash Flow generated in any period is representative of cash that is available for debt repayment, investment, and other discretionary and non-discretionary cash uses. We also believe that Free Cash Flow is one of several benchmarks used by analysts and investors who follow the industry for comparison of our liquidity with other companies in our industry, although our measure of Free Cash Flow may not be directly comparable to similar measures reported by other companies.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to Free Cash Flow for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99"/>
        </w:trPr>
        <w:tc>
          <w:tcPr>
            <w:tcW w:w="20" w:type="dxa"/>
            <w:vAlign w:val="bottom"/>
            <w:tcBorders>
              <w:bottom w:val="single" w:sz="8" w:color="CCEEFF"/>
            </w:tcBorders>
            <w:shd w:val="clear" w:color="auto" w:fill="CCEEFF"/>
          </w:tcPr>
          <w:p>
            <w:pPr>
              <w:spacing w:after="0"/>
              <w:rPr>
                <w:sz w:val="24"/>
                <w:szCs w:val="24"/>
                <w:color w:val="auto"/>
              </w:rPr>
            </w:pPr>
          </w:p>
        </w:tc>
        <w:tc>
          <w:tcPr>
            <w:tcW w:w="79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211,596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255,272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9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(15,958)</w:t>
            </w:r>
          </w:p>
        </w:tc>
        <w:tc>
          <w:tcPr>
            <w:tcW w:w="0" w:type="dxa"/>
            <w:vAlign w:val="bottom"/>
          </w:tcPr>
          <w:p>
            <w:pPr>
              <w:spacing w:after="0"/>
              <w:rPr>
                <w:sz w:val="1"/>
                <w:szCs w:val="1"/>
                <w:color w:val="auto"/>
              </w:rPr>
            </w:pPr>
          </w:p>
        </w:tc>
      </w:tr>
      <w:tr>
        <w:trPr>
          <w:trHeight w:val="315"/>
        </w:trPr>
        <w:tc>
          <w:tcPr>
            <w:tcW w:w="20" w:type="dxa"/>
            <w:vAlign w:val="bottom"/>
            <w:tcBorders>
              <w:bottom w:val="single" w:sz="8" w:color="CCEEFF"/>
            </w:tcBorders>
            <w:shd w:val="clear" w:color="auto" w:fill="CCEEFF"/>
          </w:tcPr>
          <w:p>
            <w:pPr>
              <w:spacing w:after="0"/>
              <w:rPr>
                <w:sz w:val="24"/>
                <w:szCs w:val="24"/>
                <w:color w:val="auto"/>
              </w:rPr>
            </w:pPr>
          </w:p>
        </w:tc>
        <w:tc>
          <w:tcPr>
            <w:tcW w:w="79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Free cash flow</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189,926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9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20" w:type="dxa"/>
            <w:vAlign w:val="bottom"/>
          </w:tcPr>
          <w:p>
            <w:pPr>
              <w:spacing w:after="0"/>
              <w:rPr>
                <w:sz w:val="24"/>
                <w:szCs w:val="24"/>
                <w:color w:val="auto"/>
              </w:rPr>
            </w:pPr>
          </w:p>
        </w:tc>
        <w:tc>
          <w:tcPr>
            <w:tcW w:w="79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900" w:type="dxa"/>
            <w:vAlign w:val="bottom"/>
            <w:gridSpan w:val="4"/>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0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vMerge w:val="continue"/>
          </w:tcPr>
          <w:p>
            <w:pPr>
              <w:spacing w:after="0"/>
              <w:rPr>
                <w:sz w:val="18"/>
                <w:szCs w:val="18"/>
                <w:color w:val="auto"/>
              </w:rPr>
            </w:pPr>
          </w:p>
        </w:tc>
        <w:tc>
          <w:tcPr>
            <w:tcW w:w="5040" w:type="dxa"/>
            <w:vAlign w:val="bottom"/>
            <w:tcBorders>
              <w:bottom w:val="single" w:sz="8" w:color="CCEEFF"/>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initiatives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4" w:name="page45"/>
    <w:bookmarkEnd w:id="4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Based on the level of interest rates prevailing at June 30, 2025, the carrying value of our fixed rate debt of $1.88 billion was more than its fair value of $1.74 billion by $145.7 million. The fair value of these financial instruments is estimated based on reference to quoted market prices for these or comparable securities. A hypothetical 100 basis point decrease in interest rates prevailing at June 30, 2025 would increase the estimated fair value of our fixed rate debt by $5.9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Managing our Interest Rate Risk</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of June 30, 2025, we had $2.2 billion of debt outstanding (excluding finance leases), of which $329.4 million is outstanding under our loan facility and is subject to variable interest rates. A hypothetical 100 basis point increase in interest rates prevailing at June 30, 2025 would increase our annual interest expense by $3.3 million. The interest rate paid on approximately 85% of our debt (excluding finance leases) as of June 30, 2025 is fixed.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Managing our Foreign Currency Exchange Rate Risk</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condensed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w:t>
      </w:r>
    </w:p>
    <w:p>
      <w:pPr>
        <w:spacing w:after="0" w:line="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recognized gains of $12.9 million and $16.7 million for the three and six months ended June 30, 2025, respectively, and losses of $1.2 million and $3.9 million for the three and six months ended June 30, 2024, respectively, related to foreign currency transactions. Such amounts are included in miscellaneous, net in the condensed consolidated statements of income (loss).</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200" w:lineRule="exact"/>
        <w:rPr>
          <w:sz w:val="20"/>
          <w:szCs w:val="20"/>
          <w:color w:val="auto"/>
        </w:rPr>
      </w:pPr>
    </w:p>
    <w:p>
      <w:pPr>
        <w:spacing w:after="0" w:line="22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An evaluation was carried out under the supervision and with the participation of the Company's management, including our principal executive officer (our Chief Executive Officer) and our principal financial officer (our Chief Financial Officer), of the effectiveness of the design and operation of our disclosure controls and procedures (as defined in Rules 13a-15(e) and 15d-15(e) under the Securities Exchange Act of 1934, as amended). Based upon that evaluation as of June 30, 2025, the Company's principal executive officer (our Chief Executive Officer) and principal financial officer (our Chief Financial Officer) concluded that the Company's disclosure controls and procedures are effective.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14, Commitments and Contingencies to the condensed consolidated financial statements included in this Quarterly Report on Form 10-Q for a description of our legal proceedings.</w:t>
      </w:r>
    </w:p>
    <w:p>
      <w:pPr>
        <w:spacing w:after="0" w:line="38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risk factors discussed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of the Company’s Annual Report on Form 10-K for the year ended December 31, 2024 have not materially changed except as set forth below.</w:t>
      </w:r>
    </w:p>
    <w:p>
      <w:pPr>
        <w:spacing w:after="0" w:line="4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Trump administration has introduced tariffs that impact a number of industries, including announcing an intention to impose tariffs on movies produced outside the United States. Such tariffs, if imposed, and similar tariffs imposed by other governments, could have a material adverse effect on our financial condition and results of operations.</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Trump administration has introduced tariffs that impact a number of industries, including announcing an intention to impose tariffs on movies produced outside the United States. The U.S. tariff environment remains highly dynamic and views on tariffs and how tariffs would be imposed are evolving. Tariffs charged by other countries, included retaliatory tariffs, also are expected to evolve. As a result, we cannot predict the breadth of tariffs and related costs that will ultimately impact the Company, but if tariffs are imposed on production of content, including films and series, such costs could be substantial and have a material adverse effect on our financial condition, results of operations and cash flows, and our expected financial results. Based on the ultimate scope, nature and duration of any tariffs implemented, we may take various mitigating actions, such as making changes to our content production plans, which may not fully offset the impact of tariffs. We may also need to make material changes to how and where we produce and source programming, which could require significant changes to production schedules and locales, including access to local production tax credits, any of which could be material.</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shares of common stock that we repurchased during the second quarter of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Maximum Dollar Amount of</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8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that May Yet Be</w:t>
            </w:r>
          </w:p>
        </w:tc>
        <w:tc>
          <w:tcPr>
            <w:tcW w:w="0" w:type="dxa"/>
            <w:vAlign w:val="bottom"/>
          </w:tcPr>
          <w:p>
            <w:pPr>
              <w:spacing w:after="0"/>
              <w:rPr>
                <w:sz w:val="1"/>
                <w:szCs w:val="1"/>
                <w:color w:val="auto"/>
              </w:rPr>
            </w:pPr>
          </w:p>
        </w:tc>
      </w:tr>
      <w:tr>
        <w:trPr>
          <w:trHeight w:val="162"/>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980" w:type="dxa"/>
            <w:vAlign w:val="bottom"/>
            <w:gridSpan w:val="2"/>
            <w:vMerge w:val="continue"/>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88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7"/>
              </w:rPr>
              <w:t>or Programs</w:t>
            </w:r>
            <w:r>
              <w:rPr>
                <w:rFonts w:ascii="Times New Roman" w:cs="Times New Roman" w:eastAsia="Times New Roman" w:hAnsi="Times New Roman"/>
                <w:sz w:val="21"/>
                <w:szCs w:val="21"/>
                <w:b w:val="1"/>
                <w:bCs w:val="1"/>
                <w:color w:val="auto"/>
                <w:w w:val="97"/>
                <w:vertAlign w:val="superscript"/>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center"/>
              <w:ind w:right="15"/>
              <w:spacing w:after="0" w:line="216" w:lineRule="exact"/>
              <w:rPr>
                <w:sz w:val="20"/>
                <w:szCs w:val="20"/>
                <w:color w:val="auto"/>
              </w:rPr>
            </w:pPr>
            <w:r>
              <w:rPr>
                <w:rFonts w:ascii="Times New Roman" w:cs="Times New Roman" w:eastAsia="Times New Roman" w:hAnsi="Times New Roman"/>
                <w:sz w:val="16"/>
                <w:szCs w:val="16"/>
                <w:b w:val="1"/>
                <w:bCs w:val="1"/>
                <w:color w:val="auto"/>
                <w:w w:val="95"/>
              </w:rPr>
              <w:t>Program</w:t>
            </w:r>
            <w:r>
              <w:rPr>
                <w:rFonts w:ascii="Times New Roman" w:cs="Times New Roman" w:eastAsia="Times New Roman" w:hAnsi="Times New Roman"/>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to April 30, 2025</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135,254,803</w:t>
            </w:r>
          </w:p>
        </w:tc>
        <w:tc>
          <w:tcPr>
            <w:tcW w:w="0" w:type="dxa"/>
            <w:vAlign w:val="bottom"/>
          </w:tcPr>
          <w:p>
            <w:pPr>
              <w:spacing w:after="0"/>
              <w:rPr>
                <w:sz w:val="1"/>
                <w:szCs w:val="1"/>
                <w:color w:val="auto"/>
              </w:rPr>
            </w:pPr>
          </w:p>
        </w:tc>
      </w:tr>
      <w:tr>
        <w:trPr>
          <w:trHeight w:val="23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2025 to May 31, 2025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1,194,254</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127,583,878</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2025 to June 30,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124,925,858</w:t>
            </w:r>
          </w:p>
        </w:tc>
        <w:tc>
          <w:tcPr>
            <w:tcW w:w="0" w:type="dxa"/>
            <w:vAlign w:val="bottom"/>
          </w:tcPr>
          <w:p>
            <w:pPr>
              <w:spacing w:after="0"/>
              <w:rPr>
                <w:sz w:val="1"/>
                <w:szCs w:val="1"/>
                <w:color w:val="auto"/>
              </w:rPr>
            </w:pPr>
          </w:p>
        </w:tc>
      </w:tr>
      <w:tr>
        <w:trPr>
          <w:trHeight w:val="223"/>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1,594,254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1,594,254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17" w:lineRule="exact"/>
        <w:rPr>
          <w:sz w:val="20"/>
          <w:szCs w:val="20"/>
          <w:color w:val="auto"/>
        </w:rPr>
      </w:pPr>
    </w:p>
    <w:p>
      <w:pPr>
        <w:ind w:left="340" w:right="20" w:hanging="332"/>
        <w:spacing w:after="0" w:line="261" w:lineRule="auto"/>
        <w:tabs>
          <w:tab w:leader="none" w:pos="2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has authorized a $1.5 billion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termination date and may be suspended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6" w:name="page47"/>
    <w:bookmarkEnd w:id="46"/>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Index to Exhibits.</w:t>
      </w:r>
    </w:p>
    <w:p>
      <w:pPr>
        <w:spacing w:after="0" w:line="13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6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6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22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7"/>
              </w:rPr>
              <w:t>2.1</w:t>
            </w:r>
          </w:p>
        </w:tc>
        <w:tc>
          <w:tcPr>
            <w:tcW w:w="94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Plan of Conversion (incorporated by reference to Exhibit 2.1 to the Company’s Current Report on Form 8-K filed on June 6, 2025).</w:t>
              </w:r>
            </w:hyperlink>
          </w:p>
        </w:tc>
        <w:tc>
          <w:tcPr>
            <w:tcW w:w="40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22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7"/>
              </w:rPr>
              <w:t>3.1</w:t>
            </w:r>
          </w:p>
        </w:tc>
        <w:tc>
          <w:tcPr>
            <w:tcW w:w="9860" w:type="dxa"/>
            <w:vAlign w:val="bottom"/>
            <w:gridSpan w:val="9"/>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Articles of Incorporation of AMC Networks Inc. (incorporated by reference to Exhibit 3.1 to the Company’s Current Report on Form 8-</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98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K filed on June 6,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7"/>
              </w:rPr>
              <w:t>3.2</w:t>
            </w:r>
          </w:p>
        </w:tc>
        <w:tc>
          <w:tcPr>
            <w:tcW w:w="98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Bylaws of AMC Networks Inc. (incorporated by reference to Exhibit 3.2 to the Company’s Current Report on Form 8-K filed on June 6,</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69">
              <w:r>
                <w:rPr>
                  <w:rFonts w:ascii="Times New Roman" w:cs="Times New Roman" w:eastAsia="Times New Roman" w:hAnsi="Times New Roman"/>
                  <w:sz w:val="18"/>
                  <w:szCs w:val="18"/>
                  <w:color w:val="0000FF"/>
                  <w:w w:val="94"/>
                </w:rPr>
                <w:t>2025).</w:t>
              </w:r>
            </w:hyperlink>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20" w:type="dxa"/>
            <w:vAlign w:val="bottom"/>
          </w:tcPr>
          <w:p>
            <w:pPr>
              <w:jc w:val="center"/>
              <w:ind w:right="55"/>
              <w:spacing w:after="0"/>
              <w:rPr>
                <w:sz w:val="20"/>
                <w:szCs w:val="20"/>
                <w:color w:val="auto"/>
              </w:rPr>
            </w:pPr>
            <w:r>
              <w:rPr>
                <w:rFonts w:ascii="Times New Roman" w:cs="Times New Roman" w:eastAsia="Times New Roman" w:hAnsi="Times New Roman"/>
                <w:sz w:val="18"/>
                <w:szCs w:val="18"/>
                <w:color w:val="auto"/>
              </w:rPr>
              <w:t>10.1</w:t>
            </w:r>
          </w:p>
        </w:tc>
        <w:tc>
          <w:tcPr>
            <w:tcW w:w="9860" w:type="dxa"/>
            <w:vAlign w:val="bottom"/>
            <w:gridSpan w:val="9"/>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Indenture, dated as of July 3, 2025, among AMC Networks, as issuer, each of the guarantors party thereto and U.S. Bank Trust</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Company, National Association, as Trustee (incorporated by reference to Exhibit 4.1 to the Company’s Current Report on Form 8-K</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9840" w:type="dxa"/>
            <w:vAlign w:val="bottom"/>
            <w:gridSpan w:val="8"/>
          </w:tcPr>
          <w:p>
            <w:pPr>
              <w:spacing w:after="0" w:line="169"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filed on July 3, 2025).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20" w:type="dxa"/>
            <w:vAlign w:val="bottom"/>
          </w:tcPr>
          <w:p>
            <w:pPr>
              <w:jc w:val="center"/>
              <w:ind w:right="55"/>
              <w:spacing w:after="0"/>
              <w:rPr>
                <w:sz w:val="20"/>
                <w:szCs w:val="20"/>
                <w:color w:val="auto"/>
              </w:rPr>
            </w:pPr>
            <w:r>
              <w:rPr>
                <w:rFonts w:ascii="Times New Roman" w:cs="Times New Roman" w:eastAsia="Times New Roman" w:hAnsi="Times New Roman"/>
                <w:sz w:val="18"/>
                <w:szCs w:val="18"/>
                <w:color w:val="auto"/>
              </w:rPr>
              <w:t>10.2</w:t>
            </w:r>
          </w:p>
        </w:tc>
        <w:tc>
          <w:tcPr>
            <w:tcW w:w="98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AMC Networks Inc. Amended and Restated 2016 Employee Stock Plan.</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300" w:hanging="775"/>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Guarantor Subsidiaries of the Registrant.</w:t>
      </w:r>
    </w:p>
    <w:p>
      <w:pPr>
        <w:spacing w:after="0" w:line="63"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31.1</w:t>
            </w:r>
          </w:p>
        </w:tc>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4"/>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6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3"/>
              </w:rPr>
              <w:t>32</w:t>
            </w:r>
            <w:r>
              <w:rPr>
                <w:rFonts w:ascii="Times New Roman" w:cs="Times New Roman" w:eastAsia="Times New Roman" w:hAnsi="Times New Roman"/>
                <w:sz w:val="23"/>
                <w:szCs w:val="23"/>
                <w:color w:val="auto"/>
                <w:w w:val="93"/>
                <w:vertAlign w:val="superscript"/>
              </w:rPr>
              <w:t>*</w:t>
            </w:r>
          </w:p>
        </w:tc>
        <w:tc>
          <w:tcPr>
            <w:tcW w:w="98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and Chief Financial Officer pursuant to Section 906 of the Sarbanes-Oxley Act of 2002, 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52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U.S.C. Section 1350.</w:t>
            </w:r>
          </w:p>
        </w:tc>
        <w:tc>
          <w:tcPr>
            <w:tcW w:w="83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101.INS</w:t>
            </w:r>
          </w:p>
        </w:tc>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148"/>
        </w:trPr>
        <w:tc>
          <w:tcPr>
            <w:tcW w:w="1020" w:type="dxa"/>
            <w:vAlign w:val="bottom"/>
            <w:vMerge w:val="continue"/>
          </w:tcPr>
          <w:p>
            <w:pPr>
              <w:spacing w:after="0"/>
              <w:rPr>
                <w:sz w:val="12"/>
                <w:szCs w:val="12"/>
                <w:color w:val="auto"/>
              </w:rPr>
            </w:pPr>
          </w:p>
        </w:tc>
        <w:tc>
          <w:tcPr>
            <w:tcW w:w="98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within Inline XBRL document.</w:t>
            </w:r>
          </w:p>
        </w:tc>
        <w:tc>
          <w:tcPr>
            <w:tcW w:w="0" w:type="dxa"/>
            <w:vAlign w:val="bottom"/>
          </w:tcPr>
          <w:p>
            <w:pPr>
              <w:spacing w:after="0"/>
              <w:rPr>
                <w:sz w:val="1"/>
                <w:szCs w:val="1"/>
                <w:color w:val="auto"/>
              </w:rPr>
            </w:pPr>
          </w:p>
        </w:tc>
      </w:tr>
      <w:tr>
        <w:trPr>
          <w:trHeight w:val="86"/>
        </w:trPr>
        <w:tc>
          <w:tcPr>
            <w:tcW w:w="1020" w:type="dxa"/>
            <w:vAlign w:val="bottom"/>
          </w:tcPr>
          <w:p>
            <w:pPr>
              <w:spacing w:after="0"/>
              <w:rPr>
                <w:sz w:val="7"/>
                <w:szCs w:val="7"/>
                <w:color w:val="auto"/>
              </w:rPr>
            </w:pPr>
          </w:p>
        </w:tc>
        <w:tc>
          <w:tcPr>
            <w:tcW w:w="98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101.SCH</w:t>
            </w:r>
          </w:p>
        </w:tc>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101.CAL</w:t>
            </w:r>
          </w:p>
        </w:tc>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101.DEF</w:t>
            </w:r>
          </w:p>
        </w:tc>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28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101.LAB</w:t>
            </w:r>
          </w:p>
        </w:tc>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101.PRE</w:t>
            </w:r>
          </w:p>
        </w:tc>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300" w:hanging="8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11" w:lineRule="exact"/>
        <w:rPr>
          <w:rFonts w:ascii="Times New Roman" w:cs="Times New Roman" w:eastAsia="Times New Roman" w:hAnsi="Times New Roman"/>
          <w:sz w:val="18"/>
          <w:szCs w:val="18"/>
          <w:color w:val="auto"/>
        </w:rPr>
      </w:pPr>
    </w:p>
    <w:p>
      <w:pPr>
        <w:jc w:val="both"/>
        <w:ind w:left="8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These exhibits shall not be deemed “filed” for purposes of Section 18 of the Securities Exchange Act of 1934, or otherwise subject to the liability of that Section. Such exhibits shall not be deemed incorporated into any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5" w:right="4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AMC Networks Inc.</w:t>
            </w:r>
          </w:p>
        </w:tc>
      </w:tr>
      <w:tr>
        <w:trPr>
          <w:trHeight w:val="37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76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Patrick O'Connell</w:t>
            </w:r>
          </w:p>
        </w:tc>
      </w:tr>
      <w:tr>
        <w:trPr>
          <w:trHeight w:val="218"/>
        </w:trPr>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Patrick O'Connell</w:t>
            </w:r>
          </w:p>
        </w:tc>
      </w:tr>
      <w:tr>
        <w:trPr>
          <w:trHeight w:val="234"/>
        </w:trPr>
        <w:tc>
          <w:tcPr>
            <w:tcW w:w="3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74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76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Michael J. Sherin III</w:t>
            </w:r>
          </w:p>
        </w:tc>
      </w:tr>
      <w:tr>
        <w:trPr>
          <w:trHeight w:val="218"/>
        </w:trPr>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J. Sherin III</w:t>
            </w:r>
          </w:p>
        </w:tc>
      </w:tr>
      <w:tr>
        <w:trPr>
          <w:trHeight w:val="234"/>
        </w:trPr>
        <w:tc>
          <w:tcPr>
            <w:tcW w:w="3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92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5"/>
          <w:szCs w:val="25"/>
          <w:b w:val="1"/>
          <w:bCs w:val="1"/>
          <w:color w:val="547398"/>
        </w:rPr>
        <w:t>THE AMENDED AND RESTATED 2016 EMPLOYEE STOCK PLAN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AMC Networks Inc. Amended and Restated 2016 Employee Stock Plan</w:t>
      </w:r>
    </w:p>
    <w:p>
      <w:pPr>
        <w:spacing w:after="0" w:line="125" w:lineRule="exact"/>
        <w:rPr>
          <w:sz w:val="20"/>
          <w:szCs w:val="20"/>
          <w:color w:val="auto"/>
        </w:rPr>
      </w:pPr>
    </w:p>
    <w:p>
      <w:pPr>
        <w:ind w:firstLine="8"/>
        <w:spacing w:after="0" w:line="249" w:lineRule="auto"/>
        <w:tabs>
          <w:tab w:leader="none" w:pos="64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Purpose</w:t>
      </w:r>
      <w:r>
        <w:rPr>
          <w:rFonts w:ascii="Times New Roman" w:cs="Times New Roman" w:eastAsia="Times New Roman" w:hAnsi="Times New Roman"/>
          <w:sz w:val="22"/>
          <w:szCs w:val="22"/>
          <w:color w:val="auto"/>
        </w:rPr>
        <w:t>. The purpose of the AMC Networks Inc. Amended &amp; Restated 2016 Employee Stock Plan is to compensate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employees of the Company and its Affiliates who are and have been largely responsible for the management and growth of the business of the Company and its Affiliates and to advance the interests of the Company by encouraging and enabling the acquisition of a personal proprietary interest in the Company by employees upon whose judgment and keen interest the Company and its Affiliates are largely dependent for the successful conduct of their operations. It is anticipated that such compensation and the acquisition of such proprietary interest in the Company will stimulate the efforts of such employees on behalf of the Company and its Affiliates, and strengthen their desire to remain with the Company and its Affiliates. It is also expected that such compensation and the opportunity to acquire such a proprietary interest will enable the Company and its Affiliates to attract and retain desirable personnel.</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Plan covers all Awards granted on or after the effective date set forth in Section 23 (the “Effective Date”).</w:t>
      </w:r>
    </w:p>
    <w:p>
      <w:pPr>
        <w:spacing w:after="0" w:line="112"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22"/>
          <w:szCs w:val="22"/>
          <w:color w:val="auto"/>
        </w:rPr>
        <w:t>The amendments to this Plan will not affect the terms or conditions of any Award granted prior to the effective date of such amendments provided in Section 23.</w:t>
      </w:r>
    </w:p>
    <w:p>
      <w:pPr>
        <w:spacing w:after="0" w:line="30"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Definitions. </w:t>
      </w:r>
      <w:r>
        <w:rPr>
          <w:rFonts w:ascii="Times New Roman" w:cs="Times New Roman" w:eastAsia="Times New Roman" w:hAnsi="Times New Roman"/>
          <w:sz w:val="22"/>
          <w:szCs w:val="22"/>
          <w:color w:val="auto"/>
        </w:rPr>
        <w:t>When used in this Plan, unless the context otherwise requires:</w:t>
      </w:r>
    </w:p>
    <w:p>
      <w:pPr>
        <w:spacing w:after="0" w:line="118" w:lineRule="exact"/>
        <w:rPr>
          <w:sz w:val="20"/>
          <w:szCs w:val="20"/>
          <w:color w:val="auto"/>
        </w:rPr>
      </w:pPr>
    </w:p>
    <w:p>
      <w:pPr>
        <w:ind w:right="320" w:firstLine="8"/>
        <w:spacing w:after="0" w:line="295" w:lineRule="auto"/>
        <w:tabs>
          <w:tab w:leader="none" w:pos="294"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“Affiliate” shall mean (i) any Entity controlling, controlled by, or under common control with the Company or any other Affiliate and (ii) any Entity in which the Company owns at least five percent of the outstanding equity interests of such Entity.</w:t>
      </w:r>
    </w:p>
    <w:p>
      <w:pPr>
        <w:spacing w:after="0" w:line="27" w:lineRule="exact"/>
        <w:rPr>
          <w:rFonts w:ascii="Times New Roman" w:cs="Times New Roman" w:eastAsia="Times New Roman" w:hAnsi="Times New Roman"/>
          <w:sz w:val="21"/>
          <w:szCs w:val="21"/>
          <w:color w:val="auto"/>
        </w:rPr>
      </w:pPr>
    </w:p>
    <w:p>
      <w:pPr>
        <w:ind w:right="60" w:firstLine="8"/>
        <w:spacing w:after="0" w:line="284" w:lineRule="auto"/>
        <w:tabs>
          <w:tab w:leader="none" w:pos="30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 shall mean an Option, Right, Restricted Share or Restricted Stock Unit or other equity based award which is granted or made under the Plan.</w:t>
      </w:r>
    </w:p>
    <w:p>
      <w:pPr>
        <w:spacing w:after="0" w:line="35" w:lineRule="exact"/>
        <w:rPr>
          <w:rFonts w:ascii="Times New Roman" w:cs="Times New Roman" w:eastAsia="Times New Roman" w:hAnsi="Times New Roman"/>
          <w:sz w:val="22"/>
          <w:szCs w:val="22"/>
          <w:color w:val="auto"/>
        </w:rPr>
      </w:pPr>
    </w:p>
    <w:p>
      <w:pPr>
        <w:ind w:right="300" w:firstLine="8"/>
        <w:spacing w:after="0" w:line="271" w:lineRule="auto"/>
        <w:tabs>
          <w:tab w:leader="none" w:pos="29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 Agreement” shall mean an agreement which may be entered into by a Participant under the Plan and the Company, setting forth the terms and provisions applicable to Awards granted to such Participant.</w:t>
      </w:r>
    </w:p>
    <w:p>
      <w:pPr>
        <w:spacing w:after="0" w:line="49"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of Directors” shall mean the Board of Directors of the Company, as constituted at any time.</w:t>
      </w:r>
    </w:p>
    <w:p>
      <w:pPr>
        <w:spacing w:after="0" w:line="111"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shall mean the Compensation Committee of the Board of Directors, as described in Section 3.</w:t>
      </w:r>
    </w:p>
    <w:p>
      <w:pPr>
        <w:spacing w:after="0" w:line="125" w:lineRule="exact"/>
        <w:rPr>
          <w:rFonts w:ascii="Times New Roman" w:cs="Times New Roman" w:eastAsia="Times New Roman" w:hAnsi="Times New Roman"/>
          <w:sz w:val="22"/>
          <w:szCs w:val="22"/>
          <w:color w:val="auto"/>
        </w:rPr>
      </w:pPr>
    </w:p>
    <w:p>
      <w:pPr>
        <w:ind w:left="280" w:hanging="272"/>
        <w:spacing w:after="0"/>
        <w:tabs>
          <w:tab w:leader="none" w:pos="2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mean AMC Networks Inc., a Delaware corporation.</w:t>
      </w:r>
    </w:p>
    <w:p>
      <w:pPr>
        <w:spacing w:after="0" w:line="111" w:lineRule="exact"/>
        <w:rPr>
          <w:rFonts w:ascii="Times New Roman" w:cs="Times New Roman" w:eastAsia="Times New Roman" w:hAnsi="Times New Roman"/>
          <w:sz w:val="22"/>
          <w:szCs w:val="22"/>
          <w:color w:val="auto"/>
        </w:rPr>
      </w:pPr>
    </w:p>
    <w:p>
      <w:pPr>
        <w:ind w:right="60" w:firstLine="8"/>
        <w:spacing w:after="0" w:line="250" w:lineRule="auto"/>
        <w:tabs>
          <w:tab w:leader="none" w:pos="30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 shall mean (i) any listing, registration or qualification requirement in respect of an Award or Share with respect to any securities exchange or under any federal, state or local law, rule or regulation, (ii) any and all written agreements and representations by the Participant with respect to the disposition of Shares, or with respect to any other matter, which the Committee may deem necessary or desirable to comply with the terms of any such listing, registration or qualification requirement or to obtain an exemption therefrom, (iii) any and all other consents, clearances and approvals in respect of an action under the Plan by any governmental or other regulatory body or any stock exchange or self-regulatory agency, (iv) any and all consents by the</w:t>
      </w:r>
    </w:p>
    <w:p>
      <w:pPr>
        <w:sectPr>
          <w:pgSz w:w="11900" w:h="16838" w:orient="portrait"/>
          <w:cols w:equalWidth="0" w:num="1">
            <w:col w:w="11240"/>
          </w:cols>
          <w:pgMar w:left="320" w:top="1407" w:right="339" w:bottom="1440" w:gutter="0" w:footer="0" w:header="0"/>
        </w:sectPr>
      </w:pPr>
    </w:p>
    <w:bookmarkStart w:id="49" w:name="page50"/>
    <w:bookmarkEnd w:id="49"/>
    <w:p>
      <w:pPr>
        <w:ind w:right="300"/>
        <w:spacing w:after="0" w:line="256" w:lineRule="auto"/>
        <w:rPr>
          <w:sz w:val="20"/>
          <w:szCs w:val="20"/>
          <w:color w:val="auto"/>
        </w:rPr>
      </w:pPr>
      <w:r>
        <w:rPr>
          <w:rFonts w:ascii="Times New Roman" w:cs="Times New Roman" w:eastAsia="Times New Roman" w:hAnsi="Times New Roman"/>
          <w:sz w:val="22"/>
          <w:szCs w:val="22"/>
          <w:color w:val="auto"/>
        </w:rPr>
        <w:t>Participant to (A) the Company’s supplying to any third party recordkeeper of the Plan such personal information as the Committee deems advisable to administer the Plan and (B) the Company’s imposing sales and transfer procedures and restrictions on Shares delivered under the Plan and (v) any and all other consents or authorizations required to comply with, or required to be obtained under law.</w:t>
      </w:r>
    </w:p>
    <w:p>
      <w:pPr>
        <w:spacing w:after="0" w:line="68"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“Entity” shall mean any business, corporation, partnership, limited liability company or other entity.</w:t>
      </w:r>
    </w:p>
    <w:p>
      <w:pPr>
        <w:spacing w:after="0" w:line="111" w:lineRule="exact"/>
        <w:rPr>
          <w:rFonts w:ascii="Times New Roman" w:cs="Times New Roman" w:eastAsia="Times New Roman" w:hAnsi="Times New Roman"/>
          <w:sz w:val="22"/>
          <w:szCs w:val="22"/>
          <w:color w:val="auto"/>
        </w:rPr>
      </w:pPr>
    </w:p>
    <w:p>
      <w:pPr>
        <w:ind w:right="60" w:firstLine="8"/>
        <w:spacing w:after="0" w:line="249" w:lineRule="auto"/>
        <w:tabs>
          <w:tab w:leader="none" w:pos="25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“Fair Market Value” on a specified date shall mean the closing price for a Share on the stock exchange, if any, on which such Shares are primarily traded, but if no Shares were traded on such date, the average of the bid and asked closing prices at which one Share is traded on the over-the-counter market, as reported on the NASDAQ Stock Market or any other stock exchange on which the Shares may be traded, or, if none of the above is applicable, the value of a Share as established by the Committee for such date using any reasonable method of valuation. Notwithstanding the generality of the foregoing, if the Company has established an electronic exercise program with a broker for the exercise of Options or Rights and the Shares underlying the Options are publicly traded, the Fair Market Value of a Share for purposes of net cashless exercise and withholding taxes shall be the price of a Share on such stock exchange at the time of exercise.</w:t>
      </w:r>
    </w:p>
    <w:p>
      <w:pPr>
        <w:spacing w:after="0" w:line="73"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“GAAP” shall mean accounting principles generally accepted in the United States of America.</w:t>
      </w:r>
    </w:p>
    <w:p>
      <w:pPr>
        <w:spacing w:after="0" w:line="125"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“Internal Revenue Code” shall mean the Internal Revenue Code of 1986, as amended.</w:t>
      </w:r>
    </w:p>
    <w:p>
      <w:pPr>
        <w:spacing w:after="0" w:line="111"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shall mean the stock options granted pursuant to Section 6 hereof.</w:t>
      </w:r>
    </w:p>
    <w:p>
      <w:pPr>
        <w:spacing w:after="0" w:line="111" w:lineRule="exact"/>
        <w:rPr>
          <w:rFonts w:ascii="Times New Roman" w:cs="Times New Roman" w:eastAsia="Times New Roman" w:hAnsi="Times New Roman"/>
          <w:sz w:val="22"/>
          <w:szCs w:val="22"/>
          <w:color w:val="auto"/>
        </w:rPr>
      </w:pPr>
    </w:p>
    <w:p>
      <w:pPr>
        <w:ind w:firstLine="8"/>
        <w:spacing w:after="0" w:line="271" w:lineRule="auto"/>
        <w:tabs>
          <w:tab w:leader="none" w:pos="36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mean any employee or former employee of the Company or any Affiliate who holds an outstanding Award granted under the Plan.</w:t>
      </w:r>
    </w:p>
    <w:p>
      <w:pPr>
        <w:spacing w:after="0" w:line="49" w:lineRule="exact"/>
        <w:rPr>
          <w:rFonts w:ascii="Times New Roman" w:cs="Times New Roman" w:eastAsia="Times New Roman" w:hAnsi="Times New Roman"/>
          <w:sz w:val="22"/>
          <w:szCs w:val="22"/>
          <w:color w:val="auto"/>
        </w:rPr>
      </w:pPr>
    </w:p>
    <w:p>
      <w:pPr>
        <w:ind w:right="20" w:firstLine="8"/>
        <w:spacing w:after="0" w:line="248" w:lineRule="auto"/>
        <w:tabs>
          <w:tab w:leader="none" w:pos="30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Criteria” shall mean a goal or goals established by the Committee and measured over a period or periods selected by the Committee, such goal(s) to constitute a requirement that must be met in connection with the vesting, exercise and/or payment of an Award under the Plan as specified by the Committee. The performance criteria may, without limitation, be determined by reference to the performance of the Company, an Affiliate or a business unit, product, production, network or service thereof or any combination of the foregoing. Such criteria may also be measured on a per customer, subscriber, viewer (or available viewer), basic or diluted share basis or any combination of the foregoing and may reflect absolute performance, incremental performance or comparative performance to other companies (or their products or services) determined on a gross, net, GAAP or non-GAAP basis, with respect to one or more of the following in each case without limitation: (i) net or operating income or other measures of profit, including, without limitation adjusted operating income (AOI); (ii) measures of revenue; (iii) earnings before interest, taxes, depreciation and amortization (EBITDA); (iv) cash flow, free cash flow, adjusted operating cash flow (AOCF), unlevered free cash flow, cash flow from operations and similar measures; (v) return on equity, investment, assets or capital; (vi) gross or operating margins or savings; (vii) performance relative to budget, forecast or market expectations; (viii) market share or penetration, subscriber or customer acquisition or retention, ratings or viewership; (ix) operating metrics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50" w:name="page51"/>
    <w:bookmarkEnd w:id="50"/>
    <w:p>
      <w:pPr>
        <w:spacing w:after="0" w:line="256" w:lineRule="auto"/>
        <w:rPr>
          <w:sz w:val="20"/>
          <w:szCs w:val="20"/>
          <w:color w:val="auto"/>
        </w:rPr>
      </w:pPr>
      <w:r>
        <w:rPr>
          <w:rFonts w:ascii="Times New Roman" w:cs="Times New Roman" w:eastAsia="Times New Roman" w:hAnsi="Times New Roman"/>
          <w:sz w:val="22"/>
          <w:szCs w:val="22"/>
          <w:color w:val="auto"/>
        </w:rPr>
        <w:t>sales, subscriptions or customer service or satisfaction; (x) capital spending management or product or service deployments; (xi) achievement of strategic business objectives such as acquisitions, dispositions or investments; (xii) a specified increase in the fair market value of the Shares; (xiii) a specified increase in the private market value of the Company; (xiv) the Share price; (xv) earnings per share; and/or (xvi) total shareholder return.</w:t>
      </w:r>
    </w:p>
    <w:p>
      <w:pPr>
        <w:spacing w:after="0" w:line="68" w:lineRule="exact"/>
        <w:rPr>
          <w:sz w:val="20"/>
          <w:szCs w:val="20"/>
          <w:color w:val="auto"/>
        </w:rPr>
      </w:pPr>
    </w:p>
    <w:p>
      <w:pPr>
        <w:ind w:right="80" w:firstLine="8"/>
        <w:spacing w:after="0" w:line="271" w:lineRule="auto"/>
        <w:tabs>
          <w:tab w:leader="none" w:pos="30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shall mean this AMC Networks Inc. Amended and Restated 2016 Employee Stock Plan, as further amended, restated, or amended and restated from time to time.</w:t>
      </w:r>
    </w:p>
    <w:p>
      <w:pPr>
        <w:spacing w:after="0" w:line="49" w:lineRule="exact"/>
        <w:rPr>
          <w:rFonts w:ascii="Times New Roman" w:cs="Times New Roman" w:eastAsia="Times New Roman" w:hAnsi="Times New Roman"/>
          <w:sz w:val="22"/>
          <w:szCs w:val="22"/>
          <w:color w:val="auto"/>
        </w:rPr>
      </w:pPr>
    </w:p>
    <w:p>
      <w:pPr>
        <w:ind w:right="180" w:firstLine="8"/>
        <w:spacing w:after="0" w:line="271" w:lineRule="auto"/>
        <w:tabs>
          <w:tab w:leader="none" w:pos="30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Period” shall mean the period of time during which Restrictions shall apply to a Restricted Share, as determined by the Committee pursuant to Section 9 hereof.</w:t>
      </w:r>
    </w:p>
    <w:p>
      <w:pPr>
        <w:spacing w:after="0" w:line="63" w:lineRule="exact"/>
        <w:rPr>
          <w:rFonts w:ascii="Times New Roman" w:cs="Times New Roman" w:eastAsia="Times New Roman" w:hAnsi="Times New Roman"/>
          <w:sz w:val="22"/>
          <w:szCs w:val="22"/>
          <w:color w:val="auto"/>
        </w:rPr>
      </w:pPr>
    </w:p>
    <w:p>
      <w:pPr>
        <w:ind w:firstLine="8"/>
        <w:spacing w:after="0" w:line="271" w:lineRule="auto"/>
        <w:tabs>
          <w:tab w:leader="none" w:pos="30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Shares” shall mean the Shares awarded pursuant to Section 9 hereof that are subject to restrictions upon their sale, assignment, transfer, pledge or other disposal or encumbrance as determined by the Committee.</w:t>
      </w:r>
    </w:p>
    <w:p>
      <w:pPr>
        <w:spacing w:after="0" w:line="49" w:lineRule="exact"/>
        <w:rPr>
          <w:rFonts w:ascii="Times New Roman" w:cs="Times New Roman" w:eastAsia="Times New Roman" w:hAnsi="Times New Roman"/>
          <w:sz w:val="22"/>
          <w:szCs w:val="22"/>
          <w:color w:val="auto"/>
        </w:rPr>
      </w:pPr>
    </w:p>
    <w:p>
      <w:pPr>
        <w:ind w:right="60" w:firstLine="8"/>
        <w:spacing w:after="0" w:line="271" w:lineRule="auto"/>
        <w:tabs>
          <w:tab w:leader="none" w:pos="27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Stock Units” shall mean awards made pursuant to Section 10 hereof, each such unit representing an unfunded and unsecured promise to deliver a Share (or cash or other property equal in value to the Share).</w:t>
      </w:r>
    </w:p>
    <w:p>
      <w:pPr>
        <w:spacing w:after="0" w:line="49" w:lineRule="exact"/>
        <w:rPr>
          <w:rFonts w:ascii="Times New Roman" w:cs="Times New Roman" w:eastAsia="Times New Roman" w:hAnsi="Times New Roman"/>
          <w:sz w:val="22"/>
          <w:szCs w:val="22"/>
          <w:color w:val="auto"/>
        </w:rPr>
      </w:pPr>
    </w:p>
    <w:p>
      <w:pPr>
        <w:ind w:right="500" w:firstLine="8"/>
        <w:spacing w:after="0" w:line="295" w:lineRule="auto"/>
        <w:tabs>
          <w:tab w:leader="none" w:pos="282"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“Restrictions” shall mean the restrictions upon sale, assignment, transfer, pledge or other disposal or encumbrance on a Restricted Share as determined by the Committee in respect of an Award of a Restricted Share pursuant to Section 9 hereof.</w:t>
      </w:r>
    </w:p>
    <w:p>
      <w:pPr>
        <w:spacing w:after="0" w:line="40"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shall mean stock appreciation rights granted pursuant to Section 7 hereof.</w:t>
      </w:r>
    </w:p>
    <w:p>
      <w:pPr>
        <w:spacing w:after="0" w:line="11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shall mean a share of AMC Networks Inc. Class A Common Stock, par value $0.01 per share.</w:t>
      </w:r>
    </w:p>
    <w:p>
      <w:pPr>
        <w:spacing w:after="0" w:line="11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shall mean any “subsidiary corporation,” as defined in Section 424(f) of the Internal Revenue Code.</w:t>
      </w:r>
    </w:p>
    <w:p>
      <w:pPr>
        <w:spacing w:after="0" w:line="106" w:lineRule="exact"/>
        <w:rPr>
          <w:sz w:val="20"/>
          <w:szCs w:val="20"/>
          <w:color w:val="auto"/>
        </w:rPr>
      </w:pPr>
    </w:p>
    <w:p>
      <w:pPr>
        <w:ind w:right="80" w:firstLine="8"/>
        <w:spacing w:after="0" w:line="261" w:lineRule="auto"/>
        <w:tabs>
          <w:tab w:leader="none" w:pos="648"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Administration. </w:t>
      </w:r>
      <w:r>
        <w:rPr>
          <w:rFonts w:ascii="Times New Roman" w:cs="Times New Roman" w:eastAsia="Times New Roman" w:hAnsi="Times New Roman"/>
          <w:sz w:val="21"/>
          <w:szCs w:val="21"/>
          <w:color w:val="auto"/>
        </w:rPr>
        <w:t>(a) The Plan shall be administered by the Committee. Such members shall be appointed by, and shall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serve at the pleasure of, the Board of Directors. Except as otherwise determined by the Board of Directors, the members of the Committee shall be “non-employee directors” as defined in Rule 16b-3 of the Securities Exchange Act of 1934 (the “Exchange Act”); provided, however, that the failure of the Committee to be so comprised shall not cause any Award to be invalid. The Committee may delegate any of its powers under the Plan to a subcommittee of the Committee (which hereinafter shall also be referred to as the Committee). The Committee may also delegate (i) to any person who is not a member of the Committee or (ii) to any administrative group within the Company, any of its powers, responsibilities or duties, in each case, in accordance with applicable law. In delegating its authority, the Committee shall consider the extent to which any delegation may cause Awards to fail to meet the requirements of Rule 16(b)-3(d)(1) or Rule 16b-3(e) under the Exchange Act.</w:t>
      </w:r>
    </w:p>
    <w:p>
      <w:pPr>
        <w:spacing w:after="0" w:line="2" w:lineRule="exact"/>
        <w:rPr>
          <w:rFonts w:ascii="Times New Roman" w:cs="Times New Roman" w:eastAsia="Times New Roman" w:hAnsi="Times New Roman"/>
          <w:sz w:val="21"/>
          <w:szCs w:val="21"/>
          <w:color w:val="auto"/>
        </w:rPr>
      </w:pPr>
    </w:p>
    <w:p>
      <w:pPr>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The Committee shall have full authority, subject to the terms of the Plan (including Section 19), to (a) exercise all of the powers granted to it under the Plan, (b) construe, interpret and implement the Plan and all Awards and Award Agreements, (c) prescribe, amend and rescind rules and regulations relating to the Plan, including rules governing its own operations, (d) make all determinations necessary or advisable in administering the Plan, (e) correct any defect, supply any omission and reconcile any inconsistency in the Plan, (f) amend the Plan, (g) grant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22" w:right="379" w:bottom="1440" w:gutter="0" w:footer="0" w:header="0"/>
        </w:sectPr>
      </w:pPr>
    </w:p>
    <w:bookmarkStart w:id="51" w:name="page52"/>
    <w:bookmarkEnd w:id="51"/>
    <w:p>
      <w:pPr>
        <w:ind w:right="60"/>
        <w:spacing w:after="0" w:line="247" w:lineRule="auto"/>
        <w:rPr>
          <w:sz w:val="20"/>
          <w:szCs w:val="20"/>
          <w:color w:val="auto"/>
        </w:rPr>
      </w:pPr>
      <w:r>
        <w:rPr>
          <w:rFonts w:ascii="Times New Roman" w:cs="Times New Roman" w:eastAsia="Times New Roman" w:hAnsi="Times New Roman"/>
          <w:sz w:val="22"/>
          <w:szCs w:val="22"/>
          <w:color w:val="auto"/>
        </w:rPr>
        <w:t>and determine who shall receive Awards and the terms and conditions of such Awards, including, but not limited to, conditioning the exercise, vesting, payout or other term or condition of an Award on the achievement of Performance Criteria, (h) amend any outstanding Award in any respect, including, without limitation, to (1) accelerate the time or times at which the Award becomes vested or unrestricted or may be exercised or at which Shares are delivered under the Award (and, without limitation on the Committee’s rights, in connection with such acceleration, the Committee may provide that any Shares delivered pursuant to such Award shall be Restricted Shares, which are subject to vesting, transfer, forfeiture or repayment provisions similar to those in the Participant’s underlying Award) or (2) waive or amend any goals, restrictions, conditions or Performance Criteria applicable to such Award, or impose new goals or restrictions and (i) determine at any time whether, to what extent and under what circumstances and method or methods (1) Awards may be (A) settled in cash, Shares, other securities, other Awards or other property, (B) exercised or (C) canceled, forfeited or suspended or (2) Shares, other securities, cash, other Awards or other property and other amounts payable with respect to an Award may be deferred either automatically or at the election of the participant or of the Committee. The enumeration of the foregoing powers is not intended and should not be construed to limit in any way the authority of the Committee under the Plan which is intended, to the fullest extent permitted by law, to be plenary. The Plan, and all such rules, regulations, determinations and interpretations, shall be binding and conclusive upon the Company, its stockholders and all Participants, and upon their respective legal representatives, heirs, beneficiaries, successors and assigns and upon all other persons claiming under or through any of them.</w:t>
      </w:r>
    </w:p>
    <w:p>
      <w:pPr>
        <w:spacing w:after="0" w:line="87" w:lineRule="exact"/>
        <w:rPr>
          <w:sz w:val="20"/>
          <w:szCs w:val="20"/>
          <w:color w:val="auto"/>
        </w:rPr>
      </w:pPr>
    </w:p>
    <w:p>
      <w:pPr>
        <w:ind w:firstLine="8"/>
        <w:spacing w:after="0" w:line="247" w:lineRule="auto"/>
        <w:tabs>
          <w:tab w:leader="none" w:pos="29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Board of Directors or the Committee or any employee of the Company or any of its Affiliates (each such person a “Covered Person”) shall have any liability to any person (including, without limitation, any Participant) for any action taken or omitted to be taken or any determination made in good faith with respect to the Plan or any Award. Each Covered Person shall be indemnified and held harmless by the Company against and from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and against and from any and all amounts paid by such Covered Person, with the Company’s approval, in settlement thereof, or paid by such Covered Person in satisfaction of any judgment in any such action, suit or proceeding against such Covered Person; provided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criminal act or omission. The foregoing right of indemnification shall not be exclusive of any other rights of indemnification to which Covered Persons may be entitled under the Company’s Certificate of Incorporation or By-laws, as a matter of law, by agreement or otherwise, or any other power that the Company may have to indemnify such persons or hold them harmless.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22" w:right="359" w:bottom="1440" w:gutter="0" w:footer="0" w:header="0"/>
        </w:sectPr>
      </w:pPr>
    </w:p>
    <w:bookmarkStart w:id="52" w:name="page53"/>
    <w:bookmarkEnd w:id="52"/>
    <w:p>
      <w:pPr>
        <w:jc w:val="both"/>
        <w:ind w:left="-8" w:right="120" w:firstLine="8"/>
        <w:spacing w:after="0" w:line="269" w:lineRule="auto"/>
        <w:tabs>
          <w:tab w:leader="none" w:pos="694"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Participants. </w:t>
      </w:r>
      <w:r>
        <w:rPr>
          <w:rFonts w:ascii="Times New Roman" w:cs="Times New Roman" w:eastAsia="Times New Roman" w:hAnsi="Times New Roman"/>
          <w:sz w:val="21"/>
          <w:szCs w:val="21"/>
          <w:color w:val="auto"/>
        </w:rPr>
        <w:t>Except as hereinafter provided, all employees of the Company and its Affiliates shall be eligible to receive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Awards under the Plan, except that Options that are intended to qualify as incentive stock options within the meaning of Section</w:t>
      </w:r>
    </w:p>
    <w:p>
      <w:pPr>
        <w:spacing w:after="0" w:line="1" w:lineRule="exact"/>
        <w:rPr>
          <w:rFonts w:ascii="Times New Roman" w:cs="Times New Roman" w:eastAsia="Times New Roman" w:hAnsi="Times New Roman"/>
          <w:sz w:val="21"/>
          <w:szCs w:val="21"/>
          <w:color w:val="auto"/>
        </w:rPr>
      </w:pPr>
    </w:p>
    <w:p>
      <w:pPr>
        <w:ind w:left="-8" w:right="140" w:firstLine="8"/>
        <w:spacing w:after="0" w:line="285" w:lineRule="auto"/>
        <w:tabs>
          <w:tab w:leader="none" w:pos="37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Internal Revenue Code shall be granted only to employees of the Company or a Subsidiary. Nothing herein contained shall be construed to prevent the making of one or more Awards at the same or different times to the same employee.</w:t>
      </w:r>
    </w:p>
    <w:p>
      <w:pPr>
        <w:spacing w:after="0" w:line="30" w:lineRule="exact"/>
        <w:rPr>
          <w:rFonts w:ascii="Times New Roman" w:cs="Times New Roman" w:eastAsia="Times New Roman" w:hAnsi="Times New Roman"/>
          <w:sz w:val="21"/>
          <w:szCs w:val="21"/>
          <w:color w:val="auto"/>
        </w:rPr>
      </w:pPr>
    </w:p>
    <w:p>
      <w:pPr>
        <w:ind w:left="-8" w:firstLine="8"/>
        <w:spacing w:after="0" w:line="248" w:lineRule="auto"/>
        <w:tabs>
          <w:tab w:leader="none" w:pos="6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Share Limitations. </w:t>
      </w:r>
      <w:r>
        <w:rPr>
          <w:rFonts w:ascii="Times New Roman" w:cs="Times New Roman" w:eastAsia="Times New Roman" w:hAnsi="Times New Roman"/>
          <w:sz w:val="22"/>
          <w:szCs w:val="22"/>
          <w:color w:val="auto"/>
        </w:rPr>
        <w:t>(a) The Committee may make Awards under this Plan for up to an aggregate number of 7,636,017</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Shares, which may be either treasury Shares or authorized but unissued Shares. To the extent that (i) an Award shall be paid, settled or exchanged or shall expire, lapse, terminate or be cancelled for any reason, in whole or in part, without the issuance of Shares, (ii) any Shares under an Award are not issued because of payment or withholding obligations or (iii) Restricted Shares shall revert back to the Company prior to the lapse of the Restrictions or be applied by the Company for purposes of tax withholding obligations, then the Committee may also grant Awards with respect to such Shares or Restricted Shares. Awards payable only in cash or property other than Shares shall not reduce the aggregate remaining number of Shares with respect to which Awards may be made under the Plan and Shares relating to any other Awards that are settled in cash or property other than Shares, when settled, shall be added back to the aggregate remaining number of Shares with respect to which Awards may be made under the Plan. The maximum number of Shares that may be issued under the Plan shall be adjusted by the Committee as appropriate to account for the events provided for in Section 12 hereof. Any Shares with respect to which the Company becomes obligated to make Awards through the assumption of, or in substitution for, outstanding awards previously granted by an acquired entity, shall not count against the Shares available to be delivered pursuant to Awards under this Plan.</w:t>
      </w:r>
    </w:p>
    <w:p>
      <w:pPr>
        <w:spacing w:after="0" w:line="77" w:lineRule="exact"/>
        <w:rPr>
          <w:sz w:val="20"/>
          <w:szCs w:val="20"/>
          <w:color w:val="auto"/>
        </w:rPr>
      </w:pPr>
    </w:p>
    <w:p>
      <w:pPr>
        <w:ind w:left="-8" w:right="20" w:firstLine="8"/>
        <w:spacing w:after="0" w:line="253" w:lineRule="auto"/>
        <w:tabs>
          <w:tab w:leader="none" w:pos="29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any Participant be granted Awards during any one (1) calendar year for, or that relate to, an aggregate number of Shares exceeding 2,000,000. The maximum number of Shares underlying Awards that may be granted to an individual in any one (1) calendar year under the Plan shall be adjusted by the Committee as appropriate to account for the events provided for in Section 12 hereof. The total number of Shares underlying Awards of incentive stock options that may be granted under this Plan may not, subject to adjustment as provided in Section 12, exceed 5,122,851 Shares in the aggregate.</w:t>
      </w:r>
    </w:p>
    <w:p>
      <w:pPr>
        <w:spacing w:after="0" w:line="70" w:lineRule="exact"/>
        <w:rPr>
          <w:rFonts w:ascii="Times New Roman" w:cs="Times New Roman" w:eastAsia="Times New Roman" w:hAnsi="Times New Roman"/>
          <w:sz w:val="22"/>
          <w:szCs w:val="22"/>
          <w:color w:val="auto"/>
        </w:rPr>
      </w:pPr>
    </w:p>
    <w:p>
      <w:pPr>
        <w:ind w:left="-8" w:right="40" w:firstLine="8"/>
        <w:spacing w:after="0" w:line="251" w:lineRule="auto"/>
        <w:tabs>
          <w:tab w:leader="none" w:pos="28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Effective Date, the Company creates a new class of capital stock (a “new class”), then the Committee may grant Awards for shares of the new class. Each share of the new class granted pursuant to an Award shall count against the Share limitation in Section 5(a) as one Share (or such other number as equitably determined by the Committee). Effective as of the date on which any new class is created by an amendment to the Company’s Amended and Restated Certificate of Incorporation, “Share” shall mean a share of AMC Networks Inc. Class A Common Stock, par value $0.01 per share, or a share of such new class, as applicable.</w:t>
      </w:r>
    </w:p>
    <w:p>
      <w:pPr>
        <w:spacing w:after="0" w:line="67" w:lineRule="exact"/>
        <w:rPr>
          <w:sz w:val="20"/>
          <w:szCs w:val="20"/>
          <w:color w:val="auto"/>
        </w:rPr>
      </w:pPr>
    </w:p>
    <w:p>
      <w:pPr>
        <w:ind w:left="-8" w:right="120" w:firstLine="8"/>
        <w:spacing w:after="0" w:line="276" w:lineRule="auto"/>
        <w:tabs>
          <w:tab w:leader="none" w:pos="6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Options. </w:t>
      </w:r>
      <w:r>
        <w:rPr>
          <w:rFonts w:ascii="Times New Roman" w:cs="Times New Roman" w:eastAsia="Times New Roman" w:hAnsi="Times New Roman"/>
          <w:sz w:val="22"/>
          <w:szCs w:val="22"/>
          <w:color w:val="auto"/>
        </w:rPr>
        <w:t>Options granted under the Plan shall be either incentive stock options, within the meaning of Section 422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Internal Revenue Code, or non-qualified options, as determined by the Committee in its sole discretion.</w:t>
      </w:r>
    </w:p>
    <w:p>
      <w:pPr>
        <w:spacing w:after="0" w:line="53" w:lineRule="exact"/>
        <w:rPr>
          <w:sz w:val="20"/>
          <w:szCs w:val="20"/>
          <w:color w:val="auto"/>
        </w:rPr>
      </w:pPr>
    </w:p>
    <w:p>
      <w:pPr>
        <w:ind w:left="-8" w:right="60" w:firstLine="8"/>
        <w:spacing w:after="0" w:line="276" w:lineRule="auto"/>
        <w:tabs>
          <w:tab w:leader="none" w:pos="28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Terms and Conditions</w:t>
      </w:r>
      <w:r>
        <w:rPr>
          <w:rFonts w:ascii="Times New Roman" w:cs="Times New Roman" w:eastAsia="Times New Roman" w:hAnsi="Times New Roman"/>
          <w:sz w:val="22"/>
          <w:szCs w:val="22"/>
          <w:color w:val="auto"/>
        </w:rPr>
        <w:t>. The form, terms and conditions of each Option shall be determined by the Committee and shall be set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forth in an Award Agreement. Such terms and conditions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12"/>
          </w:cols>
          <w:pgMar w:left="328" w:top="1416" w:right="359" w:bottom="1440" w:gutter="0" w:footer="0" w:header="0"/>
        </w:sectPr>
      </w:pPr>
    </w:p>
    <w:bookmarkStart w:id="53" w:name="page54"/>
    <w:bookmarkEnd w:id="53"/>
    <w:p>
      <w:pPr>
        <w:spacing w:after="0" w:line="249" w:lineRule="auto"/>
        <w:rPr>
          <w:sz w:val="20"/>
          <w:szCs w:val="20"/>
          <w:color w:val="auto"/>
        </w:rPr>
      </w:pPr>
      <w:r>
        <w:rPr>
          <w:rFonts w:ascii="Times New Roman" w:cs="Times New Roman" w:eastAsia="Times New Roman" w:hAnsi="Times New Roman"/>
          <w:sz w:val="22"/>
          <w:szCs w:val="22"/>
          <w:color w:val="auto"/>
        </w:rPr>
        <w:t>include, without limitation, provisions relating to the vesting and exercisability of such Options as well as the conditions or circumstances upon which such Options may be accelerated, extended, forfeited or otherwise modified. The Committee may, in its sole discretion, establish one or more conditions to the vesting or exercise of an Option including, without limitation, conditions the satisfaction of which are measured by Performance Criteria; provided that, if such Option is designated as an incentive stock option, then such condition or conditions shall not be inconsistent with Section 422 of the Internal Revenue Code. Unless the Award Agreement specifies that the Option is an incentive stock option, it shall be a non-qualified stock option. All or any part of any Options granted to any Participant may be made exercisable upon the occurrence of such special circumstances or events as determined in the sole discretion of the Committee.</w:t>
      </w:r>
    </w:p>
    <w:p>
      <w:pPr>
        <w:spacing w:after="0" w:line="81" w:lineRule="exact"/>
        <w:rPr>
          <w:sz w:val="20"/>
          <w:szCs w:val="20"/>
          <w:color w:val="auto"/>
        </w:rPr>
      </w:pPr>
    </w:p>
    <w:p>
      <w:pPr>
        <w:ind w:right="140" w:firstLine="8"/>
        <w:spacing w:after="0" w:line="254" w:lineRule="auto"/>
        <w:tabs>
          <w:tab w:leader="none" w:pos="30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Exercise Price for Options</w:t>
      </w:r>
      <w:r>
        <w:rPr>
          <w:rFonts w:ascii="Times New Roman" w:cs="Times New Roman" w:eastAsia="Times New Roman" w:hAnsi="Times New Roman"/>
          <w:sz w:val="22"/>
          <w:szCs w:val="22"/>
          <w:color w:val="auto"/>
        </w:rPr>
        <w:t>. The exercise price per Share of the Shares to be purchased pursuant to any Option shall be fixed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by the Committee at the time an Option is granted, but in no event shall it be less than the Fair Market Value of a Share on the day on which the Option is granted. Such exercise price shall thereafter be subject to adjustment as required by the Award Agreement relating to each Option or Section 12 hereof.</w:t>
      </w:r>
    </w:p>
    <w:p>
      <w:pPr>
        <w:spacing w:after="0" w:line="63" w:lineRule="exact"/>
        <w:rPr>
          <w:rFonts w:ascii="Times New Roman" w:cs="Times New Roman" w:eastAsia="Times New Roman" w:hAnsi="Times New Roman"/>
          <w:sz w:val="22"/>
          <w:szCs w:val="22"/>
          <w:color w:val="auto"/>
        </w:rPr>
      </w:pPr>
    </w:p>
    <w:p>
      <w:pPr>
        <w:ind w:right="20" w:firstLine="8"/>
        <w:spacing w:after="0" w:line="254" w:lineRule="auto"/>
        <w:tabs>
          <w:tab w:leader="none" w:pos="29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Duration of Options</w:t>
      </w:r>
      <w:r>
        <w:rPr>
          <w:rFonts w:ascii="Times New Roman" w:cs="Times New Roman" w:eastAsia="Times New Roman" w:hAnsi="Times New Roman"/>
          <w:sz w:val="22"/>
          <w:szCs w:val="22"/>
          <w:color w:val="auto"/>
        </w:rPr>
        <w:t>. The duration of any Option granted under this Plan shall be for a period fixed by the Committee but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shall, except as described in the next sentence, in no event be more than ten (10) years. Notwithstanding the foregoing, an Award Agreement may provide that, in the event the Participant dies while the Option is outstanding, the Option will remain outstanding until the first anniversary of the Participant’s date of death, and whether or not such first anniversary occurs prior to or following the expiration of ten (10) years from the date the Option was granted.</w:t>
      </w:r>
    </w:p>
    <w:p>
      <w:pPr>
        <w:spacing w:after="0" w:line="65" w:lineRule="exact"/>
        <w:rPr>
          <w:rFonts w:ascii="Times New Roman" w:cs="Times New Roman" w:eastAsia="Times New Roman" w:hAnsi="Times New Roman"/>
          <w:sz w:val="22"/>
          <w:szCs w:val="22"/>
          <w:color w:val="auto"/>
        </w:rPr>
      </w:pPr>
    </w:p>
    <w:p>
      <w:pPr>
        <w:ind w:firstLine="8"/>
        <w:spacing w:after="0" w:line="266" w:lineRule="auto"/>
        <w:tabs>
          <w:tab w:leader="none" w:pos="30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Incentive Stock Options Granted to Ten Percent Stockholders</w:t>
      </w:r>
      <w:r>
        <w:rPr>
          <w:rFonts w:ascii="Times New Roman" w:cs="Times New Roman" w:eastAsia="Times New Roman" w:hAnsi="Times New Roman"/>
          <w:sz w:val="21"/>
          <w:szCs w:val="21"/>
          <w:color w:val="auto"/>
        </w:rPr>
        <w:t>. To the extent required by Section 422 of the Internal Revenue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Code, no Option which is intended to qualify as an incentive stock option shall be granted under this Plan to any employee who, at the time the Option is granted, owns, or is considered owning, within the meaning of Section 422 of the Internal Revenue Code, shares possessing more than ten percent (10%) of the total combined voting power or value of all classes of stock of the Company or any Subsidiary, unless the exercise price under such Option is at least one hundred and ten percent (110%) of the Fair Market Value of a Share on the date such Option is granted and the duration of such option is no more than five (5) years.</w:t>
      </w:r>
    </w:p>
    <w:p>
      <w:pPr>
        <w:spacing w:after="0" w:line="54" w:lineRule="exact"/>
        <w:rPr>
          <w:rFonts w:ascii="Times New Roman" w:cs="Times New Roman" w:eastAsia="Times New Roman" w:hAnsi="Times New Roman"/>
          <w:sz w:val="21"/>
          <w:szCs w:val="21"/>
          <w:color w:val="auto"/>
        </w:rPr>
      </w:pPr>
    </w:p>
    <w:p>
      <w:pPr>
        <w:ind w:right="60" w:firstLine="8"/>
        <w:spacing w:after="0" w:line="269" w:lineRule="auto"/>
        <w:tabs>
          <w:tab w:leader="none" w:pos="29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Initial Exercisability Limitation</w:t>
      </w:r>
      <w:r>
        <w:rPr>
          <w:rFonts w:ascii="Times New Roman" w:cs="Times New Roman" w:eastAsia="Times New Roman" w:hAnsi="Times New Roman"/>
          <w:sz w:val="21"/>
          <w:szCs w:val="21"/>
          <w:color w:val="auto"/>
        </w:rPr>
        <w:t>. The aggregate Fair Market Value (determined at the time that an Option is granted)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Shares with respect to incentive stock options granted in any calendar year under all stock option plans of the Company or any corporation which (at the time of the granting of such incentive stock option) was a parent or Subsidiary of the Company, or of any predecessor corporation of any such corporation, which are exercisable for the first time by a Participant during any calendar year shall not exceed $100,000, or, if different, the maximum allowed under Section 422 of the Internal Revenue Code.</w:t>
      </w:r>
    </w:p>
    <w:p>
      <w:pPr>
        <w:spacing w:after="0" w:line="50" w:lineRule="exact"/>
        <w:rPr>
          <w:rFonts w:ascii="Times New Roman" w:cs="Times New Roman" w:eastAsia="Times New Roman" w:hAnsi="Times New Roman"/>
          <w:sz w:val="21"/>
          <w:szCs w:val="21"/>
          <w:color w:val="auto"/>
        </w:rPr>
      </w:pPr>
    </w:p>
    <w:p>
      <w:pPr>
        <w:jc w:val="both"/>
        <w:ind w:right="20" w:firstLine="8"/>
        <w:spacing w:after="0" w:line="284" w:lineRule="auto"/>
        <w:tabs>
          <w:tab w:leader="none" w:pos="27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Settlement of an Option</w:t>
      </w:r>
      <w:r>
        <w:rPr>
          <w:rFonts w:ascii="Times New Roman" w:cs="Times New Roman" w:eastAsia="Times New Roman" w:hAnsi="Times New Roman"/>
          <w:sz w:val="21"/>
          <w:szCs w:val="21"/>
          <w:color w:val="auto"/>
        </w:rPr>
        <w:t>. When an Option is exercised pursuant to Section 8 hereof, the Committee, in its sole discretion, may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elect, in lieu of issuing Shares pursuant to the terms of the Option, to settle the Option by paying the Participant an amount equal to the product obtained by multiplying (i) the excess of the Fair Market Value of one Share on the date the Option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22" w:right="359" w:bottom="1440" w:gutter="0" w:footer="0" w:header="0"/>
        </w:sectPr>
      </w:pPr>
    </w:p>
    <w:bookmarkStart w:id="54" w:name="page55"/>
    <w:bookmarkEnd w:id="54"/>
    <w:p>
      <w:pPr>
        <w:ind w:right="80"/>
        <w:spacing w:after="0" w:line="256" w:lineRule="auto"/>
        <w:rPr>
          <w:sz w:val="20"/>
          <w:szCs w:val="20"/>
          <w:color w:val="auto"/>
        </w:rPr>
      </w:pPr>
      <w:r>
        <w:rPr>
          <w:rFonts w:ascii="Times New Roman" w:cs="Times New Roman" w:eastAsia="Times New Roman" w:hAnsi="Times New Roman"/>
          <w:sz w:val="22"/>
          <w:szCs w:val="22"/>
          <w:color w:val="auto"/>
        </w:rPr>
        <w:t>exercised over the exercise price of the Option (the “Option Spread”) by (ii) the number of Shares with respect to which the Option is exercised. The amount payable to the Participant in these circumstances shall be paid by the Company either in cash or in Shares having a Fair Market Value equal to the Option Spread, or a combination thereof, as the Committee shall determine at the time the Option is exercised or at the time the Option is granted.</w:t>
      </w:r>
    </w:p>
    <w:p>
      <w:pPr>
        <w:spacing w:after="0" w:line="62" w:lineRule="exact"/>
        <w:rPr>
          <w:sz w:val="20"/>
          <w:szCs w:val="20"/>
          <w:color w:val="auto"/>
        </w:rPr>
      </w:pPr>
    </w:p>
    <w:p>
      <w:pPr>
        <w:ind w:right="800" w:firstLine="8"/>
        <w:spacing w:after="0" w:line="276" w:lineRule="auto"/>
        <w:tabs>
          <w:tab w:leader="none" w:pos="6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Rights</w:t>
      </w:r>
      <w:r>
        <w:rPr>
          <w:rFonts w:ascii="Times New Roman" w:cs="Times New Roman" w:eastAsia="Times New Roman" w:hAnsi="Times New Roman"/>
          <w:sz w:val="22"/>
          <w:szCs w:val="22"/>
          <w:color w:val="auto"/>
        </w:rPr>
        <w:t>. The Committee may grant to employees the right to receive such number of Rights, as determined by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Committee in its sole discretion.</w:t>
      </w:r>
    </w:p>
    <w:p>
      <w:pPr>
        <w:spacing w:after="0" w:line="39" w:lineRule="exact"/>
        <w:rPr>
          <w:sz w:val="20"/>
          <w:szCs w:val="20"/>
          <w:color w:val="auto"/>
        </w:rPr>
      </w:pPr>
    </w:p>
    <w:p>
      <w:pPr>
        <w:ind w:right="140" w:firstLine="8"/>
        <w:spacing w:after="0" w:line="264" w:lineRule="auto"/>
        <w:tabs>
          <w:tab w:leader="none" w:pos="294"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Terms and Conditions</w:t>
      </w:r>
      <w:r>
        <w:rPr>
          <w:rFonts w:ascii="Times New Roman" w:cs="Times New Roman" w:eastAsia="Times New Roman" w:hAnsi="Times New Roman"/>
          <w:sz w:val="21"/>
          <w:szCs w:val="21"/>
          <w:color w:val="auto"/>
        </w:rPr>
        <w:t>. The form, terms and conditions of each Right shall be determined by the Committee and shall be set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forth in an Award Agreement. Such terms and conditions may include, without limitation, provisions relating to the vesting and exercisability of such Rights as well as the conditions or circumstances upon which such Rights may be accelerated, extended, forfeited or otherwise modified. The Committee may, in its sole discretion, establish one or more conditions to the vesting or exercise of a Right including, without limitation, conditions the satisfaction of which are measured by Performance Criteria. All or any part of any outstanding Rights granted to any Participant may be made exercisable upon the occurrence of such special circumstances or events as determined in the sole discretion of the Committee.</w:t>
      </w:r>
    </w:p>
    <w:p>
      <w:pPr>
        <w:spacing w:after="0" w:line="57" w:lineRule="exact"/>
        <w:rPr>
          <w:rFonts w:ascii="Times New Roman" w:cs="Times New Roman" w:eastAsia="Times New Roman" w:hAnsi="Times New Roman"/>
          <w:sz w:val="21"/>
          <w:szCs w:val="21"/>
          <w:color w:val="auto"/>
        </w:rPr>
      </w:pPr>
    </w:p>
    <w:p>
      <w:pPr>
        <w:ind w:firstLine="8"/>
        <w:spacing w:after="0" w:line="266" w:lineRule="auto"/>
        <w:tabs>
          <w:tab w:leader="none" w:pos="30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Exercise Price for Rights</w:t>
      </w:r>
      <w:r>
        <w:rPr>
          <w:rFonts w:ascii="Times New Roman" w:cs="Times New Roman" w:eastAsia="Times New Roman" w:hAnsi="Times New Roman"/>
          <w:sz w:val="22"/>
          <w:szCs w:val="22"/>
          <w:color w:val="auto"/>
        </w:rPr>
        <w:t>. The exercise price of each Right shall be fixed by the Committee at the time a Right is granted, but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no event shall it be less than the Fair Market Value of a Share on the day on which the Right is granted. Such exercise price shall thereafter be subject to adjustment as required by the Award Agreement relating to each Right or Section 12 hereof.</w:t>
      </w:r>
    </w:p>
    <w:p>
      <w:pPr>
        <w:spacing w:after="0" w:line="49" w:lineRule="exact"/>
        <w:rPr>
          <w:rFonts w:ascii="Times New Roman" w:cs="Times New Roman" w:eastAsia="Times New Roman" w:hAnsi="Times New Roman"/>
          <w:sz w:val="22"/>
          <w:szCs w:val="22"/>
          <w:color w:val="auto"/>
        </w:rPr>
      </w:pPr>
    </w:p>
    <w:p>
      <w:pPr>
        <w:ind w:right="100" w:firstLine="8"/>
        <w:spacing w:after="0" w:line="254" w:lineRule="auto"/>
        <w:tabs>
          <w:tab w:leader="none" w:pos="29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Duration of Rights</w:t>
      </w:r>
      <w:r>
        <w:rPr>
          <w:rFonts w:ascii="Times New Roman" w:cs="Times New Roman" w:eastAsia="Times New Roman" w:hAnsi="Times New Roman"/>
          <w:sz w:val="22"/>
          <w:szCs w:val="22"/>
          <w:color w:val="auto"/>
        </w:rPr>
        <w:t>. The duration of any Right granted under this Plan shall be for a period fixed by the Committee but shall,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except as described in the next sentence, in no event be more than ten (10) years. Notwithstanding the foregoing, an Award Agreement may provide that, in the event the Participant dies while the Right is outstanding, the Right will remain outstanding until the first anniversary of the Participant’s date of death, and whether or not such first anniversary occurs prior to or following the expiration of ten (10) years from the date the Right was granted.</w:t>
      </w:r>
    </w:p>
    <w:p>
      <w:pPr>
        <w:spacing w:after="0" w:line="65" w:lineRule="exact"/>
        <w:rPr>
          <w:rFonts w:ascii="Times New Roman" w:cs="Times New Roman" w:eastAsia="Times New Roman" w:hAnsi="Times New Roman"/>
          <w:sz w:val="22"/>
          <w:szCs w:val="22"/>
          <w:color w:val="auto"/>
        </w:rPr>
      </w:pPr>
    </w:p>
    <w:p>
      <w:pPr>
        <w:ind w:right="20" w:firstLine="8"/>
        <w:spacing w:after="0" w:line="254" w:lineRule="auto"/>
        <w:tabs>
          <w:tab w:leader="none" w:pos="30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Settlement of Rights</w:t>
      </w:r>
      <w:r>
        <w:rPr>
          <w:rFonts w:ascii="Times New Roman" w:cs="Times New Roman" w:eastAsia="Times New Roman" w:hAnsi="Times New Roman"/>
          <w:sz w:val="22"/>
          <w:szCs w:val="22"/>
          <w:color w:val="auto"/>
        </w:rPr>
        <w:t>. Upon the exercise of any Rights, the Participant shall be entitled to receive from the Company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amount equal to the product obtained by multiplying (i) the excess of the Fair Market Value of one Share on the date the Rights are exercised over the exercise price of the related Right by (ii) the number of Shares to which such Rights are related. Such amount shall be paid in cash, in Shares having a Fair Market Value equal to such amount, or a combination of cash and Shares, as the Committee shall determine at the time the Right is exercised or at the time the Right is granted.</w:t>
      </w:r>
    </w:p>
    <w:p>
      <w:pPr>
        <w:spacing w:after="0" w:line="65" w:lineRule="exact"/>
        <w:rPr>
          <w:sz w:val="20"/>
          <w:szCs w:val="20"/>
          <w:color w:val="auto"/>
        </w:rPr>
      </w:pPr>
    </w:p>
    <w:p>
      <w:pPr>
        <w:ind w:right="60" w:firstLine="8"/>
        <w:spacing w:after="0" w:line="251" w:lineRule="auto"/>
        <w:tabs>
          <w:tab w:leader="none" w:pos="64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Exercise of Options and Rights</w:t>
      </w:r>
      <w:r>
        <w:rPr>
          <w:rFonts w:ascii="Times New Roman" w:cs="Times New Roman" w:eastAsia="Times New Roman" w:hAnsi="Times New Roman"/>
          <w:sz w:val="22"/>
          <w:szCs w:val="22"/>
          <w:color w:val="auto"/>
        </w:rPr>
        <w:t>. (a) An Option or Right shall be exercised by the delivery to any person who has been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designated by the Company for the purpose of receiving the same, of a written notice duly signed by the Participant (or the representative of the estate or the heirs of a deceased Participant) to such effect (or electronic notice in a manner, if any, previously approved by the Company). Unless the Company chooses to settle an Option in cash, Shares or a combination thereof pursuant to Section 6(f) hereof, the Participant shall be required to deliver to the Company, within five (5) days of the delivery of the notice described above, either cash, a check payable to the order of the Company, Shares duly endorsed over to the Company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22" w:right="359" w:bottom="1440" w:gutter="0" w:footer="0" w:header="0"/>
        </w:sectPr>
      </w:pPr>
    </w:p>
    <w:bookmarkStart w:id="55" w:name="page56"/>
    <w:bookmarkEnd w:id="55"/>
    <w:p>
      <w:pPr>
        <w:ind w:right="140"/>
        <w:spacing w:after="0" w:line="253" w:lineRule="auto"/>
        <w:rPr>
          <w:sz w:val="20"/>
          <w:szCs w:val="20"/>
          <w:color w:val="auto"/>
        </w:rPr>
      </w:pPr>
      <w:r>
        <w:rPr>
          <w:rFonts w:ascii="Times New Roman" w:cs="Times New Roman" w:eastAsia="Times New Roman" w:hAnsi="Times New Roman"/>
          <w:sz w:val="22"/>
          <w:szCs w:val="22"/>
          <w:color w:val="auto"/>
        </w:rPr>
        <w:t>Shares shall be valued at their Fair Market Value as of the date preceding the day of such exercise) or any combination of such methods of payment, which together amount to the full exercise price of the Shares purchased pursuant to the exercise of the Option. Notwithstanding the preceding sentence, the Company may establish an electronic exercise program with a broker and the Company and the Participant may agree upon any other reasonable manner of providing for payment of the exercise price of the Option.</w:t>
      </w:r>
    </w:p>
    <w:p>
      <w:pPr>
        <w:spacing w:after="0" w:line="71" w:lineRule="exact"/>
        <w:rPr>
          <w:sz w:val="20"/>
          <w:szCs w:val="20"/>
          <w:color w:val="auto"/>
        </w:rPr>
      </w:pPr>
    </w:p>
    <w:p>
      <w:pPr>
        <w:ind w:firstLine="8"/>
        <w:spacing w:after="0" w:line="251" w:lineRule="auto"/>
        <w:tabs>
          <w:tab w:leader="none" w:pos="30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the Committee chooses to settle any Option or Right in cash pursuant to Section 6(f) or 7(d) hereof, within a reasonable time after exercise of an Option or Right the Company shall either issue to the Participant a certificate representing the Shares purchased pursuant to the exercise of the Option or Right or credit the number of such Shares to a book-entry account. To the extent the Committee chooses to settle any Option or Right in cash pursuant to Section 6(f) or 7(d), within a reasonable time after exercise of an Option or Right the Company shall cause to be delivered to the person entitled thereto a payment for the amount payable pursuant to the exercise of the Option or Right.</w:t>
      </w:r>
    </w:p>
    <w:p>
      <w:pPr>
        <w:spacing w:after="0" w:line="67" w:lineRule="exact"/>
        <w:rPr>
          <w:sz w:val="20"/>
          <w:szCs w:val="20"/>
          <w:color w:val="auto"/>
        </w:rPr>
      </w:pPr>
    </w:p>
    <w:p>
      <w:pPr>
        <w:ind w:right="500" w:firstLine="8"/>
        <w:spacing w:after="0" w:line="276" w:lineRule="auto"/>
        <w:tabs>
          <w:tab w:leader="none" w:pos="64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Restricted Shares</w:t>
      </w:r>
      <w:r>
        <w:rPr>
          <w:rFonts w:ascii="Times New Roman" w:cs="Times New Roman" w:eastAsia="Times New Roman" w:hAnsi="Times New Roman"/>
          <w:sz w:val="22"/>
          <w:szCs w:val="22"/>
          <w:color w:val="auto"/>
        </w:rPr>
        <w:t>. The Committee may grant to employees the right to receive such number of Restricted Shares,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determined by the Committee in its sole discretion.</w:t>
      </w:r>
    </w:p>
    <w:p>
      <w:pPr>
        <w:spacing w:after="0" w:line="39" w:lineRule="exact"/>
        <w:rPr>
          <w:sz w:val="20"/>
          <w:szCs w:val="20"/>
          <w:color w:val="auto"/>
        </w:rPr>
      </w:pPr>
    </w:p>
    <w:p>
      <w:pPr>
        <w:ind w:right="180" w:firstLine="8"/>
        <w:spacing w:after="0" w:line="252" w:lineRule="auto"/>
        <w:tabs>
          <w:tab w:leader="none" w:pos="29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Issuance; Terms and Conditions</w:t>
      </w:r>
      <w:r>
        <w:rPr>
          <w:rFonts w:ascii="Times New Roman" w:cs="Times New Roman" w:eastAsia="Times New Roman" w:hAnsi="Times New Roman"/>
          <w:sz w:val="22"/>
          <w:szCs w:val="22"/>
          <w:color w:val="auto"/>
        </w:rPr>
        <w:t>. The form, terms and conditions of each Restricted Share shall be determined by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Committee and shall be set forth in an Award Agreement. Such terms and conditions may include, without limitation, the Restrictions upon such Restricted Shares, the dates as of which Restrictions upon such Restricted Shares will cease, and the conditions or circumstances upon which such Restricted Shares will be forfeited or otherwise modified. The Committee may, in its sole discretion, establish one or more Restrictions to the vesting of a Restricted Share that relate to the satisfaction of Performance Criteria.</w:t>
      </w:r>
    </w:p>
    <w:p>
      <w:pPr>
        <w:spacing w:after="0" w:line="80"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Payment of Par Value</w:t>
      </w:r>
      <w:r>
        <w:rPr>
          <w:rFonts w:ascii="Times New Roman" w:cs="Times New Roman" w:eastAsia="Times New Roman" w:hAnsi="Times New Roman"/>
          <w:sz w:val="22"/>
          <w:szCs w:val="22"/>
          <w:color w:val="auto"/>
        </w:rPr>
        <w:t>. To the extent a Participant is required by law to pay to the Company the par value of a Restricted</w:t>
      </w:r>
    </w:p>
    <w:p>
      <w:pPr>
        <w:spacing w:after="0" w:line="33" w:lineRule="exact"/>
        <w:rPr>
          <w:rFonts w:ascii="Times New Roman" w:cs="Times New Roman" w:eastAsia="Times New Roman" w:hAnsi="Times New Roman"/>
          <w:sz w:val="22"/>
          <w:szCs w:val="22"/>
          <w:color w:val="auto"/>
        </w:rPr>
      </w:pPr>
    </w:p>
    <w:p>
      <w:pPr>
        <w:ind w:right="10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Share, such Participant shall have forty-five (45) business days from the date of such grant to pay to the Company, in cash or by check, an amount equal to the par value of a Share multiplied by the number of Shares or Restricted Shares which have been granted to the employee by the Committee. In such instances, if the Participant fails to make payment to the Company for such Shares or Restricted Shares within forty-five (45) business days of the grant thereof, the Company shall withhold, or shall cause to be withheld, the amount of such payment from compensation otherwise due the employee from the Company or any Affiliate. Unless the Committee determines otherwise, a Participant’s prior service with the Company or any of its Affiliates shall be deemed sufficient consideration for such Restricted Shares and no payment therefore (including, without limitation, for the par value of the Restricted Shares) shall be due from the Participant. Subject to the provisions of Section 15 hereof, the Committee, in its sole discretion, shall either issue to the employee a certificate representing such Restricted Shares or credit the number of such Restricted Shares to a book-entry account upon the payment due, if any, pursuant to this paragraph.</w:t>
      </w:r>
    </w:p>
    <w:p>
      <w:pPr>
        <w:spacing w:after="0" w:line="74" w:lineRule="exact"/>
        <w:rPr>
          <w:rFonts w:ascii="Times New Roman" w:cs="Times New Roman" w:eastAsia="Times New Roman" w:hAnsi="Times New Roman"/>
          <w:sz w:val="22"/>
          <w:szCs w:val="22"/>
          <w:color w:val="auto"/>
        </w:rPr>
      </w:pPr>
    </w:p>
    <w:p>
      <w:pPr>
        <w:ind w:right="60" w:firstLine="8"/>
        <w:spacing w:after="0" w:line="260" w:lineRule="auto"/>
        <w:tabs>
          <w:tab w:leader="none" w:pos="29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Restriction on Shares</w:t>
      </w:r>
      <w:r>
        <w:rPr>
          <w:rFonts w:ascii="Times New Roman" w:cs="Times New Roman" w:eastAsia="Times New Roman" w:hAnsi="Times New Roman"/>
          <w:sz w:val="22"/>
          <w:szCs w:val="22"/>
          <w:color w:val="auto"/>
        </w:rPr>
        <w:t>. In no event shall a Restricted Share be sold, assigned, transferred, pledged or otherwise disposed of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encumbered until the expiration of the Restricted Period which relates to such Restricted Share. All or any part of any outstanding Restricted Shares granted to any Participant may be vested in full and the Restrictions thereon shall lapse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22"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occurrence of such special circumstances or events as determined in the sole discretion of the Committee.</w:t>
      </w:r>
    </w:p>
    <w:p>
      <w:pPr>
        <w:spacing w:after="0" w:line="106" w:lineRule="exact"/>
        <w:rPr>
          <w:sz w:val="20"/>
          <w:szCs w:val="20"/>
          <w:color w:val="auto"/>
        </w:rPr>
      </w:pPr>
    </w:p>
    <w:p>
      <w:pPr>
        <w:ind w:right="160" w:firstLine="8"/>
        <w:spacing w:after="0" w:line="251" w:lineRule="auto"/>
        <w:tabs>
          <w:tab w:leader="none" w:pos="30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Forfeiture of Restricted Shares</w:t>
      </w:r>
      <w:r>
        <w:rPr>
          <w:rFonts w:ascii="Times New Roman" w:cs="Times New Roman" w:eastAsia="Times New Roman" w:hAnsi="Times New Roman"/>
          <w:sz w:val="22"/>
          <w:szCs w:val="22"/>
          <w:color w:val="auto"/>
        </w:rPr>
        <w:t>. If Restricted Shares are forfeited pursuant to the terms of the Plan or an Award Agreement,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such Restricted Shares shall revert back and belong to the Company. In the event that any Restricted Shares should be forfeited by the Participant, revert back and belong to the Company, any stock certificate or certificates representing such Restricted Shares shall be cancelled and the Restricted Shares shall be returned to the treasury of the Company. Upon the reversion of such Restricted Shares, the Company shall repay to the employee or (in the case of death) to the representative of the employee’s estate, the full cash amount paid, if any, to the Company by the employee for such Restricted Shares pursuant to Section 9(b) hereof.</w:t>
      </w:r>
    </w:p>
    <w:p>
      <w:pPr>
        <w:spacing w:after="0" w:line="78" w:lineRule="exact"/>
        <w:rPr>
          <w:rFonts w:ascii="Times New Roman" w:cs="Times New Roman" w:eastAsia="Times New Roman" w:hAnsi="Times New Roman"/>
          <w:sz w:val="22"/>
          <w:szCs w:val="22"/>
          <w:color w:val="auto"/>
        </w:rPr>
      </w:pPr>
    </w:p>
    <w:p>
      <w:pPr>
        <w:ind w:right="80" w:firstLine="8"/>
        <w:spacing w:after="0" w:line="251" w:lineRule="auto"/>
        <w:tabs>
          <w:tab w:leader="none" w:pos="29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Right to Vote and Receive Dividends on Restricted Shares</w:t>
      </w:r>
      <w:r>
        <w:rPr>
          <w:rFonts w:ascii="Times New Roman" w:cs="Times New Roman" w:eastAsia="Times New Roman" w:hAnsi="Times New Roman"/>
          <w:sz w:val="22"/>
          <w:szCs w:val="22"/>
          <w:color w:val="auto"/>
        </w:rPr>
        <w:t>. Each Participant shall, during the Restricted Period, be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beneficial and record owner of such Restricted Shares and shall have full voting rights with respect thereto. Unless the Committee determines otherwise, during the Restricted Period, all ordinary cash dividends (as determined by the Committee in its sole discretion) paid upon any Restricted Share shall be retained by the Company for the account of the relevant Participant. Such dividends shall revert back to the Company if for any reason the Restricted Share upon which such dividends were paid reverts back to the Company. Upon the expiration of the Restricted Period, all such dividends made on such Restricted Share and retained by the Company will be paid to the relevant Participant.</w:t>
      </w:r>
    </w:p>
    <w:p>
      <w:pPr>
        <w:spacing w:after="0" w:line="65" w:lineRule="exact"/>
        <w:rPr>
          <w:sz w:val="20"/>
          <w:szCs w:val="20"/>
          <w:color w:val="auto"/>
        </w:rPr>
      </w:pPr>
    </w:p>
    <w:p>
      <w:pPr>
        <w:ind w:right="60" w:firstLine="8"/>
        <w:spacing w:after="0" w:line="276" w:lineRule="auto"/>
        <w:tabs>
          <w:tab w:leader="none" w:pos="70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Restricted Stock Units</w:t>
      </w:r>
      <w:r>
        <w:rPr>
          <w:rFonts w:ascii="Times New Roman" w:cs="Times New Roman" w:eastAsia="Times New Roman" w:hAnsi="Times New Roman"/>
          <w:sz w:val="22"/>
          <w:szCs w:val="22"/>
          <w:color w:val="auto"/>
        </w:rPr>
        <w:t>. The Committee may grant employees such number of Restricted Stock Units as it may determine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 its sole discretion.</w:t>
      </w:r>
    </w:p>
    <w:p>
      <w:pPr>
        <w:spacing w:after="0" w:line="39" w:lineRule="exact"/>
        <w:rPr>
          <w:sz w:val="20"/>
          <w:szCs w:val="20"/>
          <w:color w:val="auto"/>
        </w:rPr>
      </w:pPr>
    </w:p>
    <w:p>
      <w:pPr>
        <w:ind w:right="120" w:firstLine="8"/>
        <w:spacing w:after="0" w:line="251" w:lineRule="auto"/>
        <w:tabs>
          <w:tab w:leader="none" w:pos="29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Terms and Conditions</w:t>
      </w:r>
      <w:r>
        <w:rPr>
          <w:rFonts w:ascii="Times New Roman" w:cs="Times New Roman" w:eastAsia="Times New Roman" w:hAnsi="Times New Roman"/>
          <w:sz w:val="22"/>
          <w:szCs w:val="22"/>
          <w:color w:val="auto"/>
        </w:rPr>
        <w:t>. The form, terms and conditions of each Restricted Stock Unit shall be determined by the Committee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shall be set forth in an Award Agreement. Such terms and conditions may include, without limitation, the conditions or circumstances upon which such Restricted Stock Unit will be paid, forfeited or otherwise modified, and the date or dates upon which any Shares, cash or other property shall be delivered to the Participant in respect of the Restricted Stock Units. The Committee may, in its sole discretion, establish one or more conditions to the vesting of a Restricted Stock Unit including, without limitation, conditions the satisfaction of which are measured by Performance Criteria. All or any part of any outstanding Restricted Stock Unit granted to any Participant may be vested in full or paid upon the occurrence of such special circumstances or events as determined in the sole discretion of the Committee.</w:t>
      </w:r>
    </w:p>
    <w:p>
      <w:pPr>
        <w:spacing w:after="0" w:line="70" w:lineRule="exact"/>
        <w:rPr>
          <w:rFonts w:ascii="Times New Roman" w:cs="Times New Roman" w:eastAsia="Times New Roman" w:hAnsi="Times New Roman"/>
          <w:sz w:val="22"/>
          <w:szCs w:val="22"/>
          <w:color w:val="auto"/>
        </w:rPr>
      </w:pPr>
    </w:p>
    <w:p>
      <w:pPr>
        <w:ind w:firstLine="8"/>
        <w:spacing w:after="0" w:line="249" w:lineRule="auto"/>
        <w:tabs>
          <w:tab w:leader="none" w:pos="30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Settlement of Restricted Stock Units</w:t>
      </w:r>
      <w:r>
        <w:rPr>
          <w:rFonts w:ascii="Times New Roman" w:cs="Times New Roman" w:eastAsia="Times New Roman" w:hAnsi="Times New Roman"/>
          <w:sz w:val="22"/>
          <w:szCs w:val="22"/>
          <w:color w:val="auto"/>
        </w:rPr>
        <w:t>. The Committee, in its sole discretion, may instruct the Company to pay on the date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when Shares would otherwise be issued pursuant to a Restricted Stock Unit, in lieu of such Shares, a cash amount equal to the number of such Shares multiplied by the Fair Market Value of a Share on the date when Shares would otherwise have been issued. If a Participant is entitled to receive other stock, securities or other property as a result of an adjustment, pursuant to Section 12 hereof, the Committee, in its sole discretion, may instruct the Company to pay, in lieu of such other stock, securities or other property, cash equal to the fair market value thereof as determined in good faith by the Committee. Until the delivery of such Shares, cash, securities or other property, the rights of a Participant with respect to a Restricted Stock Unit shall be only those of a general unsecured creditor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57" w:name="page58"/>
    <w:bookmarkEnd w:id="57"/>
    <w:p>
      <w:pPr>
        <w:ind w:firstLine="8"/>
        <w:spacing w:after="0" w:line="258" w:lineRule="auto"/>
        <w:tabs>
          <w:tab w:leader="none" w:pos="29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Right to Receive Dividends on Restricted Stock Units</w:t>
      </w:r>
      <w:r>
        <w:rPr>
          <w:rFonts w:ascii="Times New Roman" w:cs="Times New Roman" w:eastAsia="Times New Roman" w:hAnsi="Times New Roman"/>
          <w:sz w:val="22"/>
          <w:szCs w:val="22"/>
          <w:color w:val="auto"/>
        </w:rPr>
        <w:t>. Unless the Committee determines otherwise, during the period prior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payment of the Restricted Stock Unit, all ordinary cash dividends (as determined by the Committee in its sole discretion) that would have been paid upon any Share underlying a Restricted Stock Unit had such Shares been issued shall be paid only at the time and to the extent such Restricted Stock Unit is vested.</w:t>
      </w:r>
    </w:p>
    <w:p>
      <w:pPr>
        <w:spacing w:after="0" w:line="60" w:lineRule="exact"/>
        <w:rPr>
          <w:sz w:val="20"/>
          <w:szCs w:val="20"/>
          <w:color w:val="auto"/>
        </w:rPr>
      </w:pPr>
    </w:p>
    <w:p>
      <w:pPr>
        <w:ind w:right="40" w:firstLine="8"/>
        <w:spacing w:after="0" w:line="278" w:lineRule="auto"/>
        <w:tabs>
          <w:tab w:leader="none" w:pos="6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Grant of Other Stock-Based Awards</w:t>
      </w:r>
      <w:r>
        <w:rPr>
          <w:rFonts w:ascii="Times New Roman" w:cs="Times New Roman" w:eastAsia="Times New Roman" w:hAnsi="Times New Roman"/>
          <w:sz w:val="21"/>
          <w:szCs w:val="21"/>
          <w:color w:val="auto"/>
        </w:rPr>
        <w:t>. The Committee may grant other types of equity-based or equity-related Awards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(including unrestricted Shares) in such amounts and subject to such terms and conditions as the Committee shall determine. Such Awards may entail the transfer of actual Shares, or payment in cash or otherwise of amounts based on the value of Shares.</w:t>
      </w:r>
    </w:p>
    <w:p>
      <w:pPr>
        <w:spacing w:after="0" w:line="38" w:lineRule="exact"/>
        <w:rPr>
          <w:rFonts w:ascii="Times New Roman" w:cs="Times New Roman" w:eastAsia="Times New Roman" w:hAnsi="Times New Roman"/>
          <w:sz w:val="21"/>
          <w:szCs w:val="21"/>
          <w:color w:val="auto"/>
        </w:rPr>
      </w:pPr>
    </w:p>
    <w:p>
      <w:pPr>
        <w:ind w:right="20" w:firstLine="8"/>
        <w:spacing w:after="0" w:line="262" w:lineRule="auto"/>
        <w:tabs>
          <w:tab w:leader="none" w:pos="648"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Certain Adjustments</w:t>
      </w:r>
      <w:r>
        <w:rPr>
          <w:rFonts w:ascii="Times New Roman" w:cs="Times New Roman" w:eastAsia="Times New Roman" w:hAnsi="Times New Roman"/>
          <w:sz w:val="21"/>
          <w:szCs w:val="21"/>
          <w:color w:val="auto"/>
        </w:rPr>
        <w:t>. (a) In the event that any dividend or other distribution (whether in the form of cash, Shares, other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securities, or other property), recapitalization, forward or reverse stock split, reorganization, merger, consolidation, spin-off, combination, repurchase, share exchange, liquidation, dissolution or other similar corporate transaction or event affects Shares such that the failure to make an adjustment to an Award would not fairly protect the rights represented by the Award in accordance with the essential intent and principles thereof (each such event, an “Adjustment Event”), then the Committee shall, in such manner as it may determine to be equitable in its sole discretion, adjust any or all of the terms of an outstanding Award (including, without limitation, the number of Shares covered by such outstanding Award, the type of property to which the Award is subject and the exercise price of such Award). In determining adjustments to be made under this Section 12(a), the Committee may take into account such factors as it determines to be appropriate, including without limitation (i) the provisions of applicable law and (ii) the potential tax or accounting consequences of an adjustment (or not making an adjustment) and, in light of such factors or others, may make adjustments that are not uniform or proportionate among outstanding Awards.</w:t>
      </w:r>
    </w:p>
    <w:p>
      <w:pPr>
        <w:spacing w:after="0" w:line="57" w:lineRule="exact"/>
        <w:rPr>
          <w:sz w:val="20"/>
          <w:szCs w:val="20"/>
          <w:color w:val="auto"/>
        </w:rPr>
      </w:pPr>
    </w:p>
    <w:p>
      <w:pPr>
        <w:ind w:right="240" w:firstLine="8"/>
        <w:spacing w:after="0" w:line="266" w:lineRule="auto"/>
        <w:tabs>
          <w:tab w:leader="none" w:pos="30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Fractional Shares or Securities</w:t>
      </w:r>
      <w:r>
        <w:rPr>
          <w:rFonts w:ascii="Times New Roman" w:cs="Times New Roman" w:eastAsia="Times New Roman" w:hAnsi="Times New Roman"/>
          <w:sz w:val="22"/>
          <w:szCs w:val="22"/>
          <w:color w:val="auto"/>
        </w:rPr>
        <w:t>. Any fractional shares or securities payable upon the exercise of an Award as a result of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adjustment pursuant to this Section 12 shall, at the election of the Committee, be payable in cash, Shares, or a combination thereof, on such bases as the Committee may determine in its sole discretion.</w:t>
      </w:r>
    </w:p>
    <w:p>
      <w:pPr>
        <w:spacing w:after="0" w:line="50"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Rights of a Stockholder</w:t>
      </w:r>
      <w:r>
        <w:rPr>
          <w:rFonts w:ascii="Times New Roman" w:cs="Times New Roman" w:eastAsia="Times New Roman" w:hAnsi="Times New Roman"/>
          <w:sz w:val="22"/>
          <w:szCs w:val="22"/>
          <w:color w:val="auto"/>
        </w:rPr>
        <w:t>. A Participant shall not be deemed to be the holder of, or have any of the rights of a</w:t>
      </w:r>
    </w:p>
    <w:p>
      <w:pPr>
        <w:spacing w:after="0" w:line="33" w:lineRule="exact"/>
        <w:rPr>
          <w:rFonts w:ascii="Times New Roman" w:cs="Times New Roman" w:eastAsia="Times New Roman" w:hAnsi="Times New Roman"/>
          <w:sz w:val="22"/>
          <w:szCs w:val="22"/>
          <w:color w:val="auto"/>
        </w:rPr>
      </w:pPr>
    </w:p>
    <w:p>
      <w:pPr>
        <w:ind w:right="4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stockholder with respect to, any Shares subject to Options, Rights or Restricted Stock Units unless and until the Company shall have issued and delivered Shares to the Participant and said Participant’s name shall have been entered as a stockholder of record on the books of the Company. Thereupon, such Participant shall have full voting, dividend and other ownership rights with respect to such Shares. The Company will not be obligated to issue or deliver any Shares unless and until all legal matters in connection with the issuance and delivery of Shares have been approved by the Company’s counsel and the Company’s counsel determines that all applicable federal, state and other laws and regulations have been complied with and all listing requirements for relevant stock exchanges have been met.</w:t>
      </w:r>
    </w:p>
    <w:p>
      <w:pPr>
        <w:spacing w:after="0" w:line="71" w:lineRule="exact"/>
        <w:rPr>
          <w:rFonts w:ascii="Times New Roman" w:cs="Times New Roman" w:eastAsia="Times New Roman" w:hAnsi="Times New Roman"/>
          <w:sz w:val="22"/>
          <w:szCs w:val="22"/>
          <w:color w:val="auto"/>
        </w:rPr>
      </w:pPr>
    </w:p>
    <w:p>
      <w:pPr>
        <w:jc w:val="both"/>
        <w:ind w:right="160" w:firstLine="8"/>
        <w:spacing w:after="0" w:line="266" w:lineRule="auto"/>
        <w:tabs>
          <w:tab w:leader="none" w:pos="64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Right to Continued Employment</w:t>
      </w:r>
      <w:r>
        <w:rPr>
          <w:rFonts w:ascii="Times New Roman" w:cs="Times New Roman" w:eastAsia="Times New Roman" w:hAnsi="Times New Roman"/>
          <w:sz w:val="22"/>
          <w:szCs w:val="22"/>
          <w:color w:val="auto"/>
        </w:rPr>
        <w:t>. Nothing in the Plan or in any Award Agreement shall confer upon any Participant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right to continued employment by the Company or any Affiliate or affect any right which the Company or any Affiliate may have to terminate such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16" w:right="359" w:bottom="1440" w:gutter="0" w:footer="0" w:header="0"/>
        </w:sectPr>
      </w:pPr>
    </w:p>
    <w:bookmarkStart w:id="58" w:name="page59"/>
    <w:bookmarkEnd w:id="58"/>
    <w:p>
      <w:pPr>
        <w:ind w:left="-8" w:right="120" w:firstLine="8"/>
        <w:spacing w:after="0" w:line="251" w:lineRule="auto"/>
        <w:tabs>
          <w:tab w:leader="none" w:pos="6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Issuance of Shares and Consents</w:t>
      </w:r>
      <w:r>
        <w:rPr>
          <w:rFonts w:ascii="Times New Roman" w:cs="Times New Roman" w:eastAsia="Times New Roman" w:hAnsi="Times New Roman"/>
          <w:sz w:val="22"/>
          <w:szCs w:val="22"/>
          <w:color w:val="auto"/>
        </w:rPr>
        <w:t>. If the Committee shall at any time determine that any Consent is necessary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desirable as a condition of, or in connection with, the granting of any Award, the delivery of Shares or the delivery of any cash, securities or other property under the Plan, or the taking of any other action, then such action shall not be taken, in whole or in part, unless and until such Consent shall have been effected or obtained to the full satisfaction of the Committee. Any stock certificate representing Restricted Shares shall contain an appropriate legend referring to the Plan and the Restrictions upon such Restricted Shares. Simultaneously with delivery of any stock certificate for Restricted Shares, the Company may cause a stop transfer order with respect to such certificate to be placed with the transfer agent of the Shares.</w:t>
      </w:r>
    </w:p>
    <w:p>
      <w:pPr>
        <w:spacing w:after="0" w:line="64" w:lineRule="exact"/>
        <w:rPr>
          <w:rFonts w:ascii="Times New Roman" w:cs="Times New Roman" w:eastAsia="Times New Roman" w:hAnsi="Times New Roman"/>
          <w:sz w:val="22"/>
          <w:szCs w:val="22"/>
          <w:color w:val="auto"/>
        </w:rPr>
      </w:pPr>
    </w:p>
    <w:p>
      <w:pPr>
        <w:ind w:left="-8" w:right="100" w:firstLine="8"/>
        <w:spacing w:after="0" w:line="250" w:lineRule="auto"/>
        <w:tabs>
          <w:tab w:leader="none" w:pos="6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Withholding</w:t>
      </w:r>
      <w:r>
        <w:rPr>
          <w:rFonts w:ascii="Times New Roman" w:cs="Times New Roman" w:eastAsia="Times New Roman" w:hAnsi="Times New Roman"/>
          <w:sz w:val="22"/>
          <w:szCs w:val="22"/>
          <w:color w:val="auto"/>
        </w:rPr>
        <w:t>. If the Company or an Affiliate shall be required to withhold any amounts by reason of a federal, state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local tax laws, rules or regulations in respect of any Award, the Company or an Affiliate shall be entitled to deduct or withhold such amounts from any payments (including, without limitation Shares which would otherwise be issued to the Participant pursuant to the Award; provided that, to the extent desired for GAAP purposes, such withholding shall not exceed the statutory maximum amount required to be withheld) to be made to the Participant. In any event, the Participant shall make available to the Company or Affiliate, promptly when requested by the Company or such Affiliate, sufficient funds or Shares to meet the requirements of such withholding and the Company or Affiliate shall be entitled to take and authorize such steps as it may deem advisable in order to have such funds made available to the Company or Affiliate out of any funds or property due to the Participant.</w:t>
      </w:r>
    </w:p>
    <w:p>
      <w:pPr>
        <w:spacing w:after="0" w:line="71" w:lineRule="exact"/>
        <w:rPr>
          <w:rFonts w:ascii="Times New Roman" w:cs="Times New Roman" w:eastAsia="Times New Roman" w:hAnsi="Times New Roman"/>
          <w:sz w:val="22"/>
          <w:szCs w:val="22"/>
          <w:color w:val="auto"/>
        </w:rPr>
      </w:pPr>
    </w:p>
    <w:p>
      <w:pPr>
        <w:ind w:left="-8" w:right="20" w:firstLine="8"/>
        <w:spacing w:after="0" w:line="278" w:lineRule="auto"/>
        <w:tabs>
          <w:tab w:leader="none" w:pos="6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Right of Offset. </w:t>
      </w:r>
      <w:r>
        <w:rPr>
          <w:rFonts w:ascii="Times New Roman" w:cs="Times New Roman" w:eastAsia="Times New Roman" w:hAnsi="Times New Roman"/>
          <w:sz w:val="21"/>
          <w:szCs w:val="21"/>
          <w:color w:val="auto"/>
        </w:rPr>
        <w:t>The Company shall have the right to offset against its obligation to deliver Shares, cash or other property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under any Award that does not constitute “non-qualified deferred compensation” pursuant to Section 409A of the Internal Revenue Code any outstanding amounts of whatever nature that the Participant then owes to the Company or any of its Affiliates.</w:t>
      </w:r>
    </w:p>
    <w:p>
      <w:pPr>
        <w:spacing w:after="0" w:line="51" w:lineRule="exact"/>
        <w:rPr>
          <w:rFonts w:ascii="Times New Roman" w:cs="Times New Roman" w:eastAsia="Times New Roman" w:hAnsi="Times New Roman"/>
          <w:sz w:val="21"/>
          <w:szCs w:val="21"/>
          <w:color w:val="auto"/>
        </w:rPr>
      </w:pPr>
    </w:p>
    <w:p>
      <w:pPr>
        <w:ind w:left="-8" w:right="40" w:firstLine="8"/>
        <w:spacing w:after="0" w:line="251" w:lineRule="auto"/>
        <w:tabs>
          <w:tab w:leader="none" w:pos="6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Non-Transferability of Awards</w:t>
      </w:r>
      <w:r>
        <w:rPr>
          <w:rFonts w:ascii="Times New Roman" w:cs="Times New Roman" w:eastAsia="Times New Roman" w:hAnsi="Times New Roman"/>
          <w:sz w:val="22"/>
          <w:szCs w:val="22"/>
          <w:color w:val="auto"/>
        </w:rPr>
        <w:t>. Unless the Committee shall permit (on such terms and conditions as it shall establish)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Award to be transferred to a member of the Participant’s immediate family or to a trust or similar vehicle for the benefit of members of the Participant’s immediate family (collectively, the “Permitted Transferees”), no Award shall be assignable or transferable except by will or by the laws of descent and distribution, and except to the extent required by law, no right or interest of any Participant shall be subject to any lien, obligation or liability of the Participant. All rights with respect to Awards granted to a Participant under the Plan shall be exercisable during the Participant’s lifetime only by such Participant or, if applicable, the Permitted Transferees.</w:t>
      </w:r>
    </w:p>
    <w:p>
      <w:pPr>
        <w:spacing w:after="0" w:line="64" w:lineRule="exact"/>
        <w:rPr>
          <w:rFonts w:ascii="Times New Roman" w:cs="Times New Roman" w:eastAsia="Times New Roman" w:hAnsi="Times New Roman"/>
          <w:sz w:val="22"/>
          <w:szCs w:val="22"/>
          <w:color w:val="auto"/>
        </w:rPr>
      </w:pPr>
    </w:p>
    <w:p>
      <w:pPr>
        <w:ind w:left="-8" w:firstLine="8"/>
        <w:spacing w:after="0" w:line="251" w:lineRule="auto"/>
        <w:tabs>
          <w:tab w:leader="none" w:pos="6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Administration and Amendment of the Plan</w:t>
      </w:r>
      <w:r>
        <w:rPr>
          <w:rFonts w:ascii="Times New Roman" w:cs="Times New Roman" w:eastAsia="Times New Roman" w:hAnsi="Times New Roman"/>
          <w:sz w:val="22"/>
          <w:szCs w:val="22"/>
          <w:color w:val="auto"/>
        </w:rPr>
        <w:t>. The Board of Directors or the Committee may discontinue the Plan at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time and from time to time may amend or revise the terms of the Plan or any Award Agreement, as permitted by applicable law, except that it may not (a) make any amendment or revision in a manner unfavorable to a Participant (other than if immaterial), without the consent of the Participant or (b) make any amendment or revision without the approval of the stockholders of the Company if such approval is required by the rules of an exchange on which Shares are traded. Consent of the Participant shall not be required solely pursuant to the previous sentence in respect of any adjustment made pursuant to Section 12(a) except to the extent the terms of an Award Agreement expressly refer to an Adjustment Event,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32"/>
          </w:cols>
          <w:pgMar w:left="328" w:top="1416" w:right="339" w:bottom="1440" w:gutter="0" w:footer="0" w:header="0"/>
        </w:sectPr>
      </w:pPr>
    </w:p>
    <w:bookmarkStart w:id="59" w:name="page60"/>
    <w:bookmarkEnd w:id="59"/>
    <w:p>
      <w:pPr>
        <w:ind w:right="480"/>
        <w:spacing w:after="0" w:line="271" w:lineRule="auto"/>
        <w:rPr>
          <w:sz w:val="20"/>
          <w:szCs w:val="20"/>
          <w:color w:val="auto"/>
        </w:rPr>
      </w:pPr>
      <w:r>
        <w:rPr>
          <w:rFonts w:ascii="Times New Roman" w:cs="Times New Roman" w:eastAsia="Times New Roman" w:hAnsi="Times New Roman"/>
          <w:sz w:val="22"/>
          <w:szCs w:val="22"/>
          <w:color w:val="auto"/>
        </w:rPr>
        <w:t>which case such terms shall not be amended in a manner unfavorable to a Participant (other than if immaterial) without such Participant’s consent.</w:t>
      </w:r>
    </w:p>
    <w:p>
      <w:pPr>
        <w:spacing w:after="0" w:line="44" w:lineRule="exact"/>
        <w:rPr>
          <w:sz w:val="20"/>
          <w:szCs w:val="20"/>
          <w:color w:val="auto"/>
        </w:rPr>
      </w:pPr>
    </w:p>
    <w:p>
      <w:pPr>
        <w:ind w:right="20" w:firstLine="8"/>
        <w:spacing w:after="0" w:line="253" w:lineRule="auto"/>
        <w:tabs>
          <w:tab w:leader="none" w:pos="64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Clawback</w:t>
      </w:r>
      <w:r>
        <w:rPr>
          <w:rFonts w:ascii="Times New Roman" w:cs="Times New Roman" w:eastAsia="Times New Roman" w:hAnsi="Times New Roman"/>
          <w:sz w:val="22"/>
          <w:szCs w:val="22"/>
          <w:color w:val="auto"/>
        </w:rPr>
        <w:t>. Notwithstanding any other provisions in this Plan, any Award which is subject to recovery under any law,</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government regulation, stock exchange listing requirement or the Company’s Clawback Policy (as may be amended or restated or replaced by any successor policy from time to time, the “Clawback Policy”), will be subject to such deductions and clawback as may be required to be made pursuant to such law, government regulation, stock exchange listing requirement, the Company’s Clawback Policy or any additional clawback policy adopted by the Company from time to time. By accepting an Award pursuant to this Plan, the Participant shall be deemed to have agreed to the Company’s Clawback Policy to the extent applicable to the Participant.</w:t>
      </w:r>
    </w:p>
    <w:p>
      <w:pPr>
        <w:spacing w:after="0" w:line="63" w:lineRule="exact"/>
        <w:rPr>
          <w:rFonts w:ascii="Times New Roman" w:cs="Times New Roman" w:eastAsia="Times New Roman" w:hAnsi="Times New Roman"/>
          <w:sz w:val="22"/>
          <w:szCs w:val="22"/>
          <w:color w:val="auto"/>
        </w:rPr>
      </w:pPr>
    </w:p>
    <w:p>
      <w:pPr>
        <w:ind w:right="40" w:firstLine="8"/>
        <w:spacing w:after="0" w:line="254" w:lineRule="auto"/>
        <w:tabs>
          <w:tab w:leader="none" w:pos="64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Repricing &amp; Reloads</w:t>
      </w:r>
      <w:r>
        <w:rPr>
          <w:rFonts w:ascii="Times New Roman" w:cs="Times New Roman" w:eastAsia="Times New Roman" w:hAnsi="Times New Roman"/>
          <w:sz w:val="22"/>
          <w:szCs w:val="22"/>
          <w:color w:val="auto"/>
        </w:rPr>
        <w:t>. Unless otherwise approved by the stockholders of the Company, Options and Rights will not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repriced (other than in accordance with the adjustment provisions of Section 12), be repurchased for cash on a date when the exercise price of such Option or Right is equal to or exceeds the Fair Market Value of a Share or be subject to automatic reload provisions.</w:t>
      </w:r>
    </w:p>
    <w:p>
      <w:pPr>
        <w:spacing w:after="0" w:line="63" w:lineRule="exact"/>
        <w:rPr>
          <w:rFonts w:ascii="Times New Roman" w:cs="Times New Roman" w:eastAsia="Times New Roman" w:hAnsi="Times New Roman"/>
          <w:sz w:val="22"/>
          <w:szCs w:val="22"/>
          <w:color w:val="auto"/>
        </w:rPr>
      </w:pPr>
    </w:p>
    <w:p>
      <w:pPr>
        <w:ind w:right="40" w:firstLine="8"/>
        <w:spacing w:after="0" w:line="250" w:lineRule="auto"/>
        <w:tabs>
          <w:tab w:leader="none" w:pos="64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It is the Company’s intent that Awards under this Plan be exempt from, or comply with, the requirements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Section 409A of the Internal Revenue Code, and that this Plan be administered and interpreted accordingly. If and to the extent that any Award made under this Plan is determined by the Company to constitute “non-qualified deferred compensation” subject to Section 409A of the Internal Revenue Code and is payable to a Participant by reason of the Participant’s termination of employment, then (a) such payment or benefit shall be made or provided to the Participant only upon a “separation from service” as defined for purposes of Section 409A of the Internal Revenue Code under applicable regulations and (b) if the Participant is a “specified employee” (within the meaning of Section 409A of the Internal Revenue Code and as determined by the Company), such payment or benefit shall not be made or provided before the date that is six months after the date of the Participant’s separation from service (or the Participant’s earlier death).</w:t>
      </w:r>
    </w:p>
    <w:p>
      <w:pPr>
        <w:spacing w:after="0" w:line="71" w:lineRule="exact"/>
        <w:rPr>
          <w:rFonts w:ascii="Times New Roman" w:cs="Times New Roman" w:eastAsia="Times New Roman" w:hAnsi="Times New Roman"/>
          <w:sz w:val="22"/>
          <w:szCs w:val="22"/>
          <w:color w:val="auto"/>
        </w:rPr>
      </w:pPr>
    </w:p>
    <w:p>
      <w:pPr>
        <w:jc w:val="both"/>
        <w:ind w:right="180" w:firstLine="8"/>
        <w:spacing w:after="0" w:line="266" w:lineRule="auto"/>
        <w:tabs>
          <w:tab w:leader="none" w:pos="64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The Plan became effective upon approval by the stockholders of the Company on June 8, 2016. The first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amendments to the Plan became effective upon the approval by the stockholders of the Company on June 11, 2020. The current amendments to the Plan shall become effective upon approval by the stockholders of the Company on June 10, 2025.</w:t>
      </w:r>
    </w:p>
    <w:p>
      <w:pPr>
        <w:spacing w:after="0" w:line="49" w:lineRule="exact"/>
        <w:rPr>
          <w:rFonts w:ascii="Times New Roman" w:cs="Times New Roman" w:eastAsia="Times New Roman" w:hAnsi="Times New Roman"/>
          <w:sz w:val="22"/>
          <w:szCs w:val="22"/>
          <w:color w:val="auto"/>
        </w:rPr>
      </w:pPr>
    </w:p>
    <w:p>
      <w:pPr>
        <w:ind w:firstLine="8"/>
        <w:spacing w:after="0" w:line="252" w:lineRule="auto"/>
        <w:tabs>
          <w:tab w:leader="none" w:pos="64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Severability</w:t>
      </w:r>
      <w:r>
        <w:rPr>
          <w:rFonts w:ascii="Times New Roman" w:cs="Times New Roman" w:eastAsia="Times New Roman" w:hAnsi="Times New Roman"/>
          <w:sz w:val="22"/>
          <w:szCs w:val="22"/>
          <w:color w:val="auto"/>
        </w:rPr>
        <w:t>. If any of the provisions of this Plan or any Award Agreement is finally held to be invalid, illegal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unenforceable (whether in whole or in part), such provision shall be deemed modified to the extent, but only to the extent, of such invalidity, illegality or unenforceability and the remaining provisions shall not be affected thereby; provided that, if any of such provisions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w:t>
      </w:r>
    </w:p>
    <w:p>
      <w:pPr>
        <w:spacing w:after="0" w:line="66" w:lineRule="exact"/>
        <w:rPr>
          <w:rFonts w:ascii="Times New Roman" w:cs="Times New Roman" w:eastAsia="Times New Roman" w:hAnsi="Times New Roman"/>
          <w:sz w:val="22"/>
          <w:szCs w:val="22"/>
          <w:color w:val="auto"/>
        </w:rPr>
      </w:pPr>
    </w:p>
    <w:p>
      <w:pPr>
        <w:ind w:right="160" w:firstLine="8"/>
        <w:spacing w:after="0" w:line="276" w:lineRule="auto"/>
        <w:tabs>
          <w:tab w:leader="none" w:pos="64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Plan Headings</w:t>
      </w:r>
      <w:r>
        <w:rPr>
          <w:rFonts w:ascii="Times New Roman" w:cs="Times New Roman" w:eastAsia="Times New Roman" w:hAnsi="Times New Roman"/>
          <w:sz w:val="22"/>
          <w:szCs w:val="22"/>
          <w:color w:val="auto"/>
        </w:rPr>
        <w:t>. The headings in this Plan are for the purpose of convenience only and are not intended to define or limit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construction of the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60" w:name="page61"/>
    <w:bookmarkEnd w:id="60"/>
    <w:p>
      <w:pPr>
        <w:ind w:left="-8" w:right="40" w:firstLine="8"/>
        <w:spacing w:after="0" w:line="254" w:lineRule="auto"/>
        <w:tabs>
          <w:tab w:leader="none" w:pos="6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Non-Uniform Treatment</w:t>
      </w:r>
      <w:r>
        <w:rPr>
          <w:rFonts w:ascii="Times New Roman" w:cs="Times New Roman" w:eastAsia="Times New Roman" w:hAnsi="Times New Roman"/>
          <w:sz w:val="22"/>
          <w:szCs w:val="22"/>
          <w:color w:val="auto"/>
        </w:rPr>
        <w:t>. The Committee’s determinations under the Plan need not be uniform and may be made by it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selectively among persons who receive, or are eligible to receive, Awards (whether or not such persons are similarly situated). Without limiting the generality of the foregoing, the Committee shall be entitled, among other things, to make non-uniform and selective determinations, amendments and adjustments, and to enter into non-uniform and selective Award Agreements, as to the persons to receive Awards under the Plan, and the terms and provisions of Awards under the Plan.</w:t>
      </w:r>
    </w:p>
    <w:p>
      <w:pPr>
        <w:spacing w:after="0" w:line="65" w:lineRule="exact"/>
        <w:rPr>
          <w:rFonts w:ascii="Times New Roman" w:cs="Times New Roman" w:eastAsia="Times New Roman" w:hAnsi="Times New Roman"/>
          <w:sz w:val="22"/>
          <w:szCs w:val="22"/>
          <w:color w:val="auto"/>
        </w:rPr>
      </w:pPr>
    </w:p>
    <w:p>
      <w:pPr>
        <w:ind w:left="-8" w:firstLine="8"/>
        <w:spacing w:after="0" w:line="258" w:lineRule="auto"/>
        <w:tabs>
          <w:tab w:leader="none" w:pos="6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Governing Law</w:t>
      </w:r>
      <w:r>
        <w:rPr>
          <w:rFonts w:ascii="Times New Roman" w:cs="Times New Roman" w:eastAsia="Times New Roman" w:hAnsi="Times New Roman"/>
          <w:sz w:val="22"/>
          <w:szCs w:val="22"/>
          <w:color w:val="auto"/>
        </w:rPr>
        <w:t>. The Plan and any Award Agreements shall be governed by and construed in accordance with the laws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State of Delaware, without reference to principles of conflict of laws; provided that if the Company redomesticates from Delaware to Nevada, then the Plan and any Award Agreements shall be governed by and construed in accordance with the laws of the State of Nevada, without reference to principles of conflict of laws.</w:t>
      </w:r>
    </w:p>
    <w:p>
      <w:pPr>
        <w:spacing w:after="0" w:line="59" w:lineRule="exact"/>
        <w:rPr>
          <w:rFonts w:ascii="Times New Roman" w:cs="Times New Roman" w:eastAsia="Times New Roman" w:hAnsi="Times New Roman"/>
          <w:sz w:val="22"/>
          <w:szCs w:val="22"/>
          <w:color w:val="auto"/>
        </w:rPr>
      </w:pPr>
    </w:p>
    <w:p>
      <w:pPr>
        <w:ind w:left="-8" w:right="300" w:firstLine="8"/>
        <w:spacing w:after="0" w:line="276" w:lineRule="auto"/>
        <w:tabs>
          <w:tab w:leader="none" w:pos="69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Successors and Assigns</w:t>
      </w:r>
      <w:r>
        <w:rPr>
          <w:rFonts w:ascii="Times New Roman" w:cs="Times New Roman" w:eastAsia="Times New Roman" w:hAnsi="Times New Roman"/>
          <w:sz w:val="22"/>
          <w:szCs w:val="22"/>
          <w:color w:val="auto"/>
        </w:rPr>
        <w:t>. The terms of this Plan shall be binding upon and inure to the benefit of the Company and its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successors and assigns.</w:t>
      </w:r>
    </w:p>
    <w:p>
      <w:pPr>
        <w:spacing w:after="0" w:line="39" w:lineRule="exact"/>
        <w:rPr>
          <w:rFonts w:ascii="Times New Roman" w:cs="Times New Roman" w:eastAsia="Times New Roman" w:hAnsi="Times New Roman"/>
          <w:sz w:val="22"/>
          <w:szCs w:val="22"/>
          <w:color w:val="auto"/>
        </w:rPr>
      </w:pPr>
    </w:p>
    <w:p>
      <w:pPr>
        <w:ind w:left="-8" w:right="20" w:firstLine="8"/>
        <w:spacing w:after="0" w:line="276" w:lineRule="auto"/>
        <w:tabs>
          <w:tab w:leader="none" w:pos="6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Duration</w:t>
      </w:r>
      <w:r>
        <w:rPr>
          <w:rFonts w:ascii="Times New Roman" w:cs="Times New Roman" w:eastAsia="Times New Roman" w:hAnsi="Times New Roman"/>
          <w:sz w:val="22"/>
          <w:szCs w:val="22"/>
          <w:color w:val="auto"/>
        </w:rPr>
        <w:t>. This Plan shall remain in effect until June 10, 2035 unless sooner terminated by the Committee or the Board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Directors. Awards theretofore granted may extend beyond that date in accordance with the provisions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72"/>
          </w:cols>
          <w:pgMar w:left="328" w:top="1416" w:right="3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Exhibit 22</w:t>
            </w:r>
          </w:p>
        </w:tc>
      </w:tr>
      <w:tr>
        <w:trPr>
          <w:trHeight w:val="810"/>
        </w:trPr>
        <w:tc>
          <w:tcPr>
            <w:tcW w:w="9220" w:type="dxa"/>
            <w:vAlign w:val="bottom"/>
            <w:gridSpan w:val="2"/>
          </w:tcPr>
          <w:p>
            <w:pPr>
              <w:ind w:left="4440"/>
              <w:spacing w:after="0"/>
              <w:rPr>
                <w:sz w:val="20"/>
                <w:szCs w:val="20"/>
                <w:color w:val="auto"/>
              </w:rPr>
            </w:pPr>
            <w:r>
              <w:rPr>
                <w:rFonts w:ascii="Times New Roman" w:cs="Times New Roman" w:eastAsia="Times New Roman" w:hAnsi="Times New Roman"/>
                <w:sz w:val="18"/>
                <w:szCs w:val="18"/>
                <w:b w:val="1"/>
                <w:bCs w:val="1"/>
                <w:color w:val="auto"/>
              </w:rPr>
              <w:t>List of Guarantor Subsidiaries</w:t>
            </w:r>
          </w:p>
        </w:tc>
        <w:tc>
          <w:tcPr>
            <w:tcW w:w="2020" w:type="dxa"/>
            <w:vAlign w:val="bottom"/>
          </w:tcPr>
          <w:p>
            <w:pPr>
              <w:spacing w:after="0"/>
              <w:rPr>
                <w:sz w:val="24"/>
                <w:szCs w:val="24"/>
                <w:color w:val="auto"/>
              </w:rPr>
            </w:pPr>
          </w:p>
        </w:tc>
      </w:tr>
      <w:tr>
        <w:trPr>
          <w:trHeight w:val="27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June 30, 2025, the following subsidiaries of AMC Networks Inc. guarantee the notes issued by AMC Networks Inc.</w:t>
            </w:r>
          </w:p>
        </w:tc>
        <w:tc>
          <w:tcPr>
            <w:tcW w:w="2020" w:type="dxa"/>
            <w:vAlign w:val="bottom"/>
          </w:tcPr>
          <w:p>
            <w:pPr>
              <w:spacing w:after="0"/>
              <w:rPr>
                <w:sz w:val="23"/>
                <w:szCs w:val="23"/>
                <w:color w:val="auto"/>
              </w:rPr>
            </w:pPr>
          </w:p>
        </w:tc>
      </w:tr>
      <w:tr>
        <w:trPr>
          <w:trHeight w:val="294"/>
        </w:trPr>
        <w:tc>
          <w:tcPr>
            <w:tcW w:w="9220" w:type="dxa"/>
            <w:vAlign w:val="bottom"/>
            <w:gridSpan w:val="2"/>
          </w:tcPr>
          <w:p>
            <w:pPr>
              <w:ind w:left="41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20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12"/>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2nd Party LLC</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61st Street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Across the River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Aesir Media Group,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Film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Games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Network Entertainment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York</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Networks Broadcasting &amp; Technology</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Networks International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Networks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New Video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Plus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Premiere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TV Studios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AMC/Sundance Channel Global Networks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AMCN Properties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American Movie Classics IV Holding Corp</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Animal Control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Anime Network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Anthem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Badlands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Louisiana</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Badlands Productions 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Brockmire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Cobalt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Comic Scribe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Crossed Pens Development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Dark Winds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Digital Store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Dispatches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Expedition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Five Families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Five Moons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Geese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Ground Work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III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IV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Halt and Catch Fire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Hap and Leonard Productions 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Hap and Leonard Productions III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20" w:top="135"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20" w:type="dxa"/>
            <w:vAlign w:val="bottom"/>
            <w:gridSpan w:val="2"/>
          </w:tcPr>
          <w:p>
            <w:pPr>
              <w:ind w:left="41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20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12"/>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HIDIVE LLC</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Entertainment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Entertainment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Films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In Theaters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Television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Theatres Concessions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Theatres,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TV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TV Studios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TV Studios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Japan Creative Contents Alliance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Kindred Spirit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Kopus Productions 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Kopus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Lodge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Lodge Productions 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Making Waves Studio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Mechanical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Monument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Moonhaven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Newfound Lake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Video Channel America,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Video Channel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Video Channel Scribes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NOS4A2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Rhode Island</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Peach Pit Properties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Peachwood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Pens Down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Premier Quills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Content Distribution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Rainbow Media Enterprises, Inc.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Rainbow Media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Rectify Productions 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Rectify Productions III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Rectify Productions IV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Rectify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 Monday Programming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RNC Holding Corporation</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RNC II Holding Corporation</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Roughhouse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Selects VOD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Sentai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r>
    </w:tbl>
    <w:p>
      <w:pPr>
        <w:sectPr>
          <w:pgSz w:w="11900" w:h="16838" w:orient="portrait"/>
          <w:cols w:equalWidth="0" w:num="1">
            <w:col w:w="11240"/>
          </w:cols>
          <w:pgMar w:left="320" w:top="866" w:right="3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20" w:type="dxa"/>
            <w:vAlign w:val="bottom"/>
            <w:gridSpan w:val="2"/>
          </w:tcPr>
          <w:p>
            <w:pPr>
              <w:ind w:left="41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20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13"/>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Sentai Filmworks, LLC</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Shudder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Sleuth Secrets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Stalwart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Stan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Stan Productions 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Sundance Channel Originals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Sundance Film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SundanceTV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Sxion 23,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Tales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TWD Productions IV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IX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TWD Productions V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VI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TWD Productions VII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VIII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TWD Productions X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XI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Universe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Vampire Chronicles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Louisiana</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Voom HD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 TV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 tv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 TV Studios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Woodbury Studios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20" w:top="866"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Kristin A. Dolan, certify that:</w:t>
      </w:r>
    </w:p>
    <w:p>
      <w:pPr>
        <w:spacing w:after="0" w:line="171" w:lineRule="exact"/>
        <w:rPr>
          <w:sz w:val="20"/>
          <w:szCs w:val="20"/>
          <w:color w:val="auto"/>
        </w:rPr>
      </w:pPr>
    </w:p>
    <w:p>
      <w:pPr>
        <w:ind w:left="180" w:hanging="172"/>
        <w:spacing w:after="0"/>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AMC Networks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21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8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20" w:hanging="164"/>
        <w:spacing w:after="0" w:line="282" w:lineRule="auto"/>
        <w:tabs>
          <w:tab w:leader="none" w:pos="87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630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/s/ Kristin A. Dolan</w:t>
            </w:r>
          </w:p>
        </w:tc>
      </w:tr>
      <w:tr>
        <w:trPr>
          <w:trHeight w:val="218"/>
        </w:trPr>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Kristin A. Dolan</w:t>
            </w:r>
          </w:p>
        </w:tc>
      </w:tr>
      <w:tr>
        <w:trPr>
          <w:trHeight w:val="234"/>
        </w:trPr>
        <w:tc>
          <w:tcPr>
            <w:tcW w:w="40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O’Connell, certify that:</w:t>
      </w:r>
    </w:p>
    <w:p>
      <w:pPr>
        <w:spacing w:after="0" w:line="171"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AMC Networks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2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8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20" w:hanging="164"/>
        <w:spacing w:after="0" w:line="282" w:lineRule="auto"/>
        <w:tabs>
          <w:tab w:leader="none" w:pos="87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19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600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/s/ Patrick O’Connell</w:t>
            </w:r>
          </w:p>
        </w:tc>
      </w:tr>
      <w:tr>
        <w:trPr>
          <w:trHeight w:val="218"/>
        </w:trPr>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Patrick O’Connell</w:t>
            </w:r>
          </w:p>
        </w:tc>
      </w:tr>
      <w:tr>
        <w:trPr>
          <w:trHeight w:val="180"/>
        </w:trPr>
        <w:tc>
          <w:tcPr>
            <w:tcW w:w="40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34"/>
        </w:trPr>
        <w:tc>
          <w:tcPr>
            <w:tcW w:w="40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r>
    </w:tbl>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Pursuant to 18 U.S.C. § 1350, each of the undersigned officers of AMC Networks Inc. (“AMC Networks”) hereby certifies, to such officer’s knowledge, that AMC Networks’ Quarterly Report on Form 10-Q for the quarter ended June 30, 2025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8, 2025</w:t>
            </w:r>
          </w:p>
        </w:tc>
        <w:tc>
          <w:tcPr>
            <w:tcW w:w="31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Kristin A. Dolan</w:t>
            </w:r>
          </w:p>
        </w:tc>
        <w:tc>
          <w:tcPr>
            <w:tcW w:w="20" w:type="dxa"/>
            <w:vAlign w:val="bottom"/>
          </w:tcPr>
          <w:p>
            <w:pPr>
              <w:spacing w:after="0"/>
              <w:rPr>
                <w:sz w:val="20"/>
                <w:szCs w:val="20"/>
                <w:color w:val="auto"/>
              </w:rPr>
            </w:pPr>
          </w:p>
        </w:tc>
      </w:tr>
      <w:tr>
        <w:trPr>
          <w:trHeight w:val="218"/>
        </w:trPr>
        <w:tc>
          <w:tcPr>
            <w:tcW w:w="5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Kristin A. Dolan</w:t>
            </w:r>
          </w:p>
        </w:tc>
        <w:tc>
          <w:tcPr>
            <w:tcW w:w="2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0" w:type="dxa"/>
            <w:vAlign w:val="bottom"/>
          </w:tcPr>
          <w:p>
            <w:pPr>
              <w:spacing w:after="0"/>
              <w:rPr>
                <w:sz w:val="20"/>
                <w:szCs w:val="20"/>
                <w:color w:val="auto"/>
              </w:rPr>
            </w:pPr>
          </w:p>
        </w:tc>
      </w:tr>
      <w:tr>
        <w:trPr>
          <w:trHeight w:val="6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8, 2025</w:t>
            </w:r>
          </w:p>
        </w:tc>
        <w:tc>
          <w:tcPr>
            <w:tcW w:w="31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Patrick O’Connell</w:t>
            </w:r>
          </w:p>
        </w:tc>
        <w:tc>
          <w:tcPr>
            <w:tcW w:w="20" w:type="dxa"/>
            <w:vAlign w:val="bottom"/>
            <w:tcBorders>
              <w:bottom w:val="single" w:sz="8" w:color="auto"/>
            </w:tcBorders>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O’Connell</w:t>
            </w:r>
          </w:p>
        </w:tc>
        <w:tc>
          <w:tcPr>
            <w:tcW w:w="20" w:type="dxa"/>
            <w:vAlign w:val="bottom"/>
          </w:tcPr>
          <w:p>
            <w:pPr>
              <w:spacing w:after="0"/>
              <w:rPr>
                <w:sz w:val="18"/>
                <w:szCs w:val="18"/>
                <w:color w:val="auto"/>
              </w:rPr>
            </w:pPr>
          </w:p>
        </w:tc>
      </w:tr>
      <w:tr>
        <w:trPr>
          <w:trHeight w:val="180"/>
        </w:trPr>
        <w:tc>
          <w:tcPr>
            <w:tcW w:w="5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7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 Financial</w:t>
            </w:r>
          </w:p>
        </w:tc>
        <w:tc>
          <w:tcPr>
            <w:tcW w:w="20" w:type="dxa"/>
            <w:vAlign w:val="bottom"/>
          </w:tcPr>
          <w:p>
            <w:pPr>
              <w:spacing w:after="0"/>
              <w:rPr>
                <w:sz w:val="15"/>
                <w:szCs w:val="15"/>
                <w:color w:val="auto"/>
              </w:rPr>
            </w:pPr>
          </w:p>
        </w:tc>
      </w:tr>
      <w:tr>
        <w:trPr>
          <w:trHeight w:val="234"/>
        </w:trPr>
        <w:tc>
          <w:tcPr>
            <w:tcW w:w="5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lowerLetter"/>
      <w:start w:val="1"/>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bullet"/>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decimal"/>
      <w:start w:val="22"/>
    </w:lvl>
  </w:abstractNum>
  <w:abstractNum w:abstractNumId="16">
    <w:nsid w:val="4516DDE9"/>
    <w:multiLevelType w:val="hybridMultilevel"/>
    <w:lvl w:ilvl="0">
      <w:lvlJc w:val="left"/>
      <w:lvlText w:val="*"/>
      <w:numFmt w:val="bullet"/>
      <w:start w:val="1"/>
    </w:lvl>
    <w:lvl w:ilvl="1">
      <w:lvlJc w:val="left"/>
      <w:lvlText w:val="%2"/>
      <w:numFmt w:val="decimal"/>
      <w:start w:val="104"/>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2"/>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8"/>
    </w:lvl>
  </w:abstractNum>
  <w:abstractNum w:abstractNumId="21">
    <w:nsid w:val="440BADFC"/>
    <w:multiLevelType w:val="hybridMultilevel"/>
    <w:lvl w:ilvl="0">
      <w:lvlJc w:val="left"/>
      <w:lvlText w:val="(%1)"/>
      <w:numFmt w:val="lowerLetter"/>
      <w:start w:val="15"/>
    </w:lvl>
  </w:abstractNum>
  <w:abstractNum w:abstractNumId="22">
    <w:nsid w:val="5072367"/>
    <w:multiLevelType w:val="hybridMultilevel"/>
    <w:lvl w:ilvl="0">
      <w:lvlJc w:val="left"/>
      <w:lvlText w:val="%1."/>
      <w:numFmt w:val="decimal"/>
      <w:start w:val="3"/>
    </w:lvl>
  </w:abstractNum>
  <w:abstractNum w:abstractNumId="23">
    <w:nsid w:val="3804823E"/>
    <w:multiLevelType w:val="hybridMultilevel"/>
    <w:lvl w:ilvl="0">
      <w:lvlJc w:val="left"/>
      <w:lvlText w:val="(%1)"/>
      <w:numFmt w:val="lowerLetter"/>
      <w:start w:val="3"/>
    </w:lvl>
  </w:abstractNum>
  <w:abstractNum w:abstractNumId="24">
    <w:nsid w:val="77465F01"/>
    <w:multiLevelType w:val="hybridMultilevel"/>
    <w:lvl w:ilvl="0">
      <w:lvlJc w:val="left"/>
      <w:lvlText w:val="%1."/>
      <w:numFmt w:val="decimal"/>
      <w:start w:val="4"/>
    </w:lvl>
  </w:abstractNum>
  <w:abstractNum w:abstractNumId="25">
    <w:nsid w:val="7724C67E"/>
    <w:multiLevelType w:val="hybridMultilevel"/>
    <w:lvl w:ilvl="0">
      <w:lvlJc w:val="left"/>
      <w:lvlText w:val="%1"/>
      <w:numFmt w:val="decimal"/>
      <w:start w:val="422"/>
    </w:lvl>
  </w:abstractNum>
  <w:abstractNum w:abstractNumId="26">
    <w:nsid w:val="5C482A97"/>
    <w:multiLevelType w:val="hybridMultilevel"/>
    <w:lvl w:ilvl="0">
      <w:lvlJc w:val="left"/>
      <w:lvlText w:val="%1."/>
      <w:numFmt w:val="decimal"/>
      <w:start w:val="5"/>
    </w:lvl>
  </w:abstractNum>
  <w:abstractNum w:abstractNumId="27">
    <w:nsid w:val="2463B9EA"/>
    <w:multiLevelType w:val="hybridMultilevel"/>
    <w:lvl w:ilvl="0">
      <w:lvlJc w:val="left"/>
      <w:lvlText w:val="(%1)"/>
      <w:numFmt w:val="lowerLetter"/>
      <w:start w:val="2"/>
    </w:lvl>
  </w:abstractNum>
  <w:abstractNum w:abstractNumId="28">
    <w:nsid w:val="5E884ADC"/>
    <w:multiLevelType w:val="hybridMultilevel"/>
    <w:lvl w:ilvl="0">
      <w:lvlJc w:val="left"/>
      <w:lvlText w:val="%1."/>
      <w:numFmt w:val="decimal"/>
      <w:start w:val="6"/>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2"/>
    </w:lvl>
  </w:abstractNum>
  <w:abstractNum w:abstractNumId="31">
    <w:nsid w:val="580BD78F"/>
    <w:multiLevelType w:val="hybridMultilevel"/>
    <w:lvl w:ilvl="0">
      <w:lvlJc w:val="left"/>
      <w:lvlText w:val="%1."/>
      <w:numFmt w:val="decimal"/>
      <w:start w:val="7"/>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decimal"/>
      <w:start w:val="8"/>
    </w:lvl>
  </w:abstractNum>
  <w:abstractNum w:abstractNumId="34">
    <w:nsid w:val="70A64E2A"/>
    <w:multiLevelType w:val="hybridMultilevel"/>
    <w:lvl w:ilvl="0">
      <w:lvlJc w:val="left"/>
      <w:lvlText w:val="(%1)"/>
      <w:numFmt w:val="lowerLetter"/>
      <w:start w:val="2"/>
    </w:lvl>
  </w:abstractNum>
  <w:abstractNum w:abstractNumId="35">
    <w:nsid w:val="6A2342EC"/>
    <w:multiLevelType w:val="hybridMultilevel"/>
    <w:lvl w:ilvl="0">
      <w:lvlJc w:val="left"/>
      <w:lvlText w:val="%1."/>
      <w:numFmt w:val="decimal"/>
      <w:start w:val="9"/>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4"/>
    </w:lvl>
  </w:abstractNum>
  <w:abstractNum w:abstractNumId="38">
    <w:nsid w:val="725A06FB"/>
    <w:multiLevelType w:val="hybridMultilevel"/>
    <w:lvl w:ilvl="0">
      <w:lvlJc w:val="left"/>
      <w:lvlText w:val="%1."/>
      <w:numFmt w:val="decimal"/>
      <w:start w:val="10"/>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3"/>
    </w:lvl>
  </w:abstractNum>
  <w:abstractNum w:abstractNumId="41">
    <w:nsid w:val="7A6D8D3C"/>
    <w:multiLevelType w:val="hybridMultilevel"/>
    <w:lvl w:ilvl="0">
      <w:lvlJc w:val="left"/>
      <w:lvlText w:val="%1."/>
      <w:numFmt w:val="decimal"/>
      <w:start w:val="11"/>
    </w:lvl>
  </w:abstractNum>
  <w:abstractNum w:abstractNumId="42">
    <w:nsid w:val="4B588F54"/>
    <w:multiLevelType w:val="hybridMultilevel"/>
    <w:lvl w:ilvl="0">
      <w:lvlJc w:val="left"/>
      <w:lvlText w:val="(%1)"/>
      <w:numFmt w:val="lowerLetter"/>
      <w:start w:val="2"/>
    </w:lvl>
  </w:abstractNum>
  <w:abstractNum w:abstractNumId="43">
    <w:nsid w:val="542289EC"/>
    <w:multiLevelType w:val="hybridMultilevel"/>
    <w:lvl w:ilvl="0">
      <w:lvlJc w:val="left"/>
      <w:lvlText w:val="%1."/>
      <w:numFmt w:val="decimal"/>
      <w:start w:val="13"/>
    </w:lvl>
  </w:abstractNum>
  <w:abstractNum w:abstractNumId="44">
    <w:nsid w:val="6DE91B18"/>
    <w:multiLevelType w:val="hybridMultilevel"/>
    <w:lvl w:ilvl="0">
      <w:lvlJc w:val="left"/>
      <w:lvlText w:val="%1."/>
      <w:numFmt w:val="decimal"/>
      <w:start w:val="15"/>
    </w:lvl>
  </w:abstractNum>
  <w:abstractNum w:abstractNumId="45">
    <w:nsid w:val="38437FDB"/>
    <w:multiLevelType w:val="hybridMultilevel"/>
    <w:lvl w:ilvl="0">
      <w:lvlJc w:val="left"/>
      <w:lvlText w:val="%1."/>
      <w:numFmt w:val="decimal"/>
      <w:start w:val="20"/>
    </w:lvl>
  </w:abstractNum>
  <w:abstractNum w:abstractNumId="46">
    <w:nsid w:val="7644A45C"/>
    <w:multiLevelType w:val="hybridMultilevel"/>
    <w:lvl w:ilvl="0">
      <w:lvlJc w:val="left"/>
      <w:lvlText w:val="%1."/>
      <w:numFmt w:val="decimal"/>
      <w:start w:val="26"/>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1" Type="http://schemas.openxmlformats.org/officeDocument/2006/relationships/image" Target="media/image60.png"/><Relationship Id="rId67" Type="http://schemas.openxmlformats.org/officeDocument/2006/relationships/hyperlink" Target="https://www.sec.gov/Archives/edgar/data/1514991/000119312525137075/d70345dex21.htm" TargetMode="External"/><Relationship Id="rId68" Type="http://schemas.openxmlformats.org/officeDocument/2006/relationships/hyperlink" Target="https://www.sec.gov/Archives/edgar/data/1514991/000119312525137075/d70345dex31.htm" TargetMode="External"/><Relationship Id="rId69" Type="http://schemas.openxmlformats.org/officeDocument/2006/relationships/hyperlink" Target="https://www.sec.gov/Archives/edgar/data/1514991/000119312525137075/d70345dex32.htm" TargetMode="External"/><Relationship Id="rId70" Type="http://schemas.openxmlformats.org/officeDocument/2006/relationships/hyperlink" Target="https://www.sec.gov/Archives/edgar/data/1514991/000151499125000024/ex-41amc2025securednotesx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2025-08-08T15:11:08Z</dcterms:created>
  <dcterms:modified xsi:type="dcterms:W3CDTF">2025-08-08T15:11:08Z</dcterms:modified>
</cp:coreProperties>
</file>