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91440</wp:posOffset>
            </wp:positionV>
            <wp:extent cx="3344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62865</wp:posOffset>
            </wp:positionV>
            <wp:extent cx="3344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680" w:hanging="647"/>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5" w:lineRule="exact"/>
        <w:rPr>
          <w:sz w:val="24"/>
          <w:szCs w:val="24"/>
          <w:color w:val="auto"/>
        </w:rPr>
      </w:pPr>
    </w:p>
    <w:p>
      <w:pPr>
        <w:ind w:left="680" w:hanging="647"/>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For the transition period from  to</w:t>
      </w:r>
    </w:p>
    <w:p>
      <w:pPr>
        <w:spacing w:after="0" w:line="6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102870</wp:posOffset>
            </wp:positionV>
            <wp:extent cx="3344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32" w:lineRule="exact"/>
        <w:rPr>
          <w:sz w:val="24"/>
          <w:szCs w:val="24"/>
          <w:color w:val="auto"/>
        </w:rPr>
      </w:pPr>
    </w:p>
    <w:tbl>
      <w:tblPr>
        <w:tblLayout w:type="fixed"/>
        <w:tblInd w:w="580" w:type="dxa"/>
        <w:tblCellMar>
          <w:top w:w="0" w:type="dxa"/>
          <w:left w:w="0" w:type="dxa"/>
          <w:bottom w:w="0" w:type="dxa"/>
          <w:right w:w="0" w:type="dxa"/>
        </w:tblCellMar>
      </w:tblPr>
      <w:tr>
        <w:trPr>
          <w:trHeight w:val="375"/>
        </w:trPr>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20" w:type="dxa"/>
            <w:vAlign w:val="bottom"/>
          </w:tcPr>
          <w:p>
            <w:pPr>
              <w:jc w:val="center"/>
              <w:ind w:left="166"/>
              <w:spacing w:after="0"/>
              <w:rPr>
                <w:sz w:val="20"/>
                <w:szCs w:val="20"/>
                <w:color w:val="auto"/>
              </w:rPr>
            </w:pPr>
            <w:r>
              <w:rPr>
                <w:rFonts w:ascii="Arial" w:cs="Arial" w:eastAsia="Arial" w:hAnsi="Arial"/>
                <w:sz w:val="29"/>
                <w:szCs w:val="29"/>
                <w:b w:val="1"/>
                <w:bCs w:val="1"/>
                <w:color w:val="auto"/>
                <w:w w:val="94"/>
              </w:rPr>
              <w:t>AMC Networks Inc.</w:t>
            </w: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6"/>
        </w:trPr>
        <w:tc>
          <w:tcPr>
            <w:tcW w:w="2500" w:type="dxa"/>
            <w:vAlign w:val="bottom"/>
          </w:tcPr>
          <w:p>
            <w:pPr>
              <w:spacing w:after="0"/>
              <w:rPr>
                <w:sz w:val="21"/>
                <w:szCs w:val="21"/>
                <w:color w:val="auto"/>
              </w:rPr>
            </w:pPr>
          </w:p>
        </w:tc>
        <w:tc>
          <w:tcPr>
            <w:tcW w:w="7160" w:type="dxa"/>
            <w:vAlign w:val="bottom"/>
            <w:gridSpan w:val="4"/>
          </w:tcPr>
          <w:p>
            <w:pPr>
              <w:jc w:val="center"/>
              <w:ind w:right="190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74"/>
        </w:trPr>
        <w:tc>
          <w:tcPr>
            <w:tcW w:w="250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880" w:type="dxa"/>
            <w:vAlign w:val="bottom"/>
          </w:tcPr>
          <w:p>
            <w:pPr>
              <w:spacing w:after="0"/>
              <w:rPr>
                <w:sz w:val="6"/>
                <w:szCs w:val="6"/>
                <w:color w:val="auto"/>
              </w:rPr>
            </w:pPr>
          </w:p>
        </w:tc>
      </w:tr>
      <w:tr>
        <w:trPr>
          <w:trHeight w:val="709"/>
        </w:trPr>
        <w:tc>
          <w:tcPr>
            <w:tcW w:w="3500" w:type="dxa"/>
            <w:vAlign w:val="bottom"/>
            <w:gridSpan w:val="2"/>
          </w:tcPr>
          <w:p>
            <w:pPr>
              <w:jc w:val="center"/>
              <w:ind w:left="999"/>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tcPr>
          <w:p>
            <w:pPr>
              <w:spacing w:after="0"/>
              <w:rPr>
                <w:sz w:val="24"/>
                <w:szCs w:val="24"/>
                <w:color w:val="auto"/>
              </w:rPr>
            </w:pPr>
          </w:p>
        </w:tc>
        <w:tc>
          <w:tcPr>
            <w:tcW w:w="314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3500" w:type="dxa"/>
            <w:vAlign w:val="bottom"/>
            <w:gridSpan w:val="2"/>
          </w:tcPr>
          <w:p>
            <w:pPr>
              <w:jc w:val="center"/>
              <w:ind w:left="1019"/>
              <w:spacing w:after="0"/>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spacing w:after="0"/>
              <w:rPr>
                <w:sz w:val="15"/>
                <w:szCs w:val="15"/>
                <w:color w:val="auto"/>
              </w:rPr>
            </w:pPr>
          </w:p>
        </w:tc>
        <w:tc>
          <w:tcPr>
            <w:tcW w:w="3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00" w:type="dxa"/>
            <w:vAlign w:val="bottom"/>
            <w:gridSpan w:val="2"/>
          </w:tcPr>
          <w:p>
            <w:pPr>
              <w:jc w:val="center"/>
              <w:ind w:left="10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spacing w:after="0"/>
              <w:rPr>
                <w:sz w:val="16"/>
                <w:szCs w:val="16"/>
                <w:color w:val="auto"/>
              </w:rPr>
            </w:pPr>
          </w:p>
        </w:tc>
        <w:tc>
          <w:tcPr>
            <w:tcW w:w="3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Identification No.)</w:t>
            </w:r>
          </w:p>
        </w:tc>
      </w:tr>
      <w:tr>
        <w:trPr>
          <w:trHeight w:val="309"/>
        </w:trPr>
        <w:tc>
          <w:tcPr>
            <w:tcW w:w="3500" w:type="dxa"/>
            <w:vAlign w:val="bottom"/>
            <w:gridSpan w:val="2"/>
          </w:tcPr>
          <w:p>
            <w:pPr>
              <w:jc w:val="center"/>
              <w:ind w:left="999"/>
              <w:spacing w:after="0"/>
              <w:rPr>
                <w:sz w:val="20"/>
                <w:szCs w:val="20"/>
                <w:color w:val="auto"/>
              </w:rPr>
            </w:pPr>
            <w:r>
              <w:rPr>
                <w:rFonts w:ascii="Arial" w:cs="Arial" w:eastAsia="Arial" w:hAnsi="Arial"/>
                <w:sz w:val="18"/>
                <w:szCs w:val="18"/>
                <w:b w:val="1"/>
                <w:bCs w:val="1"/>
                <w:color w:val="auto"/>
                <w:w w:val="87"/>
              </w:rPr>
              <w:t>11 Penn Plaza,</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70"/>
        </w:trPr>
        <w:tc>
          <w:tcPr>
            <w:tcW w:w="3500" w:type="dxa"/>
            <w:vAlign w:val="bottom"/>
            <w:gridSpan w:val="2"/>
          </w:tcPr>
          <w:p>
            <w:pPr>
              <w:ind w:left="1480"/>
              <w:spacing w:after="0"/>
              <w:rPr>
                <w:sz w:val="20"/>
                <w:szCs w:val="20"/>
                <w:color w:val="auto"/>
              </w:rPr>
            </w:pPr>
            <w:r>
              <w:rPr>
                <w:rFonts w:ascii="Arial" w:cs="Arial" w:eastAsia="Arial" w:hAnsi="Arial"/>
                <w:sz w:val="18"/>
                <w:szCs w:val="18"/>
                <w:b w:val="1"/>
                <w:bCs w:val="1"/>
                <w:color w:val="auto"/>
              </w:rPr>
              <w:t>New York, NY</w:t>
            </w:r>
          </w:p>
        </w:tc>
        <w:tc>
          <w:tcPr>
            <w:tcW w:w="3020" w:type="dxa"/>
            <w:vAlign w:val="bottom"/>
          </w:tcPr>
          <w:p>
            <w:pPr>
              <w:spacing w:after="0"/>
              <w:rPr>
                <w:sz w:val="23"/>
                <w:szCs w:val="23"/>
                <w:color w:val="auto"/>
              </w:rPr>
            </w:pPr>
          </w:p>
        </w:tc>
        <w:tc>
          <w:tcPr>
            <w:tcW w:w="3140" w:type="dxa"/>
            <w:vAlign w:val="bottom"/>
            <w:gridSpan w:val="2"/>
          </w:tcPr>
          <w:p>
            <w:pPr>
              <w:jc w:val="right"/>
              <w:ind w:right="1440"/>
              <w:spacing w:after="0"/>
              <w:rPr>
                <w:sz w:val="20"/>
                <w:szCs w:val="20"/>
                <w:color w:val="auto"/>
              </w:rPr>
            </w:pPr>
            <w:r>
              <w:rPr>
                <w:rFonts w:ascii="Arial" w:cs="Arial" w:eastAsia="Arial" w:hAnsi="Arial"/>
                <w:sz w:val="18"/>
                <w:szCs w:val="18"/>
                <w:b w:val="1"/>
                <w:bCs w:val="1"/>
                <w:color w:val="auto"/>
              </w:rPr>
              <w:t>10001</w:t>
            </w:r>
          </w:p>
        </w:tc>
      </w:tr>
      <w:tr>
        <w:trPr>
          <w:trHeight w:val="218"/>
        </w:trPr>
        <w:tc>
          <w:tcPr>
            <w:tcW w:w="3500" w:type="dxa"/>
            <w:vAlign w:val="bottom"/>
            <w:gridSpan w:val="2"/>
          </w:tcPr>
          <w:p>
            <w:pPr>
              <w:jc w:val="center"/>
              <w:ind w:left="9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spacing w:after="0"/>
              <w:rPr>
                <w:sz w:val="18"/>
                <w:szCs w:val="18"/>
                <w:color w:val="auto"/>
              </w:rPr>
            </w:pPr>
          </w:p>
        </w:tc>
        <w:tc>
          <w:tcPr>
            <w:tcW w:w="3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20" w:type="dxa"/>
            <w:vAlign w:val="bottom"/>
          </w:tcPr>
          <w:p>
            <w:pPr>
              <w:jc w:val="center"/>
              <w:ind w:left="166"/>
              <w:spacing w:after="0"/>
              <w:rPr>
                <w:sz w:val="20"/>
                <w:szCs w:val="20"/>
                <w:color w:val="auto"/>
              </w:rPr>
            </w:pPr>
            <w:r>
              <w:rPr>
                <w:rFonts w:ascii="Arial" w:cs="Arial" w:eastAsia="Arial" w:hAnsi="Arial"/>
                <w:sz w:val="18"/>
                <w:szCs w:val="18"/>
                <w:b w:val="1"/>
                <w:bCs w:val="1"/>
                <w:color w:val="auto"/>
                <w:w w:val="90"/>
              </w:rPr>
              <w:t>(212) 324-8500</w:t>
            </w:r>
          </w:p>
        </w:tc>
        <w:tc>
          <w:tcPr>
            <w:tcW w:w="12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62"/>
        </w:trPr>
        <w:tc>
          <w:tcPr>
            <w:tcW w:w="2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60" w:type="dxa"/>
            <w:vAlign w:val="bottom"/>
            <w:gridSpan w:val="3"/>
          </w:tcPr>
          <w:p>
            <w:pPr>
              <w:jc w:val="center"/>
              <w:ind w:right="288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6"/>
        </w:trPr>
        <w:tc>
          <w:tcPr>
            <w:tcW w:w="2500" w:type="dxa"/>
            <w:vAlign w:val="bottom"/>
          </w:tcPr>
          <w:p>
            <w:pPr>
              <w:spacing w:after="0"/>
              <w:rPr>
                <w:sz w:val="16"/>
                <w:szCs w:val="16"/>
                <w:color w:val="auto"/>
              </w:rPr>
            </w:pPr>
          </w:p>
        </w:tc>
        <w:tc>
          <w:tcPr>
            <w:tcW w:w="71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49"/>
        </w:trPr>
        <w:tc>
          <w:tcPr>
            <w:tcW w:w="3500" w:type="dxa"/>
            <w:vAlign w:val="bottom"/>
            <w:gridSpan w:val="2"/>
          </w:tcPr>
          <w:p>
            <w:pPr>
              <w:jc w:val="center"/>
              <w:ind w:right="163"/>
              <w:spacing w:after="0"/>
              <w:rPr>
                <w:sz w:val="20"/>
                <w:szCs w:val="20"/>
                <w:color w:val="auto"/>
              </w:rPr>
            </w:pPr>
            <w:r>
              <w:rPr>
                <w:rFonts w:ascii="Arial" w:cs="Arial" w:eastAsia="Arial" w:hAnsi="Arial"/>
                <w:sz w:val="16"/>
                <w:szCs w:val="16"/>
                <w:b w:val="1"/>
                <w:bCs w:val="1"/>
                <w:color w:val="auto"/>
                <w:w w:val="88"/>
              </w:rPr>
              <w:t>Title of each class</w:t>
            </w:r>
          </w:p>
        </w:tc>
        <w:tc>
          <w:tcPr>
            <w:tcW w:w="3020" w:type="dxa"/>
            <w:vAlign w:val="bottom"/>
          </w:tcPr>
          <w:p>
            <w:pPr>
              <w:ind w:left="520"/>
              <w:spacing w:after="0"/>
              <w:rPr>
                <w:sz w:val="20"/>
                <w:szCs w:val="20"/>
                <w:color w:val="auto"/>
              </w:rPr>
            </w:pPr>
            <w:r>
              <w:rPr>
                <w:rFonts w:ascii="Arial" w:cs="Arial" w:eastAsia="Arial" w:hAnsi="Arial"/>
                <w:sz w:val="16"/>
                <w:szCs w:val="16"/>
                <w:b w:val="1"/>
                <w:bCs w:val="1"/>
                <w:color w:val="auto"/>
              </w:rPr>
              <w:t>Trading Symbol(s)</w:t>
            </w:r>
          </w:p>
        </w:tc>
        <w:tc>
          <w:tcPr>
            <w:tcW w:w="3140" w:type="dxa"/>
            <w:vAlign w:val="bottom"/>
            <w:gridSpan w:val="2"/>
          </w:tcPr>
          <w:p>
            <w:pPr>
              <w:ind w:left="140"/>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57"/>
        </w:trPr>
        <w:tc>
          <w:tcPr>
            <w:tcW w:w="3500" w:type="dxa"/>
            <w:vAlign w:val="bottom"/>
            <w:gridSpan w:val="2"/>
          </w:tcPr>
          <w:p>
            <w:pPr>
              <w:jc w:val="center"/>
              <w:ind w:right="163"/>
              <w:spacing w:after="0"/>
              <w:rPr>
                <w:sz w:val="20"/>
                <w:szCs w:val="20"/>
                <w:color w:val="auto"/>
              </w:rPr>
            </w:pPr>
            <w:r>
              <w:rPr>
                <w:rFonts w:ascii="Arial" w:cs="Arial" w:eastAsia="Arial" w:hAnsi="Arial"/>
                <w:sz w:val="16"/>
                <w:szCs w:val="16"/>
                <w:color w:val="auto"/>
                <w:w w:val="90"/>
              </w:rPr>
              <w:t>Class A Common Stock, par value $0.01 per share</w:t>
            </w:r>
          </w:p>
        </w:tc>
        <w:tc>
          <w:tcPr>
            <w:tcW w:w="3020" w:type="dxa"/>
            <w:vAlign w:val="bottom"/>
          </w:tcPr>
          <w:p>
            <w:pPr>
              <w:ind w:left="980"/>
              <w:spacing w:after="0"/>
              <w:rPr>
                <w:sz w:val="20"/>
                <w:szCs w:val="20"/>
                <w:color w:val="auto"/>
              </w:rPr>
            </w:pPr>
            <w:r>
              <w:rPr>
                <w:rFonts w:ascii="Arial" w:cs="Arial" w:eastAsia="Arial" w:hAnsi="Arial"/>
                <w:sz w:val="16"/>
                <w:szCs w:val="16"/>
                <w:color w:val="auto"/>
              </w:rPr>
              <w:t>AMCX</w:t>
            </w:r>
          </w:p>
        </w:tc>
        <w:tc>
          <w:tcPr>
            <w:tcW w:w="3140" w:type="dxa"/>
            <w:vAlign w:val="bottom"/>
            <w:gridSpan w:val="2"/>
          </w:tcPr>
          <w:p>
            <w:pPr>
              <w:ind w:left="300"/>
              <w:spacing w:after="0"/>
              <w:rPr>
                <w:sz w:val="20"/>
                <w:szCs w:val="20"/>
                <w:color w:val="auto"/>
              </w:rPr>
            </w:pPr>
            <w:r>
              <w:rPr>
                <w:rFonts w:ascii="Arial" w:cs="Arial" w:eastAsia="Arial" w:hAnsi="Arial"/>
                <w:sz w:val="16"/>
                <w:szCs w:val="16"/>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1960245</wp:posOffset>
            </wp:positionH>
            <wp:positionV relativeFrom="paragraph">
              <wp:posOffset>260985</wp:posOffset>
            </wp:positionV>
            <wp:extent cx="33445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w:t>
      </w:r>
    </w:p>
    <w:tbl>
      <w:tblPr>
        <w:tblLayout w:type="fixed"/>
        <w:tblInd w:w="0" w:type="dxa"/>
        <w:tblCellMar>
          <w:top w:w="0" w:type="dxa"/>
          <w:left w:w="0" w:type="dxa"/>
          <w:bottom w:w="0" w:type="dxa"/>
          <w:right w:w="0" w:type="dxa"/>
        </w:tblCellMar>
      </w:tblPr>
      <w:tr>
        <w:trPr>
          <w:trHeight w:val="176"/>
        </w:trPr>
        <w:tc>
          <w:tcPr>
            <w:tcW w:w="800" w:type="dxa"/>
            <w:vAlign w:val="bottom"/>
          </w:tcPr>
          <w:p>
            <w:pPr>
              <w:spacing w:after="0" w:line="176" w:lineRule="exact"/>
              <w:rPr>
                <w:sz w:val="20"/>
                <w:szCs w:val="20"/>
                <w:color w:val="auto"/>
              </w:rPr>
            </w:pPr>
            <w:r>
              <w:rPr>
                <w:rFonts w:ascii="Arial" w:cs="Arial" w:eastAsia="Arial" w:hAnsi="Arial"/>
                <w:sz w:val="16"/>
                <w:szCs w:val="16"/>
                <w:color w:val="auto"/>
              </w:rPr>
              <w:t>12 months</w:t>
            </w:r>
          </w:p>
        </w:tc>
        <w:tc>
          <w:tcPr>
            <w:tcW w:w="280" w:type="dxa"/>
            <w:vAlign w:val="bottom"/>
          </w:tcPr>
          <w:p>
            <w:pPr>
              <w:jc w:val="center"/>
              <w:spacing w:after="0" w:line="176" w:lineRule="exact"/>
              <w:rPr>
                <w:sz w:val="20"/>
                <w:szCs w:val="20"/>
                <w:color w:val="auto"/>
              </w:rPr>
            </w:pPr>
            <w:r>
              <w:rPr>
                <w:rFonts w:ascii="Arial" w:cs="Arial" w:eastAsia="Arial" w:hAnsi="Arial"/>
                <w:sz w:val="16"/>
                <w:szCs w:val="16"/>
                <w:color w:val="auto"/>
                <w:w w:val="91"/>
              </w:rPr>
              <w:t>(or</w:t>
            </w:r>
          </w:p>
        </w:tc>
        <w:tc>
          <w:tcPr>
            <w:tcW w:w="240" w:type="dxa"/>
            <w:vAlign w:val="bottom"/>
          </w:tcPr>
          <w:p>
            <w:pPr>
              <w:ind w:left="40"/>
              <w:spacing w:after="0" w:line="176" w:lineRule="exact"/>
              <w:rPr>
                <w:sz w:val="20"/>
                <w:szCs w:val="20"/>
                <w:color w:val="auto"/>
              </w:rPr>
            </w:pPr>
            <w:r>
              <w:rPr>
                <w:rFonts w:ascii="Arial" w:cs="Arial" w:eastAsia="Arial" w:hAnsi="Arial"/>
                <w:sz w:val="16"/>
                <w:szCs w:val="16"/>
                <w:color w:val="auto"/>
                <w:w w:val="96"/>
              </w:rPr>
              <w:t>for</w:t>
            </w:r>
          </w:p>
        </w:tc>
        <w:tc>
          <w:tcPr>
            <w:tcW w:w="4320" w:type="dxa"/>
            <w:vAlign w:val="bottom"/>
          </w:tcPr>
          <w:p>
            <w:pPr>
              <w:ind w:left="80"/>
              <w:spacing w:after="0" w:line="176" w:lineRule="exact"/>
              <w:rPr>
                <w:sz w:val="20"/>
                <w:szCs w:val="20"/>
                <w:color w:val="auto"/>
              </w:rPr>
            </w:pPr>
            <w:r>
              <w:rPr>
                <w:rFonts w:ascii="Arial" w:cs="Arial" w:eastAsia="Arial" w:hAnsi="Arial"/>
                <w:sz w:val="16"/>
                <w:szCs w:val="16"/>
                <w:color w:val="auto"/>
              </w:rPr>
              <w:t>such shorter period that the registrant was required to file</w:t>
            </w:r>
          </w:p>
        </w:tc>
        <w:tc>
          <w:tcPr>
            <w:tcW w:w="1680" w:type="dxa"/>
            <w:vAlign w:val="bottom"/>
          </w:tcPr>
          <w:p>
            <w:pPr>
              <w:ind w:left="40"/>
              <w:spacing w:after="0" w:line="176" w:lineRule="exact"/>
              <w:rPr>
                <w:sz w:val="20"/>
                <w:szCs w:val="20"/>
                <w:color w:val="auto"/>
              </w:rPr>
            </w:pPr>
            <w:r>
              <w:rPr>
                <w:rFonts w:ascii="Arial" w:cs="Arial" w:eastAsia="Arial" w:hAnsi="Arial"/>
                <w:sz w:val="16"/>
                <w:szCs w:val="16"/>
                <w:color w:val="auto"/>
              </w:rPr>
              <w:t>such reports), and (2)</w:t>
            </w:r>
          </w:p>
        </w:tc>
        <w:tc>
          <w:tcPr>
            <w:tcW w:w="660" w:type="dxa"/>
            <w:vAlign w:val="bottom"/>
          </w:tcPr>
          <w:p>
            <w:pPr>
              <w:spacing w:after="0" w:line="176" w:lineRule="exact"/>
              <w:rPr>
                <w:sz w:val="20"/>
                <w:szCs w:val="20"/>
                <w:color w:val="auto"/>
              </w:rPr>
            </w:pPr>
            <w:r>
              <w:rPr>
                <w:rFonts w:ascii="Arial" w:cs="Arial" w:eastAsia="Arial" w:hAnsi="Arial"/>
                <w:sz w:val="16"/>
                <w:szCs w:val="16"/>
                <w:color w:val="auto"/>
                <w:w w:val="97"/>
              </w:rPr>
              <w:t>has been</w:t>
            </w:r>
          </w:p>
        </w:tc>
        <w:tc>
          <w:tcPr>
            <w:tcW w:w="740" w:type="dxa"/>
            <w:vAlign w:val="bottom"/>
          </w:tcPr>
          <w:p>
            <w:pPr>
              <w:ind w:left="60"/>
              <w:spacing w:after="0" w:line="176" w:lineRule="exact"/>
              <w:rPr>
                <w:sz w:val="20"/>
                <w:szCs w:val="20"/>
                <w:color w:val="auto"/>
              </w:rPr>
            </w:pPr>
            <w:r>
              <w:rPr>
                <w:rFonts w:ascii="Arial" w:cs="Arial" w:eastAsia="Arial" w:hAnsi="Arial"/>
                <w:sz w:val="16"/>
                <w:szCs w:val="16"/>
                <w:color w:val="auto"/>
                <w:w w:val="96"/>
              </w:rPr>
              <w:t>subject to</w:t>
            </w:r>
          </w:p>
        </w:tc>
        <w:tc>
          <w:tcPr>
            <w:tcW w:w="900" w:type="dxa"/>
            <w:vAlign w:val="bottom"/>
          </w:tcPr>
          <w:p>
            <w:pPr>
              <w:jc w:val="center"/>
              <w:spacing w:after="0" w:line="176" w:lineRule="exact"/>
              <w:rPr>
                <w:sz w:val="20"/>
                <w:szCs w:val="20"/>
                <w:color w:val="auto"/>
              </w:rPr>
            </w:pPr>
            <w:r>
              <w:rPr>
                <w:rFonts w:ascii="Arial" w:cs="Arial" w:eastAsia="Arial" w:hAnsi="Arial"/>
                <w:sz w:val="16"/>
                <w:szCs w:val="16"/>
                <w:color w:val="auto"/>
              </w:rPr>
              <w:t>such filing</w:t>
            </w:r>
          </w:p>
        </w:tc>
        <w:tc>
          <w:tcPr>
            <w:tcW w:w="920" w:type="dxa"/>
            <w:vAlign w:val="bottom"/>
          </w:tcPr>
          <w:p>
            <w:pPr>
              <w:ind w:left="20"/>
              <w:spacing w:after="0" w:line="176" w:lineRule="exact"/>
              <w:rPr>
                <w:sz w:val="20"/>
                <w:szCs w:val="20"/>
                <w:color w:val="auto"/>
              </w:rPr>
            </w:pPr>
            <w:r>
              <w:rPr>
                <w:rFonts w:ascii="Arial" w:cs="Arial" w:eastAsia="Arial" w:hAnsi="Arial"/>
                <w:sz w:val="16"/>
                <w:szCs w:val="16"/>
                <w:color w:val="auto"/>
                <w:w w:val="94"/>
              </w:rPr>
              <w:t>requirements</w:t>
            </w:r>
          </w:p>
        </w:tc>
        <w:tc>
          <w:tcPr>
            <w:tcW w:w="540" w:type="dxa"/>
            <w:vAlign w:val="bottom"/>
          </w:tcPr>
          <w:p>
            <w:pPr>
              <w:ind w:left="40"/>
              <w:spacing w:after="0" w:line="176" w:lineRule="exact"/>
              <w:rPr>
                <w:sz w:val="20"/>
                <w:szCs w:val="20"/>
                <w:color w:val="auto"/>
              </w:rPr>
            </w:pPr>
            <w:r>
              <w:rPr>
                <w:rFonts w:ascii="Arial" w:cs="Arial" w:eastAsia="Arial" w:hAnsi="Arial"/>
                <w:sz w:val="16"/>
                <w:szCs w:val="16"/>
                <w:color w:val="auto"/>
              </w:rPr>
              <w:t>for the</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past</w:t>
            </w:r>
          </w:p>
        </w:tc>
      </w:tr>
      <w:tr>
        <w:trPr>
          <w:trHeight w:val="254"/>
        </w:trPr>
        <w:tc>
          <w:tcPr>
            <w:tcW w:w="1320" w:type="dxa"/>
            <w:vAlign w:val="bottom"/>
            <w:gridSpan w:val="3"/>
          </w:tcPr>
          <w:p>
            <w:pPr>
              <w:spacing w:after="0" w:line="184" w:lineRule="exact"/>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p>
        </w:tc>
        <w:tc>
          <w:tcPr>
            <w:tcW w:w="432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1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16"/>
        </w:trPr>
        <w:tc>
          <w:tcPr>
            <w:tcW w:w="10540" w:type="dxa"/>
            <w:vAlign w:val="bottom"/>
            <w:gridSpan w:val="9"/>
          </w:tcPr>
          <w:p>
            <w:pPr>
              <w:spacing w:after="0"/>
              <w:rPr>
                <w:sz w:val="20"/>
                <w:szCs w:val="20"/>
                <w:color w:val="auto"/>
              </w:rPr>
            </w:pPr>
            <w:r>
              <w:rPr>
                <w:rFonts w:ascii="Arial" w:cs="Arial" w:eastAsia="Arial" w:hAnsi="Arial"/>
                <w:sz w:val="16"/>
                <w:szCs w:val="16"/>
                <w:color w:val="auto"/>
                <w:w w:val="99"/>
              </w:rPr>
              <w:t>Indicate by check mark whether the registrant has submitted electronically every Interactive Data File required to be submitted and posted pursuant to</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Rule 405 of</w:t>
            </w:r>
          </w:p>
        </w:tc>
      </w:tr>
      <w:tr>
        <w:trPr>
          <w:trHeight w:val="159"/>
        </w:trPr>
        <w:tc>
          <w:tcPr>
            <w:tcW w:w="800" w:type="dxa"/>
            <w:vAlign w:val="bottom"/>
          </w:tcPr>
          <w:p>
            <w:pPr>
              <w:spacing w:after="0" w:line="159" w:lineRule="exact"/>
              <w:rPr>
                <w:sz w:val="20"/>
                <w:szCs w:val="20"/>
                <w:color w:val="auto"/>
              </w:rPr>
            </w:pPr>
            <w:r>
              <w:rPr>
                <w:rFonts w:ascii="Arial" w:cs="Arial" w:eastAsia="Arial" w:hAnsi="Arial"/>
                <w:sz w:val="16"/>
                <w:szCs w:val="16"/>
                <w:color w:val="auto"/>
              </w:rPr>
              <w:t>Regulation</w:t>
            </w:r>
          </w:p>
        </w:tc>
        <w:tc>
          <w:tcPr>
            <w:tcW w:w="280" w:type="dxa"/>
            <w:vAlign w:val="bottom"/>
          </w:tcPr>
          <w:p>
            <w:pPr>
              <w:jc w:val="center"/>
              <w:spacing w:after="0" w:line="159" w:lineRule="exact"/>
              <w:rPr>
                <w:sz w:val="20"/>
                <w:szCs w:val="20"/>
                <w:color w:val="auto"/>
              </w:rPr>
            </w:pPr>
            <w:r>
              <w:rPr>
                <w:rFonts w:ascii="Arial" w:cs="Arial" w:eastAsia="Arial" w:hAnsi="Arial"/>
                <w:sz w:val="16"/>
                <w:szCs w:val="16"/>
                <w:color w:val="auto"/>
              </w:rPr>
              <w:t>S-T</w:t>
            </w:r>
          </w:p>
        </w:tc>
        <w:tc>
          <w:tcPr>
            <w:tcW w:w="4560" w:type="dxa"/>
            <w:vAlign w:val="bottom"/>
            <w:gridSpan w:val="2"/>
          </w:tcPr>
          <w:p>
            <w:pPr>
              <w:ind w:left="60"/>
              <w:spacing w:after="0" w:line="159" w:lineRule="exact"/>
              <w:rPr>
                <w:sz w:val="20"/>
                <w:szCs w:val="20"/>
                <w:color w:val="auto"/>
              </w:rPr>
            </w:pPr>
            <w:r>
              <w:rPr>
                <w:rFonts w:ascii="Arial" w:cs="Arial" w:eastAsia="Arial" w:hAnsi="Arial"/>
                <w:sz w:val="16"/>
                <w:szCs w:val="16"/>
                <w:color w:val="auto"/>
              </w:rPr>
              <w:t>(§232.405 of this chapter) during the preceding 12 months (or</w:t>
            </w:r>
          </w:p>
        </w:tc>
        <w:tc>
          <w:tcPr>
            <w:tcW w:w="1680" w:type="dxa"/>
            <w:vAlign w:val="bottom"/>
          </w:tcPr>
          <w:p>
            <w:pPr>
              <w:ind w:left="40"/>
              <w:spacing w:after="0" w:line="159" w:lineRule="exact"/>
              <w:rPr>
                <w:sz w:val="20"/>
                <w:szCs w:val="20"/>
                <w:color w:val="auto"/>
              </w:rPr>
            </w:pPr>
            <w:r>
              <w:rPr>
                <w:rFonts w:ascii="Arial" w:cs="Arial" w:eastAsia="Arial" w:hAnsi="Arial"/>
                <w:sz w:val="16"/>
                <w:szCs w:val="16"/>
                <w:color w:val="auto"/>
              </w:rPr>
              <w:t>for such shorter period</w:t>
            </w:r>
          </w:p>
        </w:tc>
        <w:tc>
          <w:tcPr>
            <w:tcW w:w="660" w:type="dxa"/>
            <w:vAlign w:val="bottom"/>
          </w:tcPr>
          <w:p>
            <w:pPr>
              <w:ind w:left="80"/>
              <w:spacing w:after="0" w:line="159" w:lineRule="exact"/>
              <w:rPr>
                <w:sz w:val="20"/>
                <w:szCs w:val="20"/>
                <w:color w:val="auto"/>
              </w:rPr>
            </w:pPr>
            <w:r>
              <w:rPr>
                <w:rFonts w:ascii="Arial" w:cs="Arial" w:eastAsia="Arial" w:hAnsi="Arial"/>
                <w:sz w:val="16"/>
                <w:szCs w:val="16"/>
                <w:color w:val="auto"/>
              </w:rPr>
              <w:t>that the</w:t>
            </w:r>
          </w:p>
        </w:tc>
        <w:tc>
          <w:tcPr>
            <w:tcW w:w="740" w:type="dxa"/>
            <w:vAlign w:val="bottom"/>
          </w:tcPr>
          <w:p>
            <w:pPr>
              <w:ind w:left="40"/>
              <w:spacing w:after="0" w:line="159" w:lineRule="exact"/>
              <w:rPr>
                <w:sz w:val="20"/>
                <w:szCs w:val="20"/>
                <w:color w:val="auto"/>
              </w:rPr>
            </w:pPr>
            <w:r>
              <w:rPr>
                <w:rFonts w:ascii="Arial" w:cs="Arial" w:eastAsia="Arial" w:hAnsi="Arial"/>
                <w:sz w:val="16"/>
                <w:szCs w:val="16"/>
                <w:color w:val="auto"/>
              </w:rPr>
              <w:t>registrant</w:t>
            </w:r>
          </w:p>
        </w:tc>
        <w:tc>
          <w:tcPr>
            <w:tcW w:w="900" w:type="dxa"/>
            <w:vAlign w:val="bottom"/>
          </w:tcPr>
          <w:p>
            <w:pPr>
              <w:jc w:val="center"/>
              <w:spacing w:after="0" w:line="159" w:lineRule="exact"/>
              <w:rPr>
                <w:sz w:val="20"/>
                <w:szCs w:val="20"/>
                <w:color w:val="auto"/>
              </w:rPr>
            </w:pPr>
            <w:r>
              <w:rPr>
                <w:rFonts w:ascii="Arial" w:cs="Arial" w:eastAsia="Arial" w:hAnsi="Arial"/>
                <w:sz w:val="16"/>
                <w:szCs w:val="16"/>
                <w:color w:val="auto"/>
                <w:w w:val="96"/>
              </w:rPr>
              <w:t>was required</w:t>
            </w:r>
          </w:p>
        </w:tc>
        <w:tc>
          <w:tcPr>
            <w:tcW w:w="1460" w:type="dxa"/>
            <w:vAlign w:val="bottom"/>
            <w:gridSpan w:val="2"/>
          </w:tcPr>
          <w:p>
            <w:pPr>
              <w:ind w:left="80"/>
              <w:spacing w:after="0" w:line="159" w:lineRule="exact"/>
              <w:rPr>
                <w:sz w:val="20"/>
                <w:szCs w:val="20"/>
                <w:color w:val="auto"/>
              </w:rPr>
            </w:pPr>
            <w:r>
              <w:rPr>
                <w:rFonts w:ascii="Arial" w:cs="Arial" w:eastAsia="Arial" w:hAnsi="Arial"/>
                <w:sz w:val="16"/>
                <w:szCs w:val="16"/>
                <w:color w:val="auto"/>
              </w:rPr>
              <w:t>to submit and post</w:t>
            </w:r>
          </w:p>
        </w:tc>
        <w:tc>
          <w:tcPr>
            <w:tcW w:w="340" w:type="dxa"/>
            <w:vAlign w:val="bottom"/>
          </w:tcPr>
          <w:p>
            <w:pPr>
              <w:jc w:val="right"/>
              <w:spacing w:after="0" w:line="159" w:lineRule="exact"/>
              <w:rPr>
                <w:sz w:val="20"/>
                <w:szCs w:val="20"/>
                <w:color w:val="auto"/>
              </w:rPr>
            </w:pPr>
            <w:r>
              <w:rPr>
                <w:rFonts w:ascii="Arial" w:cs="Arial" w:eastAsia="Arial" w:hAnsi="Arial"/>
                <w:sz w:val="16"/>
                <w:szCs w:val="16"/>
                <w:color w:val="auto"/>
                <w:w w:val="94"/>
              </w:rPr>
              <w:t>such</w:t>
            </w:r>
          </w:p>
        </w:tc>
      </w:tr>
      <w:tr>
        <w:trPr>
          <w:trHeight w:val="254"/>
        </w:trPr>
        <w:tc>
          <w:tcPr>
            <w:tcW w:w="800" w:type="dxa"/>
            <w:vAlign w:val="bottom"/>
          </w:tcPr>
          <w:p>
            <w:pPr>
              <w:spacing w:after="0"/>
              <w:rPr>
                <w:sz w:val="20"/>
                <w:szCs w:val="20"/>
                <w:color w:val="auto"/>
              </w:rPr>
            </w:pPr>
            <w:r>
              <w:rPr>
                <w:rFonts w:ascii="Arial" w:cs="Arial" w:eastAsia="Arial" w:hAnsi="Arial"/>
                <w:sz w:val="16"/>
                <w:szCs w:val="16"/>
                <w:color w:val="auto"/>
              </w:rPr>
              <w:t>files).  Yes</w:t>
            </w:r>
          </w:p>
        </w:tc>
        <w:tc>
          <w:tcPr>
            <w:tcW w:w="2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4560" w:type="dxa"/>
            <w:vAlign w:val="bottom"/>
            <w:gridSpan w:val="2"/>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1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r>
    </w:tbl>
    <w:p>
      <w:pPr>
        <w:spacing w:after="0" w:line="127"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65"/>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38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51"/>
        </w:trPr>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4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560" w:type="dxa"/>
            <w:vAlign w:val="bottom"/>
          </w:tcPr>
          <w:p>
            <w:pPr>
              <w:ind w:left="38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980" w:type="dxa"/>
            <w:vAlign w:val="bottom"/>
          </w:tcPr>
          <w:p>
            <w:pPr>
              <w:jc w:val="right"/>
              <w:ind w:right="273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33"/>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October 25, 2019:</w:t>
            </w:r>
          </w:p>
        </w:tc>
        <w:tc>
          <w:tcPr>
            <w:tcW w:w="3980" w:type="dxa"/>
            <w:vAlign w:val="bottom"/>
          </w:tcPr>
          <w:p>
            <w:pPr>
              <w:spacing w:after="0"/>
              <w:rPr>
                <w:sz w:val="24"/>
                <w:szCs w:val="24"/>
                <w:color w:val="auto"/>
              </w:rPr>
            </w:pPr>
          </w:p>
        </w:tc>
      </w:tr>
      <w:tr>
        <w:trPr>
          <w:trHeight w:val="297"/>
        </w:trPr>
        <w:tc>
          <w:tcPr>
            <w:tcW w:w="7440" w:type="dxa"/>
            <w:vAlign w:val="bottom"/>
          </w:tcPr>
          <w:p>
            <w:pPr>
              <w:ind w:left="1460"/>
              <w:spacing w:after="0"/>
              <w:rPr>
                <w:sz w:val="20"/>
                <w:szCs w:val="20"/>
                <w:color w:val="auto"/>
              </w:rPr>
            </w:pPr>
            <w:r>
              <w:rPr>
                <w:rFonts w:ascii="Arial" w:cs="Arial" w:eastAsia="Arial" w:hAnsi="Arial"/>
                <w:sz w:val="16"/>
                <w:szCs w:val="16"/>
                <w:color w:val="auto"/>
              </w:rPr>
              <w:t>Class A Common Stock par value $0.01 per share</w:t>
            </w:r>
          </w:p>
        </w:tc>
        <w:tc>
          <w:tcPr>
            <w:tcW w:w="3980" w:type="dxa"/>
            <w:vAlign w:val="bottom"/>
          </w:tcPr>
          <w:p>
            <w:pPr>
              <w:jc w:val="right"/>
              <w:ind w:right="2259"/>
              <w:spacing w:after="0"/>
              <w:rPr>
                <w:sz w:val="20"/>
                <w:szCs w:val="20"/>
                <w:color w:val="auto"/>
              </w:rPr>
            </w:pPr>
            <w:r>
              <w:rPr>
                <w:rFonts w:ascii="Arial" w:cs="Arial" w:eastAsia="Arial" w:hAnsi="Arial"/>
                <w:sz w:val="16"/>
                <w:szCs w:val="16"/>
                <w:color w:val="auto"/>
              </w:rPr>
              <w:t>44,073,798</w:t>
            </w:r>
          </w:p>
        </w:tc>
      </w:tr>
      <w:tr>
        <w:trPr>
          <w:trHeight w:val="257"/>
        </w:trPr>
        <w:tc>
          <w:tcPr>
            <w:tcW w:w="7440" w:type="dxa"/>
            <w:vAlign w:val="bottom"/>
          </w:tcPr>
          <w:p>
            <w:pPr>
              <w:ind w:left="1460"/>
              <w:spacing w:after="0"/>
              <w:rPr>
                <w:sz w:val="20"/>
                <w:szCs w:val="20"/>
                <w:color w:val="auto"/>
              </w:rPr>
            </w:pPr>
            <w:r>
              <w:rPr>
                <w:rFonts w:ascii="Arial" w:cs="Arial" w:eastAsia="Arial" w:hAnsi="Arial"/>
                <w:sz w:val="16"/>
                <w:szCs w:val="16"/>
                <w:color w:val="auto"/>
              </w:rPr>
              <w:t>Class B Common Stock par value $0.01 per share</w:t>
            </w:r>
          </w:p>
        </w:tc>
        <w:tc>
          <w:tcPr>
            <w:tcW w:w="3980" w:type="dxa"/>
            <w:vAlign w:val="bottom"/>
          </w:tcPr>
          <w:p>
            <w:pPr>
              <w:jc w:val="right"/>
              <w:ind w:right="2259"/>
              <w:spacing w:after="0"/>
              <w:rPr>
                <w:sz w:val="20"/>
                <w:szCs w:val="20"/>
                <w:color w:val="auto"/>
              </w:rPr>
            </w:pPr>
            <w:r>
              <w:rPr>
                <w:rFonts w:ascii="Arial" w:cs="Arial" w:eastAsia="Arial" w:hAnsi="Arial"/>
                <w:sz w:val="16"/>
                <w:szCs w:val="16"/>
                <w:color w:val="auto"/>
              </w:rPr>
              <w:t>11,484,408</w:t>
            </w:r>
          </w:p>
        </w:tc>
      </w:tr>
      <w:tr>
        <w:trPr>
          <w:trHeight w:val="877"/>
        </w:trPr>
        <w:tc>
          <w:tcPr>
            <w:tcW w:w="74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780" w:type="dxa"/>
            <w:vAlign w:val="bottom"/>
            <w:gridSpan w:val="5"/>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gridSpan w:val="9"/>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540" w:type="dxa"/>
            <w:vAlign w:val="bottom"/>
            <w:gridSpan w:val="9"/>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3080" w:type="dxa"/>
            <w:vAlign w:val="bottom"/>
            <w:tcBorders>
              <w:bottom w:val="single" w:sz="8" w:color="0000FF"/>
            </w:tcBorders>
            <w:gridSpan w:val="9"/>
            <w:vMerge w:val="continue"/>
          </w:tcPr>
          <w:p>
            <w:pPr>
              <w:spacing w:after="0"/>
              <w:rPr>
                <w:sz w:val="14"/>
                <w:szCs w:val="14"/>
                <w:color w:val="auto"/>
              </w:rPr>
            </w:pPr>
          </w:p>
        </w:tc>
        <w:tc>
          <w:tcPr>
            <w:tcW w:w="7540" w:type="dxa"/>
            <w:vAlign w:val="bottom"/>
            <w:gridSpan w:val="9"/>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8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8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80" w:type="dxa"/>
            <w:vAlign w:val="bottom"/>
            <w:gridSpan w:val="14"/>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Comprehensive Income</w:t>
              </w:r>
            </w:hyperlink>
          </w:p>
        </w:tc>
        <w:tc>
          <w:tcPr>
            <w:tcW w:w="5500" w:type="dxa"/>
            <w:vAlign w:val="bottom"/>
            <w:gridSpan w:val="2"/>
          </w:tcPr>
          <w:p>
            <w:pPr>
              <w:spacing w:after="0"/>
              <w:rPr>
                <w:sz w:val="18"/>
                <w:szCs w:val="18"/>
                <w:color w:val="auto"/>
              </w:rPr>
            </w:pPr>
          </w:p>
        </w:tc>
        <w:tc>
          <w:tcPr>
            <w:tcW w:w="7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Stockholders' Equity</w:t>
              </w:r>
            </w:hyperlink>
          </w:p>
        </w:tc>
        <w:tc>
          <w:tcPr>
            <w:tcW w:w="220" w:type="dxa"/>
            <w:vAlign w:val="bottom"/>
          </w:tcPr>
          <w:p>
            <w:pPr>
              <w:spacing w:after="0"/>
              <w:rPr>
                <w:sz w:val="18"/>
                <w:szCs w:val="18"/>
                <w:color w:val="auto"/>
              </w:rPr>
            </w:pPr>
          </w:p>
        </w:tc>
        <w:tc>
          <w:tcPr>
            <w:tcW w:w="5500" w:type="dxa"/>
            <w:vAlign w:val="bottom"/>
            <w:gridSpan w:val="2"/>
          </w:tcPr>
          <w:p>
            <w:pPr>
              <w:spacing w:after="0"/>
              <w:rPr>
                <w:sz w:val="18"/>
                <w:szCs w:val="18"/>
                <w:color w:val="auto"/>
              </w:rPr>
            </w:pPr>
          </w:p>
        </w:tc>
        <w:tc>
          <w:tcPr>
            <w:tcW w:w="7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5720" w:type="dxa"/>
            <w:vAlign w:val="bottom"/>
            <w:gridSpan w:val="3"/>
          </w:tcPr>
          <w:p>
            <w:pPr>
              <w:spacing w:after="0"/>
              <w:rPr>
                <w:sz w:val="18"/>
                <w:szCs w:val="18"/>
                <w:color w:val="auto"/>
              </w:rPr>
            </w:pPr>
          </w:p>
        </w:tc>
        <w:tc>
          <w:tcPr>
            <w:tcW w:w="7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8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20" w:type="dxa"/>
            <w:vAlign w:val="bottom"/>
            <w:gridSpan w:val="1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 Management’s Discussion and Analysis of Financial Condition and Results of Operations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34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gridSpan w:val="15"/>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Item 3. Quantitative and Qualitative Disclosures About Market Risk</w:t>
              </w:r>
            </w:hyperlink>
          </w:p>
        </w:tc>
        <w:tc>
          <w:tcPr>
            <w:tcW w:w="2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4.</w:t>
              </w:r>
            </w:hyperlink>
          </w:p>
        </w:tc>
        <w:tc>
          <w:tcPr>
            <w:tcW w:w="1800" w:type="dxa"/>
            <w:vAlign w:val="bottom"/>
            <w:gridSpan w:val="4"/>
          </w:tcPr>
          <w:p>
            <w:pPr>
              <w:ind w:left="20"/>
              <w:spacing w:after="0"/>
              <w:rPr>
                <w:rFonts w:ascii="Arial" w:cs="Arial" w:eastAsia="Arial" w:hAnsi="Arial"/>
                <w:sz w:val="18"/>
                <w:szCs w:val="18"/>
                <w:color w:val="0000FF"/>
                <w:w w:val="88"/>
              </w:rPr>
            </w:pPr>
            <w:hyperlink w:anchor="page56">
              <w:r>
                <w:rPr>
                  <w:rFonts w:ascii="Arial" w:cs="Arial" w:eastAsia="Arial" w:hAnsi="Arial"/>
                  <w:sz w:val="18"/>
                  <w:szCs w:val="18"/>
                  <w:color w:val="0000FF"/>
                  <w:w w:val="88"/>
                </w:rPr>
                <w:t>Controls and Procedures</w:t>
              </w:r>
            </w:hyperlink>
          </w:p>
        </w:tc>
        <w:tc>
          <w:tcPr>
            <w:tcW w:w="2580" w:type="dxa"/>
            <w:vAlign w:val="bottom"/>
            <w:gridSpan w:val="9"/>
          </w:tcPr>
          <w:p>
            <w:pPr>
              <w:spacing w:after="0"/>
              <w:rPr>
                <w:sz w:val="18"/>
                <w:szCs w:val="18"/>
                <w:color w:val="auto"/>
              </w:rPr>
            </w:pPr>
          </w:p>
        </w:tc>
        <w:tc>
          <w:tcPr>
            <w:tcW w:w="5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6">
              <w:r>
                <w:rPr>
                  <w:rFonts w:ascii="Arial" w:cs="Arial" w:eastAsia="Arial" w:hAnsi="Arial"/>
                  <w:sz w:val="18"/>
                  <w:szCs w:val="18"/>
                  <w:color w:val="0000FF"/>
                  <w:w w:val="79"/>
                </w:rPr>
                <w:t>54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PART II. OTHER INFORMATION</w:t>
              </w:r>
            </w:hyperlink>
          </w:p>
        </w:tc>
        <w:tc>
          <w:tcPr>
            <w:tcW w:w="7840" w:type="dxa"/>
            <w:vAlign w:val="bottom"/>
            <w:gridSpan w:val="10"/>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57">
              <w:r>
                <w:rPr>
                  <w:rFonts w:ascii="Arial" w:cs="Arial" w:eastAsia="Arial" w:hAnsi="Arial"/>
                  <w:sz w:val="18"/>
                  <w:szCs w:val="18"/>
                  <w:color w:val="0000FF"/>
                  <w:w w:val="94"/>
                </w:rPr>
                <w:t>Item 1.</w:t>
              </w:r>
            </w:hyperlink>
          </w:p>
        </w:tc>
        <w:tc>
          <w:tcPr>
            <w:tcW w:w="1360" w:type="dxa"/>
            <w:vAlign w:val="bottom"/>
            <w:gridSpan w:val="3"/>
          </w:tcPr>
          <w:p>
            <w:pPr>
              <w:ind w:left="20"/>
              <w:spacing w:after="0"/>
              <w:rPr>
                <w:rFonts w:ascii="Arial" w:cs="Arial" w:eastAsia="Arial" w:hAnsi="Arial"/>
                <w:sz w:val="18"/>
                <w:szCs w:val="18"/>
                <w:color w:val="0000FF"/>
                <w:w w:val="88"/>
              </w:rPr>
            </w:pPr>
            <w:hyperlink w:anchor="page57">
              <w:r>
                <w:rPr>
                  <w:rFonts w:ascii="Arial" w:cs="Arial" w:eastAsia="Arial" w:hAnsi="Arial"/>
                  <w:sz w:val="18"/>
                  <w:szCs w:val="18"/>
                  <w:color w:val="0000FF"/>
                  <w:w w:val="88"/>
                </w:rPr>
                <w:t>Legal Proceedings</w:t>
              </w:r>
            </w:hyperlink>
          </w:p>
        </w:tc>
        <w:tc>
          <w:tcPr>
            <w:tcW w:w="852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57">
              <w:r>
                <w:rPr>
                  <w:rFonts w:ascii="Arial" w:cs="Arial" w:eastAsia="Arial" w:hAnsi="Arial"/>
                  <w:sz w:val="18"/>
                  <w:szCs w:val="18"/>
                  <w:color w:val="0000FF"/>
                  <w:w w:val="94"/>
                </w:rPr>
                <w:t>Item 2.</w:t>
              </w:r>
            </w:hyperlink>
          </w:p>
        </w:tc>
        <w:tc>
          <w:tcPr>
            <w:tcW w:w="4380" w:type="dxa"/>
            <w:vAlign w:val="bottom"/>
            <w:gridSpan w:val="13"/>
          </w:tcPr>
          <w:p>
            <w:pPr>
              <w:ind w:left="20"/>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Unregistered Sales of Equity Securities and Use of Proceeds</w:t>
              </w:r>
            </w:hyperlink>
          </w:p>
        </w:tc>
        <w:tc>
          <w:tcPr>
            <w:tcW w:w="5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760" w:type="dxa"/>
            <w:vAlign w:val="bottom"/>
            <w:gridSpan w:val="11"/>
            <w:shd w:val="clear" w:color="auto" w:fill="0000FF"/>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57">
              <w:r>
                <w:rPr>
                  <w:rFonts w:ascii="Arial" w:cs="Arial" w:eastAsia="Arial" w:hAnsi="Arial"/>
                  <w:sz w:val="18"/>
                  <w:szCs w:val="18"/>
                  <w:color w:val="0000FF"/>
                  <w:w w:val="94"/>
                </w:rPr>
                <w:t>Item 6.</w:t>
              </w:r>
            </w:hyperlink>
          </w:p>
        </w:tc>
        <w:tc>
          <w:tcPr>
            <w:tcW w:w="4380" w:type="dxa"/>
            <w:vAlign w:val="bottom"/>
            <w:gridSpan w:val="13"/>
          </w:tcPr>
          <w:p>
            <w:pPr>
              <w:ind w:left="20"/>
              <w:spacing w:after="0"/>
              <w:rPr>
                <w:rFonts w:ascii="Arial" w:cs="Arial" w:eastAsia="Arial" w:hAnsi="Arial"/>
                <w:sz w:val="18"/>
                <w:szCs w:val="18"/>
                <w:color w:val="0000FF"/>
              </w:rPr>
            </w:pPr>
            <w:hyperlink w:anchor="page57">
              <w:r>
                <w:rPr>
                  <w:rFonts w:ascii="Arial" w:cs="Arial" w:eastAsia="Arial" w:hAnsi="Arial"/>
                  <w:sz w:val="18"/>
                  <w:szCs w:val="18"/>
                  <w:color w:val="0000FF"/>
                </w:rPr>
                <w:t>Exhibits</w:t>
              </w:r>
            </w:hyperlink>
          </w:p>
        </w:tc>
        <w:tc>
          <w:tcPr>
            <w:tcW w:w="550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57">
              <w:r>
                <w:rPr>
                  <w:rFonts w:ascii="Arial" w:cs="Arial" w:eastAsia="Arial" w:hAnsi="Arial"/>
                  <w:sz w:val="18"/>
                  <w:szCs w:val="18"/>
                  <w:color w:val="0000FF"/>
                  <w:w w:val="79"/>
                </w:rPr>
                <w:t>55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6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20" w:type="dxa"/>
            <w:vAlign w:val="bottom"/>
            <w:gridSpan w:val="18"/>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SIGNATURES</w:t>
              </w:r>
            </w:hyperlink>
          </w:p>
        </w:tc>
        <w:tc>
          <w:tcPr>
            <w:tcW w:w="76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4040"/>
        <w:spacing w:after="0"/>
        <w:rPr>
          <w:sz w:val="20"/>
          <w:szCs w:val="20"/>
          <w:color w:val="auto"/>
        </w:rPr>
      </w:pPr>
      <w:r>
        <w:rPr>
          <w:rFonts w:ascii="Arial" w:cs="Arial" w:eastAsia="Arial" w:hAnsi="Arial"/>
          <w:sz w:val="16"/>
          <w:szCs w:val="16"/>
          <w:b w:val="1"/>
          <w:bCs w:val="1"/>
          <w:color w:val="auto"/>
        </w:rPr>
        <w:t>AMC NETWORKS INC. AND SUBSIDIARIES</w:t>
      </w:r>
    </w:p>
    <w:p>
      <w:pPr>
        <w:ind w:left="378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ind w:right="-19"/>
        <w:spacing w:after="0" w:line="212" w:lineRule="auto"/>
        <w:rPr>
          <w:sz w:val="20"/>
          <w:szCs w:val="20"/>
          <w:color w:val="auto"/>
        </w:rPr>
      </w:pPr>
      <w:r>
        <w:rPr>
          <w:rFonts w:ascii="Arial" w:cs="Arial" w:eastAsia="Arial" w:hAnsi="Arial"/>
          <w:sz w:val="16"/>
          <w:szCs w:val="16"/>
          <w:b w:val="1"/>
          <w:bCs w:val="1"/>
          <w:color w:val="auto"/>
        </w:rPr>
        <w:t>(in thousands, except per share amounts)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2019</w:t>
            </w:r>
          </w:p>
        </w:tc>
        <w:tc>
          <w:tcPr>
            <w:tcW w:w="18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3"/>
        </w:trPr>
        <w:tc>
          <w:tcPr>
            <w:tcW w:w="7660" w:type="dxa"/>
            <w:vAlign w:val="bottom"/>
            <w:vMerge w:val="restart"/>
          </w:tcPr>
          <w:p>
            <w:pPr>
              <w:ind w:left="35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3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773,386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554,886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trade (less allowance for doubtful accounts of $8,645 and $10,788)</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807,481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835,977</w:t>
            </w:r>
          </w:p>
        </w:tc>
        <w:tc>
          <w:tcPr>
            <w:tcW w:w="0" w:type="dxa"/>
            <w:vAlign w:val="bottom"/>
          </w:tcPr>
          <w:p>
            <w:pPr>
              <w:spacing w:after="0"/>
              <w:rPr>
                <w:sz w:val="1"/>
                <w:szCs w:val="1"/>
                <w:color w:val="auto"/>
              </w:rPr>
            </w:pPr>
          </w:p>
        </w:tc>
      </w:tr>
      <w:tr>
        <w:trPr>
          <w:trHeight w:val="224"/>
        </w:trPr>
        <w:tc>
          <w:tcPr>
            <w:tcW w:w="7660" w:type="dxa"/>
            <w:vAlign w:val="bottom"/>
          </w:tcPr>
          <w:p>
            <w:pPr>
              <w:ind w:left="320"/>
              <w:spacing w:after="0"/>
              <w:rPr>
                <w:sz w:val="20"/>
                <w:szCs w:val="20"/>
                <w:color w:val="auto"/>
              </w:rPr>
            </w:pPr>
            <w:r>
              <w:rPr>
                <w:rFonts w:ascii="Arial" w:cs="Arial" w:eastAsia="Arial" w:hAnsi="Arial"/>
                <w:sz w:val="16"/>
                <w:szCs w:val="16"/>
                <w:color w:val="auto"/>
              </w:rPr>
              <w:t>Current portion of program rights, net</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456,288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440,739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187,755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131,809</w:t>
            </w:r>
          </w:p>
        </w:tc>
        <w:tc>
          <w:tcPr>
            <w:tcW w:w="0" w:type="dxa"/>
            <w:vAlign w:val="bottom"/>
          </w:tcPr>
          <w:p>
            <w:pPr>
              <w:spacing w:after="0"/>
              <w:rPr>
                <w:sz w:val="1"/>
                <w:szCs w:val="1"/>
                <w:color w:val="auto"/>
              </w:rPr>
            </w:pPr>
          </w:p>
        </w:tc>
      </w:tr>
      <w:tr>
        <w:trPr>
          <w:trHeight w:val="217"/>
        </w:trPr>
        <w:tc>
          <w:tcPr>
            <w:tcW w:w="766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2,224,910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1,963,411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$333,475 and $293,918</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269,287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246,262</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1,051,068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1,214,051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carriage fees, net</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16,831</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540,365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578,907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782,234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798,037</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Deferred tax asset, net</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61,376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19,272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172,575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499,062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441,792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5,618,209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5,278,563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123,838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107,066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238,937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264,918</w:t>
            </w:r>
          </w:p>
        </w:tc>
        <w:tc>
          <w:tcPr>
            <w:tcW w:w="0" w:type="dxa"/>
            <w:vAlign w:val="bottom"/>
          </w:tcPr>
          <w:p>
            <w:pPr>
              <w:spacing w:after="0"/>
              <w:rPr>
                <w:sz w:val="1"/>
                <w:szCs w:val="1"/>
                <w:color w:val="auto"/>
              </w:rPr>
            </w:pPr>
          </w:p>
        </w:tc>
      </w:tr>
      <w:tr>
        <w:trPr>
          <w:trHeight w:val="224"/>
        </w:trPr>
        <w:tc>
          <w:tcPr>
            <w:tcW w:w="7660" w:type="dxa"/>
            <w:vAlign w:val="bottom"/>
          </w:tcPr>
          <w:p>
            <w:pPr>
              <w:ind w:left="320"/>
              <w:spacing w:after="0"/>
              <w:rPr>
                <w:sz w:val="20"/>
                <w:szCs w:val="20"/>
                <w:color w:val="auto"/>
              </w:rPr>
            </w:pPr>
            <w:r>
              <w:rPr>
                <w:rFonts w:ascii="Arial" w:cs="Arial" w:eastAsia="Arial" w:hAnsi="Arial"/>
                <w:sz w:val="16"/>
                <w:szCs w:val="16"/>
                <w:color w:val="auto"/>
              </w:rPr>
              <w:t>Current portion of program rights obligations</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310,688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343,589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65,725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55,424</w:t>
            </w:r>
          </w:p>
        </w:tc>
        <w:tc>
          <w:tcPr>
            <w:tcW w:w="0" w:type="dxa"/>
            <w:vAlign w:val="bottom"/>
          </w:tcPr>
          <w:p>
            <w:pPr>
              <w:spacing w:after="0"/>
              <w:rPr>
                <w:sz w:val="1"/>
                <w:szCs w:val="1"/>
                <w:color w:val="auto"/>
              </w:rPr>
            </w:pPr>
          </w:p>
        </w:tc>
      </w:tr>
      <w:tr>
        <w:trPr>
          <w:trHeight w:val="224"/>
        </w:trPr>
        <w:tc>
          <w:tcPr>
            <w:tcW w:w="7660" w:type="dxa"/>
            <w:vAlign w:val="bottom"/>
          </w:tcPr>
          <w:p>
            <w:pPr>
              <w:ind w:left="3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47,875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21,334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Current portion of lease obligations</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33,349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17"/>
        </w:trPr>
        <w:tc>
          <w:tcPr>
            <w:tcW w:w="766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820,412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797,421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Program rights 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284,424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373,249</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3,056,692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3,088,221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215,251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21,427</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Deferred tax liability, net</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122,384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145,443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159,641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208,036</w:t>
            </w:r>
          </w:p>
        </w:tc>
        <w:tc>
          <w:tcPr>
            <w:tcW w:w="0" w:type="dxa"/>
            <w:vAlign w:val="bottom"/>
          </w:tcPr>
          <w:p>
            <w:pPr>
              <w:spacing w:after="0"/>
              <w:rPr>
                <w:sz w:val="1"/>
                <w:szCs w:val="1"/>
                <w:color w:val="auto"/>
              </w:rPr>
            </w:pPr>
          </w:p>
        </w:tc>
      </w:tr>
      <w:tr>
        <w:trPr>
          <w:trHeight w:val="217"/>
        </w:trPr>
        <w:tc>
          <w:tcPr>
            <w:tcW w:w="766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4,658,804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4,633,797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Redeemable noncontrolling interests</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304,606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299,558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60" w:type="dxa"/>
            <w:vAlign w:val="bottom"/>
          </w:tcPr>
          <w:p>
            <w:pPr>
              <w:ind w:left="20"/>
              <w:spacing w:after="0" w:line="166" w:lineRule="exact"/>
              <w:rPr>
                <w:sz w:val="20"/>
                <w:szCs w:val="20"/>
                <w:color w:val="auto"/>
              </w:rPr>
            </w:pPr>
            <w:r>
              <w:rPr>
                <w:rFonts w:ascii="Arial" w:cs="Arial" w:eastAsia="Arial" w:hAnsi="Arial"/>
                <w:sz w:val="16"/>
                <w:szCs w:val="16"/>
                <w:color w:val="auto"/>
                <w:w w:val="93"/>
              </w:rPr>
              <w:t>Class A Common Stock, $0.01 par value, 360,000 shares authorized, 63,851 and 63,255 shares issued and 44,043</w:t>
            </w:r>
          </w:p>
        </w:tc>
        <w:tc>
          <w:tcPr>
            <w:tcW w:w="160" w:type="dxa"/>
            <w:vAlign w:val="bottom"/>
          </w:tcPr>
          <w:p>
            <w:pPr>
              <w:spacing w:after="0"/>
              <w:rPr>
                <w:sz w:val="14"/>
                <w:szCs w:val="14"/>
                <w:color w:val="auto"/>
              </w:rPr>
            </w:pPr>
          </w:p>
        </w:tc>
        <w:tc>
          <w:tcPr>
            <w:tcW w:w="1640" w:type="dxa"/>
            <w:vAlign w:val="bottom"/>
            <w:vMerge w:val="restart"/>
          </w:tcPr>
          <w:p>
            <w:pPr>
              <w:jc w:val="right"/>
              <w:ind w:right="59"/>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restart"/>
          </w:tcPr>
          <w:p>
            <w:pPr>
              <w:jc w:val="right"/>
              <w:ind w:right="5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9"/>
        </w:trPr>
        <w:tc>
          <w:tcPr>
            <w:tcW w:w="7660" w:type="dxa"/>
            <w:vAlign w:val="bottom"/>
          </w:tcPr>
          <w:p>
            <w:pPr>
              <w:ind w:left="340"/>
              <w:spacing w:after="0"/>
              <w:rPr>
                <w:sz w:val="20"/>
                <w:szCs w:val="20"/>
                <w:color w:val="auto"/>
              </w:rPr>
            </w:pPr>
            <w:r>
              <w:rPr>
                <w:rFonts w:ascii="Arial" w:cs="Arial" w:eastAsia="Arial" w:hAnsi="Arial"/>
                <w:sz w:val="16"/>
                <w:szCs w:val="16"/>
                <w:color w:val="auto"/>
              </w:rPr>
              <w:t>and 44,749 shares outstanding, respectively</w:t>
            </w: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4"/>
        </w:trPr>
        <w:tc>
          <w:tcPr>
            <w:tcW w:w="7660" w:type="dxa"/>
            <w:vAlign w:val="bottom"/>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160" w:type="dxa"/>
            <w:vAlign w:val="bottom"/>
          </w:tcPr>
          <w:p>
            <w:pPr>
              <w:spacing w:after="0"/>
              <w:rPr>
                <w:sz w:val="22"/>
                <w:szCs w:val="22"/>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Paid-in capital</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272,823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239,767</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Accumulated earnings</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1,618,005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1,228,942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(19,808 and 18,507 shares Class A Common Stock, respectively)</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(1,063,181)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(992,583)</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(200,277)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(160,194)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AMC Networks stockholders'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628,124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316,680</w:t>
            </w:r>
          </w:p>
        </w:tc>
        <w:tc>
          <w:tcPr>
            <w:tcW w:w="0" w:type="dxa"/>
            <w:vAlign w:val="bottom"/>
          </w:tcPr>
          <w:p>
            <w:pPr>
              <w:spacing w:after="0"/>
              <w:rPr>
                <w:sz w:val="1"/>
                <w:szCs w:val="1"/>
                <w:color w:val="auto"/>
              </w:rPr>
            </w:pPr>
          </w:p>
        </w:tc>
      </w:tr>
      <w:tr>
        <w:trPr>
          <w:trHeight w:val="224"/>
        </w:trPr>
        <w:tc>
          <w:tcPr>
            <w:tcW w:w="7660" w:type="dxa"/>
            <w:vAlign w:val="bottom"/>
          </w:tcPr>
          <w:p>
            <w:pPr>
              <w:ind w:left="20"/>
              <w:spacing w:after="0"/>
              <w:rPr>
                <w:sz w:val="20"/>
                <w:szCs w:val="20"/>
                <w:color w:val="auto"/>
              </w:rPr>
            </w:pPr>
            <w:r>
              <w:rPr>
                <w:rFonts w:ascii="Arial" w:cs="Arial" w:eastAsia="Arial" w:hAnsi="Arial"/>
                <w:sz w:val="16"/>
                <w:szCs w:val="16"/>
                <w:color w:val="auto"/>
              </w:rPr>
              <w:t>Non-redeemable noncontrolling interests</w:t>
            </w:r>
          </w:p>
        </w:tc>
        <w:tc>
          <w:tcPr>
            <w:tcW w:w="1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26,675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28,528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654,799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345,208</w:t>
            </w:r>
          </w:p>
        </w:tc>
        <w:tc>
          <w:tcPr>
            <w:tcW w:w="0" w:type="dxa"/>
            <w:vAlign w:val="bottom"/>
          </w:tcPr>
          <w:p>
            <w:pPr>
              <w:spacing w:after="0"/>
              <w:rPr>
                <w:sz w:val="1"/>
                <w:szCs w:val="1"/>
                <w:color w:val="auto"/>
              </w:rPr>
            </w:pPr>
          </w:p>
        </w:tc>
      </w:tr>
      <w:tr>
        <w:trPr>
          <w:trHeight w:val="247"/>
        </w:trPr>
        <w:tc>
          <w:tcPr>
            <w:tcW w:w="7660" w:type="dxa"/>
            <w:vAlign w:val="bottom"/>
          </w:tcPr>
          <w:p>
            <w:pPr>
              <w:ind w:left="6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5,618,209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5,278,563</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688" w:right="259" w:bottom="1097"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88" w:right="259" w:bottom="1097" w:gutter="0" w:footer="0" w:header="0"/>
          <w:type w:val="continuous"/>
        </w:sectPr>
      </w:pPr>
    </w:p>
    <w:bookmarkStart w:id="3" w:name="page4"/>
    <w:bookmarkEnd w:id="3"/>
    <w:p>
      <w:pPr>
        <w:ind w:left="404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STATEMENTS OF INCOME</w:t>
      </w:r>
    </w:p>
    <w:p>
      <w:pPr>
        <w:ind w:left="43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9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Arial" w:cs="Arial" w:eastAsia="Arial" w:hAnsi="Arial"/>
                <w:sz w:val="16"/>
                <w:szCs w:val="16"/>
                <w:b w:val="1"/>
                <w:bCs w:val="1"/>
                <w:color w:val="auto"/>
              </w:rPr>
              <w:t>2018</w:t>
            </w:r>
          </w:p>
        </w:tc>
      </w:tr>
      <w:tr>
        <w:trPr>
          <w:trHeight w:val="33"/>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718,597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696,875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2,275,117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2,199,083</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354,992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346,398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1,080,763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1,043,572</w:t>
            </w:r>
          </w:p>
        </w:tc>
      </w:tr>
      <w:tr>
        <w:trPr>
          <w:trHeight w:val="270"/>
        </w:trPr>
        <w:tc>
          <w:tcPr>
            <w:tcW w:w="57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3"/>
                <w:szCs w:val="23"/>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159,357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156,242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505,233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494,067</w:t>
            </w:r>
          </w:p>
        </w:tc>
      </w:tr>
      <w:tr>
        <w:trPr>
          <w:trHeight w:val="250"/>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64,034</w:t>
            </w:r>
          </w:p>
        </w:tc>
      </w:tr>
      <w:tr>
        <w:trPr>
          <w:trHeight w:val="243"/>
        </w:trPr>
        <w:tc>
          <w:tcPr>
            <w:tcW w:w="5780" w:type="dxa"/>
            <w:vAlign w:val="bottom"/>
          </w:tcPr>
          <w:p>
            <w:pPr>
              <w:ind w:left="340"/>
              <w:spacing w:after="0"/>
              <w:rPr>
                <w:sz w:val="20"/>
                <w:szCs w:val="20"/>
                <w:color w:val="auto"/>
              </w:rPr>
            </w:pPr>
            <w:r>
              <w:rPr>
                <w:rFonts w:ascii="Arial" w:cs="Arial" w:eastAsia="Arial" w:hAnsi="Arial"/>
                <w:sz w:val="18"/>
                <w:szCs w:val="18"/>
                <w:color w:val="auto"/>
              </w:rPr>
              <w:t>Impairment and related charges</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4,486</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29,995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3,139</w:t>
            </w:r>
          </w:p>
        </w:tc>
      </w:tr>
      <w:tr>
        <w:trPr>
          <w:trHeight w:val="237"/>
        </w:trPr>
        <w:tc>
          <w:tcPr>
            <w:tcW w:w="5780" w:type="dxa"/>
            <w:vAlign w:val="bottom"/>
          </w:tcPr>
          <w:p>
            <w:pPr>
              <w:ind w:left="6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550,159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532,276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1,691,559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1,609,298</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168,438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164,599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583,558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589,785</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(115,607)</w:t>
            </w:r>
          </w:p>
        </w:tc>
      </w:tr>
      <w:tr>
        <w:trPr>
          <w:trHeight w:val="243"/>
        </w:trPr>
        <w:tc>
          <w:tcPr>
            <w:tcW w:w="57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15,453</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Miscellaneous, net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28,762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30,989</w:t>
            </w:r>
          </w:p>
        </w:tc>
      </w:tr>
      <w:tr>
        <w:trPr>
          <w:trHeight w:val="237"/>
        </w:trPr>
        <w:tc>
          <w:tcPr>
            <w:tcW w:w="5780" w:type="dxa"/>
            <w:vAlign w:val="bottom"/>
          </w:tcPr>
          <w:p>
            <w:pPr>
              <w:ind w:left="660"/>
              <w:spacing w:after="0"/>
              <w:rPr>
                <w:sz w:val="20"/>
                <w:szCs w:val="20"/>
                <w:color w:val="auto"/>
              </w:rPr>
            </w:pPr>
            <w:r>
              <w:rPr>
                <w:rFonts w:ascii="Arial" w:cs="Arial" w:eastAsia="Arial" w:hAnsi="Arial"/>
                <w:sz w:val="18"/>
                <w:szCs w:val="18"/>
                <w:color w:val="auto"/>
              </w:rPr>
              <w:t>Total other (expense) income</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(36,485)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(122,383)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(69,165)</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160,326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461,175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520,620</w:t>
            </w:r>
          </w:p>
        </w:tc>
      </w:tr>
      <w:tr>
        <w:trPr>
          <w:trHeight w:val="243"/>
        </w:trPr>
        <w:tc>
          <w:tcPr>
            <w:tcW w:w="57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(43,666)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(133,092)</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123,226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116,660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407,368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387,528</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2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(18,305)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(13,220)</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116,923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111,257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389,063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374,308</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6.40</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6.31</w:t>
            </w:r>
          </w:p>
        </w:tc>
      </w:tr>
      <w:tr>
        <w:trPr>
          <w:trHeight w:val="162"/>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55,847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56,875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56,339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58,519</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56,605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57,779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57,218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59,281</w:t>
            </w:r>
          </w:p>
        </w:tc>
      </w:tr>
      <w:tr>
        <w:trPr>
          <w:trHeight w:val="27"/>
        </w:trPr>
        <w:tc>
          <w:tcPr>
            <w:tcW w:w="5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91"/>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2018</w:t>
            </w:r>
          </w:p>
        </w:tc>
      </w:tr>
      <w:tr>
        <w:trPr>
          <w:trHeight w:val="33"/>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123,226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116,660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407,368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387,528</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(32,679)</w:t>
            </w:r>
          </w:p>
        </w:tc>
      </w:tr>
      <w:tr>
        <w:trPr>
          <w:trHeight w:val="243"/>
        </w:trPr>
        <w:tc>
          <w:tcPr>
            <w:tcW w:w="5780" w:type="dxa"/>
            <w:vAlign w:val="bottom"/>
          </w:tcPr>
          <w:p>
            <w:pPr>
              <w:ind w:left="660"/>
              <w:spacing w:after="0"/>
              <w:rPr>
                <w:sz w:val="20"/>
                <w:szCs w:val="20"/>
                <w:color w:val="auto"/>
              </w:rPr>
            </w:pPr>
            <w:r>
              <w:rPr>
                <w:rFonts w:ascii="Arial" w:cs="Arial" w:eastAsia="Arial" w:hAnsi="Arial"/>
                <w:sz w:val="18"/>
                <w:szCs w:val="18"/>
                <w:color w:val="auto"/>
              </w:rPr>
              <w:t>Unrealized loss on interest rate swaps</w:t>
            </w: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(32,679)</w:t>
            </w:r>
          </w:p>
        </w:tc>
      </w:tr>
      <w:tr>
        <w:trPr>
          <w:trHeight w:val="243"/>
        </w:trPr>
        <w:tc>
          <w:tcPr>
            <w:tcW w:w="5780" w:type="dxa"/>
            <w:vAlign w:val="bottom"/>
          </w:tcPr>
          <w:p>
            <w:pPr>
              <w:ind w:left="66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5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(32,679)</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90,093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110,566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367,285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354,849</w:t>
            </w:r>
          </w:p>
        </w:tc>
      </w:tr>
      <w:tr>
        <w:trPr>
          <w:trHeight w:val="27"/>
        </w:trPr>
        <w:tc>
          <w:tcPr>
            <w:tcW w:w="5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1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(5,217)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(5,218)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(17,048)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(11,954)</w:t>
            </w:r>
          </w:p>
        </w:tc>
      </w:tr>
      <w:tr>
        <w:trPr>
          <w:trHeight w:val="264"/>
        </w:trPr>
        <w:tc>
          <w:tcPr>
            <w:tcW w:w="578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84,876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105,348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350,237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342,895</w:t>
            </w:r>
          </w:p>
        </w:tc>
      </w:tr>
      <w:tr>
        <w:trPr>
          <w:trHeight w:val="21"/>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 A</w:t>
            </w:r>
          </w:p>
        </w:tc>
        <w:tc>
          <w:tcPr>
            <w:tcW w:w="20" w:type="dxa"/>
            <w:vAlign w:val="bottom"/>
          </w:tcPr>
          <w:p>
            <w:pPr>
              <w:spacing w:after="0"/>
              <w:rPr>
                <w:sz w:val="14"/>
                <w:szCs w:val="14"/>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Class B</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AMC</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Networks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6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6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Capital</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8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Stock</w:t>
            </w:r>
          </w:p>
        </w:tc>
        <w:tc>
          <w:tcPr>
            <w:tcW w:w="8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Balance, June 30, 2019</w:t>
            </w:r>
          </w:p>
        </w:tc>
        <w:tc>
          <w:tcPr>
            <w:tcW w:w="120" w:type="dxa"/>
            <w:vAlign w:val="bottom"/>
            <w:gridSpan w:val="2"/>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639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w w:val="93"/>
              </w:rPr>
              <w:t>$ 258,150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ind w:right="68"/>
              <w:spacing w:after="0"/>
              <w:rPr>
                <w:sz w:val="20"/>
                <w:szCs w:val="20"/>
                <w:color w:val="auto"/>
              </w:rPr>
            </w:pPr>
            <w:r>
              <w:rPr>
                <w:rFonts w:ascii="Arial" w:cs="Arial" w:eastAsia="Arial" w:hAnsi="Arial"/>
                <w:sz w:val="14"/>
                <w:szCs w:val="14"/>
                <w:color w:val="auto"/>
                <w:w w:val="91"/>
              </w:rPr>
              <w:t>$ 1,501,082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2"/>
              </w:rPr>
              <w:t>(1,051,022)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(167,144)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541,820</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26,693</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568,513</w:t>
            </w:r>
          </w:p>
        </w:tc>
        <w:tc>
          <w:tcPr>
            <w:tcW w:w="0" w:type="dxa"/>
            <w:vAlign w:val="bottom"/>
          </w:tcPr>
          <w:p>
            <w:pPr>
              <w:spacing w:after="0"/>
              <w:rPr>
                <w:sz w:val="1"/>
                <w:szCs w:val="1"/>
                <w:color w:val="auto"/>
              </w:rPr>
            </w:pPr>
          </w:p>
        </w:tc>
      </w:tr>
      <w:tr>
        <w:trPr>
          <w:trHeight w:val="143"/>
        </w:trPr>
        <w:tc>
          <w:tcPr>
            <w:tcW w:w="33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attributable to AMC Networks’</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116,923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116,923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116,923</w:t>
            </w:r>
          </w:p>
        </w:tc>
        <w:tc>
          <w:tcPr>
            <w:tcW w:w="0" w:type="dxa"/>
            <w:vAlign w:val="bottom"/>
          </w:tcPr>
          <w:p>
            <w:pPr>
              <w:spacing w:after="0"/>
              <w:rPr>
                <w:sz w:val="1"/>
                <w:szCs w:val="1"/>
                <w:color w:val="auto"/>
              </w:rPr>
            </w:pPr>
          </w:p>
        </w:tc>
      </w:tr>
      <w:tr>
        <w:trPr>
          <w:trHeight w:val="157"/>
        </w:trPr>
        <w:tc>
          <w:tcPr>
            <w:tcW w:w="330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non-redeemable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1,772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Arial" w:cs="Arial" w:eastAsia="Arial" w:hAnsi="Arial"/>
                <w:sz w:val="14"/>
                <w:szCs w:val="14"/>
                <w:color w:val="auto"/>
              </w:rPr>
              <w:t>Settlement of treasury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832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832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(33,133)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(34,218)</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4"/>
                <w:szCs w:val="14"/>
                <w:color w:val="auto"/>
              </w:rPr>
              <w:t>13,841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13,841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13,841</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(12,159)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(12,159)</w:t>
            </w: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(12,159)</w:t>
            </w:r>
          </w:p>
        </w:tc>
        <w:tc>
          <w:tcPr>
            <w:tcW w:w="0" w:type="dxa"/>
            <w:vAlign w:val="bottom"/>
          </w:tcPr>
          <w:p>
            <w:pPr>
              <w:spacing w:after="0"/>
              <w:rPr>
                <w:sz w:val="1"/>
                <w:szCs w:val="1"/>
                <w:color w:val="auto"/>
              </w:rPr>
            </w:pPr>
          </w:p>
        </w:tc>
      </w:tr>
      <w:tr>
        <w:trPr>
          <w:trHeight w:val="190"/>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3"/>
              </w:rPr>
              <w:t>$ 272,823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1"/>
              </w:rPr>
              <w:t>$ 1,618,005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(1,063,181)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(200,277)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628,124</w:t>
            </w:r>
          </w:p>
        </w:tc>
        <w:tc>
          <w:tcPr>
            <w:tcW w:w="20" w:type="dxa"/>
            <w:vAlign w:val="bottom"/>
            <w:tcBorders>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26,675</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654,799</w:t>
            </w:r>
          </w:p>
        </w:tc>
        <w:tc>
          <w:tcPr>
            <w:tcW w:w="0" w:type="dxa"/>
            <w:vAlign w:val="bottom"/>
          </w:tcPr>
          <w:p>
            <w:pPr>
              <w:spacing w:after="0"/>
              <w:rPr>
                <w:sz w:val="1"/>
                <w:szCs w:val="1"/>
                <w:color w:val="auto"/>
              </w:rPr>
            </w:pPr>
          </w:p>
        </w:tc>
      </w:tr>
      <w:tr>
        <w:trPr>
          <w:trHeight w:val="774"/>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20" w:type="dxa"/>
            <w:vAlign w:val="bottom"/>
          </w:tcPr>
          <w:p>
            <w:pPr>
              <w:spacing w:after="0"/>
              <w:rPr>
                <w:sz w:val="24"/>
                <w:szCs w:val="24"/>
                <w:color w:val="auto"/>
              </w:rPr>
            </w:pPr>
          </w:p>
        </w:tc>
        <w:tc>
          <w:tcPr>
            <w:tcW w:w="6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B</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AMC</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Networks</w:t>
            </w:r>
          </w:p>
        </w:tc>
        <w:tc>
          <w:tcPr>
            <w:tcW w:w="60" w:type="dxa"/>
            <w:vAlign w:val="bottom"/>
          </w:tcPr>
          <w:p>
            <w:pPr>
              <w:spacing w:after="0"/>
              <w:rPr>
                <w:sz w:val="12"/>
                <w:szCs w:val="12"/>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6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20" w:type="dxa"/>
            <w:vAlign w:val="bottom"/>
          </w:tcPr>
          <w:p>
            <w:pPr>
              <w:spacing w:after="0"/>
              <w:rPr>
                <w:sz w:val="12"/>
                <w:szCs w:val="12"/>
                <w:color w:val="auto"/>
              </w:rPr>
            </w:pP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2018</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633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w w:val="96"/>
              </w:rPr>
              <w:t>$ 239,767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4"/>
                <w:szCs w:val="14"/>
                <w:color w:val="auto"/>
                <w:w w:val="94"/>
              </w:rPr>
              <w:t>$ 1,228,942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(992,583)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(160,194)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316,680</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28,528</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AMC Networks’</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389,063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389,063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389,063</w:t>
            </w:r>
          </w:p>
        </w:tc>
        <w:tc>
          <w:tcPr>
            <w:tcW w:w="0" w:type="dxa"/>
            <w:vAlign w:val="bottom"/>
          </w:tcPr>
          <w:p>
            <w:pPr>
              <w:spacing w:after="0"/>
              <w:rPr>
                <w:sz w:val="1"/>
                <w:szCs w:val="1"/>
                <w:color w:val="auto"/>
              </w:rPr>
            </w:pPr>
          </w:p>
        </w:tc>
      </w:tr>
      <w:tr>
        <w:trPr>
          <w:trHeight w:val="157"/>
        </w:trPr>
        <w:tc>
          <w:tcPr>
            <w:tcW w:w="330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non-redeemable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2,842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2,842</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(3,439)</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(40,083)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(40,083)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(41,339)</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50,465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50,465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50,465</w:t>
            </w:r>
          </w:p>
        </w:tc>
        <w:tc>
          <w:tcPr>
            <w:tcW w:w="0" w:type="dxa"/>
            <w:vAlign w:val="bottom"/>
          </w:tcPr>
          <w:p>
            <w:pPr>
              <w:spacing w:after="0"/>
              <w:rPr>
                <w:sz w:val="1"/>
                <w:szCs w:val="1"/>
                <w:color w:val="auto"/>
              </w:rPr>
            </w:pPr>
          </w:p>
        </w:tc>
      </w:tr>
      <w:tr>
        <w:trPr>
          <w:trHeight w:val="197"/>
        </w:trPr>
        <w:tc>
          <w:tcPr>
            <w:tcW w:w="330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4,630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4,630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(70,598)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(69,613)</w:t>
            </w:r>
          </w:p>
        </w:tc>
        <w:tc>
          <w:tcPr>
            <w:tcW w:w="0" w:type="dxa"/>
            <w:vAlign w:val="bottom"/>
          </w:tcPr>
          <w:p>
            <w:pPr>
              <w:spacing w:after="0"/>
              <w:rPr>
                <w:sz w:val="1"/>
                <w:szCs w:val="1"/>
                <w:color w:val="auto"/>
              </w:rPr>
            </w:pPr>
          </w:p>
        </w:tc>
      </w:tr>
      <w:tr>
        <w:trPr>
          <w:trHeight w:val="197"/>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(23,024)</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(23,018)</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(23,018)</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2019</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639</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89"/>
              </w:rPr>
              <w:t>$ 272,823</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$ 1,618,005</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(1,063,181)</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(200,277)</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628,124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26,675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654,799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895" w:right="2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4"/>
                <w:szCs w:val="14"/>
                <w:color w:val="auto"/>
              </w:rPr>
            </w:pPr>
          </w:p>
        </w:tc>
        <w:tc>
          <w:tcPr>
            <w:tcW w:w="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Class B</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9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Networks</w:t>
            </w:r>
          </w:p>
        </w:tc>
        <w:tc>
          <w:tcPr>
            <w:tcW w:w="1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6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0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20" w:type="dxa"/>
            <w:vAlign w:val="bottom"/>
            <w:gridSpan w:val="5"/>
            <w:vMerge w:val="continue"/>
          </w:tcPr>
          <w:p>
            <w:pPr>
              <w:spacing w:after="0"/>
              <w:rPr>
                <w:sz w:val="12"/>
                <w:szCs w:val="12"/>
                <w:color w:val="auto"/>
              </w:rPr>
            </w:pPr>
          </w:p>
        </w:tc>
        <w:tc>
          <w:tcPr>
            <w:tcW w:w="9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3"/>
              </w:rPr>
              <w:t>Stockholders'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6"/>
                <w:szCs w:val="16"/>
                <w:color w:val="auto"/>
              </w:rPr>
            </w:pPr>
          </w:p>
        </w:tc>
        <w:tc>
          <w:tcPr>
            <w:tcW w:w="840" w:type="dxa"/>
            <w:vAlign w:val="bottom"/>
            <w:gridSpan w:val="3"/>
          </w:tcPr>
          <w:p>
            <w:pPr>
              <w:ind w:left="18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Balance, June 30, 2018</w:t>
            </w: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632</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3"/>
              </w:rPr>
              <w:t>$ 215,948</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1"/>
              </w:rPr>
              <w:t>$ 1,045,806</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92"/>
              </w:rPr>
              <w:t>$ (951,850)</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(144,752)</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165,899</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29,521</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195,420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income attributable to AMC Networks’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stockholders</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111,257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3"/>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111,257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111,257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300" w:type="dxa"/>
            <w:vAlign w:val="bottom"/>
          </w:tcPr>
          <w:p>
            <w:pPr>
              <w:spacing w:after="0" w:line="157" w:lineRule="exact"/>
              <w:rPr>
                <w:sz w:val="20"/>
                <w:szCs w:val="20"/>
                <w:color w:val="auto"/>
              </w:rPr>
            </w:pPr>
            <w:r>
              <w:rPr>
                <w:rFonts w:ascii="Arial" w:cs="Arial" w:eastAsia="Arial" w:hAnsi="Arial"/>
                <w:sz w:val="14"/>
                <w:szCs w:val="14"/>
                <w:color w:val="auto"/>
              </w:rPr>
              <w:t>Net income attributable to non-redeemable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281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(6,094)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8"/>
              <w:spacing w:after="0"/>
              <w:rPr>
                <w:sz w:val="20"/>
                <w:szCs w:val="20"/>
                <w:color w:val="auto"/>
              </w:rPr>
            </w:pPr>
            <w:r>
              <w:rPr>
                <w:rFonts w:ascii="Arial" w:cs="Arial" w:eastAsia="Arial" w:hAnsi="Arial"/>
                <w:sz w:val="14"/>
                <w:szCs w:val="14"/>
                <w:color w:val="auto"/>
              </w:rPr>
              <w:t>16,934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ind w:left="4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16,934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16,934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Treasury stock acquired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(24,990)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4"/>
                <w:szCs w:val="14"/>
                <w:b w:val="1"/>
                <w:bCs w:val="1"/>
                <w:color w:val="auto"/>
              </w:rPr>
              <w:t>Balance, September 30, 2018</w:t>
            </w: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632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3"/>
              </w:rPr>
              <w:t>$ 232,882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w w:val="91"/>
              </w:rPr>
              <w:t>$ 1,157,063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92"/>
              </w:rPr>
              <w:t>$ (976,840)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(150,846)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263,006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28,633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291,639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4"/>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24"/>
                <w:szCs w:val="24"/>
                <w:color w:val="auto"/>
              </w:rPr>
            </w:pPr>
          </w:p>
        </w:tc>
        <w:tc>
          <w:tcPr>
            <w:tcW w:w="64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Class B</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AMC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8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Networks</w:t>
            </w:r>
          </w:p>
        </w:tc>
        <w:tc>
          <w:tcPr>
            <w:tcW w:w="20" w:type="dxa"/>
            <w:vAlign w:val="bottom"/>
          </w:tcPr>
          <w:p>
            <w:pPr>
              <w:spacing w:after="0"/>
              <w:rPr>
                <w:sz w:val="12"/>
                <w:szCs w:val="12"/>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Noncontrolling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40" w:type="dxa"/>
            <w:vAlign w:val="bottom"/>
          </w:tcPr>
          <w:p>
            <w:pPr>
              <w:spacing w:after="0"/>
              <w:rPr>
                <w:sz w:val="12"/>
                <w:szCs w:val="12"/>
                <w:color w:val="auto"/>
              </w:rPr>
            </w:pPr>
          </w:p>
        </w:tc>
        <w:tc>
          <w:tcPr>
            <w:tcW w:w="6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8"/>
              </w:rPr>
              <w:t>Common</w:t>
            </w:r>
          </w:p>
        </w:tc>
        <w:tc>
          <w:tcPr>
            <w:tcW w:w="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10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7"/>
        </w:trPr>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627</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3"/>
              </w:rPr>
              <w:t>$ 191,303</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766,725</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2"/>
              </w:rPr>
              <w:t>$ (709,440)</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(114,386)</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134,944</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29,001</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163,945</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Net income attributable to AMC Networks’ stockholders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374,308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374,308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374,308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500" w:type="dxa"/>
            <w:vAlign w:val="bottom"/>
            <w:gridSpan w:val="4"/>
          </w:tcPr>
          <w:p>
            <w:pPr>
              <w:ind w:left="20"/>
              <w:spacing w:after="0" w:line="157" w:lineRule="exact"/>
              <w:rPr>
                <w:sz w:val="20"/>
                <w:szCs w:val="20"/>
                <w:color w:val="auto"/>
              </w:rPr>
            </w:pPr>
            <w:r>
              <w:rPr>
                <w:rFonts w:ascii="Arial" w:cs="Arial" w:eastAsia="Arial" w:hAnsi="Arial"/>
                <w:sz w:val="14"/>
                <w:szCs w:val="14"/>
                <w:color w:val="auto"/>
                <w:w w:val="97"/>
              </w:rPr>
              <w:t>Net income attributable to non-redeemable noncontrolling</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interests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4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1,882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340" w:type="dxa"/>
            <w:vAlign w:val="bottom"/>
            <w:gridSpan w:val="2"/>
          </w:tcPr>
          <w:p>
            <w:pPr>
              <w:ind w:left="20"/>
              <w:spacing w:after="0"/>
              <w:rPr>
                <w:sz w:val="20"/>
                <w:szCs w:val="20"/>
                <w:color w:val="auto"/>
              </w:rPr>
            </w:pPr>
            <w:r>
              <w:rPr>
                <w:rFonts w:ascii="Arial" w:cs="Arial" w:eastAsia="Arial" w:hAnsi="Arial"/>
                <w:sz w:val="14"/>
                <w:szCs w:val="14"/>
                <w:color w:val="auto"/>
                <w:w w:val="96"/>
              </w:rPr>
              <w:t>Cumulative effects of adoption of accounting standards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rPr>
              <w:t>16,030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(3,781)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12,249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12,249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Settlement of treasury stock</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996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4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(32,679)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(32,679)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(1,266)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(33,945)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4,317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 expense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8"/>
              <w:spacing w:after="0"/>
              <w:rPr>
                <w:sz w:val="20"/>
                <w:szCs w:val="20"/>
                <w:color w:val="auto"/>
              </w:rPr>
            </w:pPr>
            <w:r>
              <w:rPr>
                <w:rFonts w:ascii="Arial" w:cs="Arial" w:eastAsia="Arial" w:hAnsi="Arial"/>
                <w:sz w:val="14"/>
                <w:szCs w:val="14"/>
                <w:color w:val="auto"/>
              </w:rPr>
              <w:t>52,006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4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52,006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52,006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Treasury stock acquired</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(267,400)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(267,400)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(267,400)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(15,740)</w:t>
            </w: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(15,735)</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(15,735)</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2018</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$ 232,882</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$ 1,157,063</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2"/>
              </w:rPr>
              <w:t>$ (976,840)</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(150,846)</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263,006</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28,633</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291,639</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895" w:right="2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8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r>
      <w:tr>
        <w:trPr>
          <w:trHeight w:val="33"/>
        </w:trPr>
        <w:tc>
          <w:tcPr>
            <w:tcW w:w="8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4"/>
        </w:trPr>
        <w:tc>
          <w:tcPr>
            <w:tcW w:w="8080" w:type="dxa"/>
            <w:vAlign w:val="bottom"/>
          </w:tcPr>
          <w:p>
            <w:pPr>
              <w:ind w:left="320"/>
              <w:spacing w:after="0"/>
              <w:rPr>
                <w:sz w:val="20"/>
                <w:szCs w:val="20"/>
                <w:color w:val="auto"/>
              </w:rPr>
            </w:pPr>
            <w:r>
              <w:rPr>
                <w:rFonts w:ascii="Arial" w:cs="Arial" w:eastAsia="Arial" w:hAnsi="Arial"/>
                <w:sz w:val="16"/>
                <w:szCs w:val="16"/>
                <w:color w:val="auto"/>
              </w:rPr>
              <w:t>Net income including noncontrolling interests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407,368</w:t>
            </w:r>
          </w:p>
        </w:tc>
        <w:tc>
          <w:tcPr>
            <w:tcW w:w="120" w:type="dxa"/>
            <w:vAlign w:val="bottom"/>
          </w:tcPr>
          <w:p>
            <w:pPr>
              <w:spacing w:after="0"/>
              <w:rPr>
                <w:sz w:val="19"/>
                <w:szCs w:val="19"/>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387,528</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75,568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64,034</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Impairment and related charges</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4,486</w:t>
            </w: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2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50,465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52,006</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Non-cash restructuring and other related charges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14,026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Amortization and write-off of program rights</w:t>
            </w:r>
          </w:p>
        </w:tc>
        <w:tc>
          <w:tcPr>
            <w:tcW w:w="2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696,326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684,289</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Amortization of deferred carriage fees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13,107</w:t>
            </w: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Unrealized foreign currency transaction loss (gain)</w:t>
            </w:r>
          </w:p>
        </w:tc>
        <w:tc>
          <w:tcPr>
            <w:tcW w:w="2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(712)</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Unrealized gain on derivative contracts, net</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(40,848)</w:t>
            </w: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2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5,970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5,746</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Bad debt expense</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6,155</w:t>
            </w: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(65,245)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39,404</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Write-down of non-marketable equity securities and note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(8,481)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(887)</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6,993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(2,333)</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(27,769)</w:t>
            </w: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Program rights and obligations, net</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(676,718)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(671,108)</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3,101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(5,005)</w:t>
            </w: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10,395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3,531</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Deferred carriage fees, net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(3,200)</w:t>
            </w:r>
          </w:p>
        </w:tc>
      </w:tr>
      <w:tr>
        <w:trPr>
          <w:trHeight w:val="224"/>
        </w:trPr>
        <w:tc>
          <w:tcPr>
            <w:tcW w:w="8080" w:type="dxa"/>
            <w:vAlign w:val="bottom"/>
          </w:tcPr>
          <w:p>
            <w:pPr>
              <w:ind w:left="640"/>
              <w:spacing w:after="0"/>
              <w:rPr>
                <w:sz w:val="20"/>
                <w:szCs w:val="20"/>
                <w:color w:val="auto"/>
              </w:rPr>
            </w:pPr>
            <w:r>
              <w:rPr>
                <w:rFonts w:ascii="Arial" w:cs="Arial" w:eastAsia="Arial" w:hAnsi="Arial"/>
                <w:sz w:val="16"/>
                <w:szCs w:val="16"/>
                <w:color w:val="auto"/>
              </w:rPr>
              <w:t>Accounts payable, accrued liabilities and other liabilities</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(22,534)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(36,612)</w:t>
            </w:r>
          </w:p>
        </w:tc>
      </w:tr>
      <w:tr>
        <w:trPr>
          <w:trHeight w:val="33"/>
        </w:trPr>
        <w:tc>
          <w:tcPr>
            <w:tcW w:w="8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400,397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471,812</w:t>
            </w:r>
          </w:p>
        </w:tc>
      </w:tr>
      <w:tr>
        <w:trPr>
          <w:trHeight w:val="204"/>
        </w:trPr>
        <w:tc>
          <w:tcPr>
            <w:tcW w:w="80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Capital expenditures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(69,096)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(60,774)</w:t>
            </w:r>
          </w:p>
        </w:tc>
      </w:tr>
      <w:tr>
        <w:trPr>
          <w:trHeight w:val="224"/>
        </w:trPr>
        <w:tc>
          <w:tcPr>
            <w:tcW w:w="8080" w:type="dxa"/>
            <w:vAlign w:val="bottom"/>
          </w:tcPr>
          <w:p>
            <w:pPr>
              <w:ind w:left="320"/>
              <w:spacing w:after="0"/>
              <w:rPr>
                <w:sz w:val="20"/>
                <w:szCs w:val="20"/>
                <w:color w:val="auto"/>
              </w:rPr>
            </w:pPr>
            <w:r>
              <w:rPr>
                <w:rFonts w:ascii="Arial" w:cs="Arial" w:eastAsia="Arial" w:hAnsi="Arial"/>
                <w:sz w:val="16"/>
                <w:szCs w:val="16"/>
                <w:color w:val="auto"/>
              </w:rPr>
              <w:t>Return of capital from investees</w:t>
            </w:r>
          </w:p>
        </w:tc>
        <w:tc>
          <w:tcPr>
            <w:tcW w:w="2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9,232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523</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Investment in and loans to investees</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(90,080)</w:t>
            </w:r>
          </w:p>
        </w:tc>
      </w:tr>
      <w:tr>
        <w:trPr>
          <w:trHeight w:val="224"/>
        </w:trPr>
        <w:tc>
          <w:tcPr>
            <w:tcW w:w="8080" w:type="dxa"/>
            <w:vAlign w:val="bottom"/>
          </w:tcPr>
          <w:p>
            <w:pPr>
              <w:ind w:left="320"/>
              <w:spacing w:after="0"/>
              <w:rPr>
                <w:sz w:val="20"/>
                <w:szCs w:val="20"/>
                <w:color w:val="auto"/>
              </w:rPr>
            </w:pPr>
            <w:r>
              <w:rPr>
                <w:rFonts w:ascii="Arial" w:cs="Arial" w:eastAsia="Arial" w:hAnsi="Arial"/>
                <w:sz w:val="16"/>
                <w:szCs w:val="16"/>
                <w:color w:val="auto"/>
              </w:rPr>
              <w:t>Payments for acquisition of a business, net of cash acquired</w:t>
            </w:r>
          </w:p>
        </w:tc>
        <w:tc>
          <w:tcPr>
            <w:tcW w:w="2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(35,554)</w:t>
            </w:r>
          </w:p>
        </w:tc>
      </w:tr>
      <w:tr>
        <w:trPr>
          <w:trHeight w:val="33"/>
        </w:trPr>
        <w:tc>
          <w:tcPr>
            <w:tcW w:w="8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(185,885)</w:t>
            </w:r>
          </w:p>
        </w:tc>
      </w:tr>
      <w:tr>
        <w:trPr>
          <w:trHeight w:val="204"/>
        </w:trPr>
        <w:tc>
          <w:tcPr>
            <w:tcW w:w="80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the issuance of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8080" w:type="dxa"/>
            <w:vAlign w:val="bottom"/>
          </w:tcPr>
          <w:p>
            <w:pPr>
              <w:ind w:left="320"/>
              <w:spacing w:after="0"/>
              <w:rPr>
                <w:sz w:val="20"/>
                <w:szCs w:val="20"/>
                <w:color w:val="auto"/>
              </w:rPr>
            </w:pPr>
            <w:r>
              <w:rPr>
                <w:rFonts w:ascii="Arial" w:cs="Arial" w:eastAsia="Arial" w:hAnsi="Arial"/>
                <w:sz w:val="16"/>
                <w:szCs w:val="16"/>
                <w:color w:val="auto"/>
              </w:rPr>
              <w:t>Principal payments on long-term debt</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Deemed repurchases of restricted stock units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(15,734)</w:t>
            </w:r>
          </w:p>
        </w:tc>
      </w:tr>
      <w:tr>
        <w:trPr>
          <w:trHeight w:val="224"/>
        </w:trPr>
        <w:tc>
          <w:tcPr>
            <w:tcW w:w="8080" w:type="dxa"/>
            <w:vAlign w:val="bottom"/>
          </w:tcPr>
          <w:p>
            <w:pPr>
              <w:ind w:left="320"/>
              <w:spacing w:after="0"/>
              <w:rPr>
                <w:sz w:val="20"/>
                <w:szCs w:val="20"/>
                <w:color w:val="auto"/>
              </w:rPr>
            </w:pPr>
            <w:r>
              <w:rPr>
                <w:rFonts w:ascii="Arial" w:cs="Arial" w:eastAsia="Arial" w:hAnsi="Arial"/>
                <w:sz w:val="16"/>
                <w:szCs w:val="16"/>
                <w:color w:val="auto"/>
              </w:rPr>
              <w:t>Purchase of treasury stock</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(70,598)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(267,400)</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8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stock option exercises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4,317</w:t>
            </w:r>
          </w:p>
        </w:tc>
      </w:tr>
      <w:tr>
        <w:trPr>
          <w:trHeight w:val="224"/>
        </w:trPr>
        <w:tc>
          <w:tcPr>
            <w:tcW w:w="8080" w:type="dxa"/>
            <w:vAlign w:val="bottom"/>
          </w:tcPr>
          <w:p>
            <w:pPr>
              <w:ind w:left="320"/>
              <w:spacing w:after="0"/>
              <w:rPr>
                <w:sz w:val="20"/>
                <w:szCs w:val="20"/>
                <w:color w:val="auto"/>
              </w:rPr>
            </w:pPr>
            <w:r>
              <w:rPr>
                <w:rFonts w:ascii="Arial" w:cs="Arial" w:eastAsia="Arial" w:hAnsi="Arial"/>
                <w:sz w:val="16"/>
                <w:szCs w:val="16"/>
                <w:color w:val="auto"/>
              </w:rPr>
              <w:t>Principal payments on finance lease obligations</w:t>
            </w:r>
          </w:p>
        </w:tc>
        <w:tc>
          <w:tcPr>
            <w:tcW w:w="2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(3,878)</w:t>
            </w:r>
          </w:p>
        </w:tc>
      </w:tr>
      <w:tr>
        <w:trPr>
          <w:trHeight w:val="33"/>
        </w:trPr>
        <w:tc>
          <w:tcPr>
            <w:tcW w:w="8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Distributions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(9,333)</w:t>
            </w:r>
          </w:p>
        </w:tc>
      </w:tr>
      <w:tr>
        <w:trPr>
          <w:trHeight w:val="217"/>
        </w:trPr>
        <w:tc>
          <w:tcPr>
            <w:tcW w:w="8080" w:type="dxa"/>
            <w:vAlign w:val="bottom"/>
          </w:tcPr>
          <w:p>
            <w:pPr>
              <w:ind w:left="108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(117,683)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(292,028)</w:t>
            </w:r>
          </w:p>
        </w:tc>
      </w:tr>
      <w:tr>
        <w:trPr>
          <w:trHeight w:val="33"/>
        </w:trPr>
        <w:tc>
          <w:tcPr>
            <w:tcW w:w="8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222,850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(6,101)</w:t>
            </w:r>
          </w:p>
        </w:tc>
      </w:tr>
      <w:tr>
        <w:trPr>
          <w:trHeight w:val="217"/>
        </w:trPr>
        <w:tc>
          <w:tcPr>
            <w:tcW w:w="80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(4,350)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12,035</w:t>
            </w:r>
          </w:p>
        </w:tc>
      </w:tr>
      <w:tr>
        <w:trPr>
          <w:trHeight w:val="33"/>
        </w:trPr>
        <w:tc>
          <w:tcPr>
            <w:tcW w:w="8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554,886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558,783</w:t>
            </w:r>
          </w:p>
        </w:tc>
      </w:tr>
      <w:tr>
        <w:trPr>
          <w:trHeight w:val="247"/>
        </w:trPr>
        <w:tc>
          <w:tcPr>
            <w:tcW w:w="808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773,386</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564,717</w:t>
            </w:r>
          </w:p>
        </w:tc>
      </w:tr>
      <w:tr>
        <w:trPr>
          <w:trHeight w:val="24"/>
        </w:trPr>
        <w:tc>
          <w:tcPr>
            <w:tcW w:w="8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360"/>
          </w:cols>
          <w:pgMar w:left="280" w:top="895" w:right="259" w:bottom="10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78105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895" w:right="259" w:bottom="1043"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Our national programming networks are AMC, WE tv, BBC AMERICA, IFC and SundanceTV in the United States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80"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 Networks International (AMCNI), the Company's international programming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portfolio of channels around the world; Global Direct to Consumer consisting of the Company's subscription streaming services Acorn TV, Shudder, Sundance Now and UMC (Urban Movie Channel); Levity Entertainment Group, our production services and comedy venues company; and IFC Films, the Company's independent film distribution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2018 contained in the Company's Annual Report on Form 10-K ("2018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Rights</w:t>
      </w:r>
    </w:p>
    <w:p>
      <w:pPr>
        <w:spacing w:after="0" w:line="117"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included in technical and operating expense. Program rights write-offs, included in technical and operating expense, were $1.6 million and $11.4 million for the three months ended September 30, 2019 and September 30, 2018, respectively. Program rights write-offs, included in technical and operating expense, were $15.2 million and $20.6 million for the nine months ended September 30, 2019 and September 30, 2018, respectively. Program write-offs, included in restructuring and other related charges, were $13.0 million for the nine months ended September 30, 2019 (see Note 4).</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 the useful lives and methodologies used to amortize and assess recoverability of program rights, the estimated useful lives of intangible assets and the valuation and recoverability of goodwill and intangible assets.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Lease Standard</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January 1, 2019, using the modified retrospective approach and effective date method. In addition, the Company elected the package of practical expedients, permitted under the transition guidance within the new standard, which among other things, allowed for the carry forward of the historical classification of leases. The adoption of the new standard resulted in additional net lease assets of $180.0 million (which is net of the historical deferred rent liability balance of $57.0 million) and lease liabilities of $237.0 million, respectively, as of January 1, 2019. The new standard did not materially impact our consolidated net income or cash flows. See Note 10 for further discussion regarding leases.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ASU 2018-13 changes the disclosure requirements for fair value measurements and is effective for the first quarter of 2020, with early adoption permitted. ASU 2018-13 changes disclosure requirements related to transfers between Level I and II assets, as well as several aspects surrounding the valuation process and unrealized gains and losses related to Level III assets. The Company is currently evaluating the impact the adoption of the modified disclosure requirements will have on its consolidated financial statements.</w:t>
      </w:r>
    </w:p>
    <w:p>
      <w:pPr>
        <w:spacing w:after="0" w:line="8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March 2019, the FASB issued ASU No. 2019-02, </w:t>
      </w:r>
      <w:r>
        <w:rPr>
          <w:rFonts w:ascii="Arial" w:cs="Arial" w:eastAsia="Arial" w:hAnsi="Arial"/>
          <w:sz w:val="18"/>
          <w:szCs w:val="18"/>
          <w:i w:val="1"/>
          <w:iCs w:val="1"/>
          <w:color w:val="auto"/>
        </w:rPr>
        <w:t>Improvements to Accounting for Costs of Films and License Agreements for Program Materials</w:t>
      </w:r>
      <w:r>
        <w:rPr>
          <w:rFonts w:ascii="Arial" w:cs="Arial" w:eastAsia="Arial" w:hAnsi="Arial"/>
          <w:sz w:val="18"/>
          <w:szCs w:val="18"/>
          <w:color w:val="auto"/>
        </w:rPr>
        <w:t>. ASU 2019-02 aligns the accounting for production costs of episodic television series with the accounting for production costs of films. In addition, ASU 2019-02 modifies certain aspects of the capitalization, impairment, presentation and disclosure requirements in Accounting Standards Codification (“ASC”) 926-20 and the impairment, presentation and disclosure requirements in ASC 920-350. The changes in this standard are effective for the first quarter of 2020, with early adoption permitted. The Company is currently evaluating the impact the adoption of the prospective disclosure requirements will have on its consolidated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2019, other than contracts for which the Company has applied the practical expedients, the aggregate amount of transaction price allocated to future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6"/>
              </w:rPr>
              <w:t>September 30, 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97"/>
              </w:rPr>
              <w:t>December 31, 2018</w:t>
            </w: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from contracts with customers:</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gridSpan w:val="2"/>
          </w:tcPr>
          <w:p>
            <w:pPr>
              <w:ind w:left="240"/>
              <w:spacing w:after="0"/>
              <w:rPr>
                <w:sz w:val="20"/>
                <w:szCs w:val="20"/>
                <w:color w:val="auto"/>
              </w:rPr>
            </w:pPr>
            <w:r>
              <w:rPr>
                <w:rFonts w:ascii="Arial" w:cs="Arial" w:eastAsia="Arial" w:hAnsi="Arial"/>
                <w:sz w:val="18"/>
                <w:szCs w:val="18"/>
                <w:color w:val="auto"/>
              </w:rPr>
              <w:t>Accounts receivable (including long-term, included in Other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1,077,706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1,018,105</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9,131</w:t>
            </w:r>
          </w:p>
        </w:tc>
      </w:tr>
      <w:tr>
        <w:trPr>
          <w:trHeight w:val="243"/>
        </w:trPr>
        <w:tc>
          <w:tcPr>
            <w:tcW w:w="726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22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6,386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8,136</w:t>
            </w:r>
          </w:p>
        </w:tc>
      </w:tr>
      <w:tr>
        <w:trPr>
          <w:trHeight w:val="27"/>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7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65,725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55,424</w:t>
            </w:r>
          </w:p>
        </w:tc>
      </w:tr>
      <w:tr>
        <w:trPr>
          <w:trHeight w:val="27"/>
        </w:trPr>
        <w:tc>
          <w:tcPr>
            <w:tcW w:w="7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recognized for the nine months ended September 30, 2019 relating to the contract liability at December 31, 2018 was $27.2 million.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860" w:type="dxa"/>
            <w:vAlign w:val="bottom"/>
            <w:gridSpan w:val="4"/>
          </w:tcPr>
          <w:p>
            <w:pPr>
              <w:ind w:left="140"/>
              <w:spacing w:after="0"/>
              <w:rPr>
                <w:sz w:val="20"/>
                <w:szCs w:val="20"/>
                <w:color w:val="auto"/>
              </w:rPr>
            </w:pPr>
            <w:r>
              <w:rPr>
                <w:rFonts w:ascii="Arial" w:cs="Arial" w:eastAsia="Arial" w:hAnsi="Arial"/>
                <w:sz w:val="16"/>
                <w:szCs w:val="16"/>
                <w:b w:val="1"/>
                <w:bCs w:val="1"/>
                <w:color w:val="auto"/>
                <w:w w:val="99"/>
              </w:rPr>
              <w:t>Three Months Ended September 30,</w:t>
            </w:r>
          </w:p>
        </w:tc>
        <w:tc>
          <w:tcPr>
            <w:tcW w:w="276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55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55,847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56,875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56,339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58,519</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Effect of dilution:</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r>
      <w:tr>
        <w:trPr>
          <w:trHeight w:val="243"/>
        </w:trPr>
        <w:tc>
          <w:tcPr>
            <w:tcW w:w="550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750</w:t>
            </w:r>
          </w:p>
        </w:tc>
      </w:tr>
      <w:tr>
        <w:trPr>
          <w:trHeight w:val="27"/>
        </w:trPr>
        <w:tc>
          <w:tcPr>
            <w:tcW w:w="5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3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56,605</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57,779</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57,218</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59,281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Approximately 1.5 million restricted stock units outstanding as of September 30, 2019 and September 30, 2018 have been excluded from diluted weighted average common shares outstanding since a performance condition for these awards was not met in each of the respective periods. As of September 30, 2019, there were 0.3 million restricted stock units that would have been anti-dilutive to the diluted weighted average common shares outstanding.</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nine months ended September 30, 2019, the Company repurchased 1.3 million shares of its Class A Common Stock at an average purchase price of approximately $54.24 per share. As of September 30, 2019, the Company has $488.8 million of authorization remaining for repurchase under the Stock Repurchase Program.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Related Charges</w:t>
      </w:r>
    </w:p>
    <w:p>
      <w:pPr>
        <w:spacing w:after="0" w:line="121"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Restructuring and other related charges of $10.2 million and $30.0 million for the three and nine months ended September 30, 2019, respectively, related to the management and direct to consumer organizational changes described below as well as severance and other personnel related costs incurred at AMCNI associated with the termination of distribution in certain territories. In connection with each of the restructuring initiatives, a number of roles were eliminated to address redundancy at the management level and improve the effectiveness of management while reducing the cost structure of the Company.</w:t>
      </w:r>
    </w:p>
    <w:p>
      <w:pPr>
        <w:spacing w:after="0" w:line="4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September 2019, management commenced a restructuring initiative of the Company's management team. As a result, the Company incurred restructuring charges of $10.2 million for the three months ended September 30, 2019. We expect additional restructuring charges in the fourth quarter of 2019.</w:t>
      </w:r>
    </w:p>
    <w:p>
      <w:pPr>
        <w:spacing w:after="0" w:line="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May 2019, management commenced a restructuring initiative of the Company's owned subscription streaming services. The restructuring combined the Company's owned subscription streaming services under one management team. Restructuring charges incurred of $1.3 million for the nine months ended September 30, 2019 related to severance and other personnel related costs.</w:t>
      </w:r>
    </w:p>
    <w:p>
      <w:pPr>
        <w:spacing w:after="0" w:line="73"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In connection with the management changes in the direct to consumer business, the Company implemented changes to its strategy for one of its owned subscription streaming services, including programming that will no longer be made available. Other related charges incurred of $13.0 million for the nine months ended September 30, 2019 related to a write-off of programming in connection with the direct to consumer reorganization and change in strategy.</w:t>
      </w:r>
    </w:p>
    <w:p>
      <w:pPr>
        <w:spacing w:after="0" w:line="3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Restructuring charges incurred of $5.5 million for the nine months ended September 30, 2019 related to severance and other personnel related costs associated with previously announced restructuring initiatives.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ind w:left="920" w:right="17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72"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20" w:type="dxa"/>
            <w:vAlign w:val="bottom"/>
          </w:tcPr>
          <w:p>
            <w:pPr>
              <w:spacing w:after="0"/>
              <w:rPr>
                <w:sz w:val="17"/>
                <w:szCs w:val="17"/>
                <w:color w:val="auto"/>
              </w:rPr>
            </w:pPr>
          </w:p>
        </w:tc>
        <w:tc>
          <w:tcPr>
            <w:tcW w:w="1860" w:type="dxa"/>
            <w:vAlign w:val="bottom"/>
          </w:tcPr>
          <w:p>
            <w:pPr>
              <w:jc w:val="center"/>
              <w:ind w:right="154"/>
              <w:spacing w:after="0"/>
              <w:rPr>
                <w:sz w:val="20"/>
                <w:szCs w:val="20"/>
                <w:color w:val="auto"/>
              </w:rPr>
            </w:pPr>
            <w:r>
              <w:rPr>
                <w:rFonts w:ascii="Arial" w:cs="Arial" w:eastAsia="Arial" w:hAnsi="Arial"/>
                <w:sz w:val="16"/>
                <w:szCs w:val="16"/>
                <w:b w:val="1"/>
                <w:bCs w:val="1"/>
                <w:color w:val="auto"/>
                <w:w w:val="92"/>
              </w:rPr>
              <w:t>Nine Months Ended</w:t>
            </w:r>
          </w:p>
        </w:tc>
      </w:tr>
      <w:tr>
        <w:trPr>
          <w:trHeight w:val="210"/>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860" w:type="dxa"/>
            <w:vAlign w:val="bottom"/>
          </w:tcPr>
          <w:p>
            <w:pPr>
              <w:jc w:val="center"/>
              <w:ind w:right="174"/>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5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w w:val="89"/>
              </w:rPr>
              <w:t>2019</w:t>
            </w:r>
          </w:p>
        </w:tc>
      </w:tr>
      <w:tr>
        <w:trPr>
          <w:trHeight w:val="250"/>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National Networks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6,776</w:t>
            </w: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International &amp; Other</w:t>
            </w:r>
          </w:p>
        </w:tc>
        <w:tc>
          <w:tcPr>
            <w:tcW w:w="200" w:type="dxa"/>
            <w:vAlign w:val="bottom"/>
          </w:tcPr>
          <w:p>
            <w:pPr>
              <w:spacing w:after="0"/>
              <w:rPr>
                <w:sz w:val="21"/>
                <w:szCs w:val="21"/>
                <w:color w:val="auto"/>
              </w:rPr>
            </w:pPr>
          </w:p>
        </w:tc>
        <w:tc>
          <w:tcPr>
            <w:tcW w:w="1880" w:type="dxa"/>
            <w:vAlign w:val="bottom"/>
          </w:tcPr>
          <w:p>
            <w:pPr>
              <w:jc w:val="right"/>
              <w:ind w:right="54"/>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74"/>
              <w:spacing w:after="0"/>
              <w:rPr>
                <w:sz w:val="20"/>
                <w:szCs w:val="20"/>
                <w:color w:val="auto"/>
              </w:rPr>
            </w:pPr>
            <w:r>
              <w:rPr>
                <w:rFonts w:ascii="Arial" w:cs="Arial" w:eastAsia="Arial" w:hAnsi="Arial"/>
                <w:sz w:val="18"/>
                <w:szCs w:val="18"/>
                <w:color w:val="auto"/>
              </w:rPr>
              <w:t>23,915</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w:t>
            </w:r>
          </w:p>
        </w:tc>
      </w:tr>
      <w:tr>
        <w:trPr>
          <w:trHeight w:val="264"/>
        </w:trPr>
        <w:tc>
          <w:tcPr>
            <w:tcW w:w="5740" w:type="dxa"/>
            <w:vAlign w:val="bottom"/>
          </w:tcPr>
          <w:p>
            <w:pPr>
              <w:spacing w:after="0"/>
              <w:rPr>
                <w:sz w:val="20"/>
                <w:szCs w:val="20"/>
                <w:color w:val="auto"/>
              </w:rPr>
            </w:pPr>
            <w:r>
              <w:rPr>
                <w:rFonts w:ascii="Arial" w:cs="Arial" w:eastAsia="Arial" w:hAnsi="Arial"/>
                <w:sz w:val="18"/>
                <w:szCs w:val="18"/>
                <w:color w:val="auto"/>
              </w:rPr>
              <w:t>Total restructuring and other related charges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10,191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29,995</w:t>
            </w:r>
          </w:p>
        </w:tc>
      </w:tr>
      <w:tr>
        <w:trPr>
          <w:trHeight w:val="21"/>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restructuring and other charges recognized for the three and nine months ended September 30, 2019:</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23495</wp:posOffset>
            </wp:positionV>
            <wp:extent cx="637159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71590" cy="18034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Restructuring charges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31750</wp:posOffset>
            </wp:positionV>
            <wp:extent cx="637159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71590" cy="197485"/>
                    </a:xfrm>
                    <a:prstGeom prst="rect">
                      <a:avLst/>
                    </a:prstGeom>
                    <a:noFill/>
                  </pic:spPr>
                </pic:pic>
              </a:graphicData>
            </a:graphic>
          </wp:anchor>
        </w:drawing>
      </w:r>
    </w:p>
    <w:p>
      <w:pPr>
        <w:spacing w:after="0" w:line="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restructuring and other related charges</w:t>
      </w:r>
    </w:p>
    <w:p>
      <w:pPr>
        <w:spacing w:after="0" w:line="200" w:lineRule="exact"/>
        <w:rPr>
          <w:sz w:val="20"/>
          <w:szCs w:val="20"/>
          <w:color w:val="auto"/>
        </w:rPr>
      </w:pPr>
    </w:p>
    <w:p>
      <w:pPr>
        <w:spacing w:after="0" w:line="3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accrued restructuring costs: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left="-119"/>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119"/>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33020</wp:posOffset>
            </wp:positionV>
            <wp:extent cx="13290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5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2019</w:t>
      </w:r>
    </w:p>
    <w:p>
      <w:pPr>
        <w:spacing w:after="0" w:line="86"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10,191</w:t>
      </w:r>
    </w:p>
    <w:p>
      <w:pPr>
        <w:spacing w:after="0" w:line="8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72390</wp:posOffset>
            </wp:positionV>
            <wp:extent cx="13290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33020</wp:posOffset>
            </wp:positionV>
            <wp:extent cx="13290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58"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2019</w:t>
      </w:r>
    </w:p>
    <w:p>
      <w:pPr>
        <w:spacing w:after="0" w:line="86"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16,978</w:t>
      </w:r>
    </w:p>
    <w:p>
      <w:pPr>
        <w:spacing w:after="0" w:line="8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13,017</w:t>
      </w:r>
    </w:p>
    <w:p>
      <w:pPr>
        <w:spacing w:after="0" w:line="100"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13290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951" w:lineRule="exact"/>
        <w:rPr>
          <w:sz w:val="20"/>
          <w:szCs w:val="20"/>
          <w:color w:val="auto"/>
        </w:rPr>
      </w:pPr>
    </w:p>
    <w:p>
      <w:pPr>
        <w:sectPr>
          <w:pgSz w:w="11900" w:h="16838" w:orient="portrait"/>
          <w:cols w:equalWidth="0" w:num="3">
            <w:col w:w="5740" w:space="720"/>
            <w:col w:w="1940" w:space="260"/>
            <w:col w:w="2760"/>
          </w:cols>
          <w:pgMar w:left="240" w:top="125"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 thousands)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Balance, December 31, 2018</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Charges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payments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Non-cash adjustments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Currency translation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Balance, September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Severance and</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employee-related</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costs</w:t>
            </w:r>
          </w:p>
        </w:tc>
        <w:tc>
          <w:tcPr>
            <w:tcW w:w="120" w:type="dxa"/>
            <w:vAlign w:val="bottom"/>
          </w:tcPr>
          <w:p>
            <w:pPr>
              <w:spacing w:after="0"/>
              <w:rPr>
                <w:sz w:val="18"/>
                <w:szCs w:val="18"/>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related costs</w:t>
            </w:r>
          </w:p>
        </w:tc>
        <w:tc>
          <w:tcPr>
            <w:tcW w:w="36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Total</w:t>
            </w:r>
          </w:p>
        </w:tc>
      </w:tr>
      <w:tr>
        <w:trPr>
          <w:trHeight w:val="33"/>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33,774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35,189</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15,215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16,978</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(23,577)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(23,991)</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(3,166)</w:t>
            </w:r>
          </w:p>
        </w:tc>
      </w:tr>
      <w:tr>
        <w:trPr>
          <w:trHeight w:val="270"/>
        </w:trPr>
        <w:tc>
          <w:tcPr>
            <w:tcW w:w="140" w:type="dxa"/>
            <w:vAlign w:val="bottom"/>
          </w:tcPr>
          <w:p>
            <w:pPr>
              <w:spacing w:after="0"/>
              <w:rPr>
                <w:sz w:val="23"/>
                <w:szCs w:val="23"/>
                <w:color w:val="auto"/>
              </w:rPr>
            </w:pP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26</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24,824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25,036</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-1080135</wp:posOffset>
            </wp:positionV>
            <wp:extent cx="644906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49060" cy="18034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-728345</wp:posOffset>
            </wp:positionV>
            <wp:extent cx="644906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49060" cy="17145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-385445</wp:posOffset>
            </wp:positionV>
            <wp:extent cx="644906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4906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640"/>
          </w:cols>
          <w:pgMar w:left="240" w:top="125" w:right="239" w:bottom="1440" w:gutter="0" w:footer="0" w:header="0"/>
          <w:type w:val="continuous"/>
        </w:sectPr>
      </w:pPr>
    </w:p>
    <w:p>
      <w:pPr>
        <w:jc w:val="both"/>
        <w:ind w:firstLine="446"/>
        <w:spacing w:after="0" w:line="277" w:lineRule="auto"/>
        <w:rPr>
          <w:sz w:val="20"/>
          <w:szCs w:val="20"/>
          <w:color w:val="auto"/>
        </w:rPr>
      </w:pPr>
      <w:r>
        <w:rPr>
          <w:rFonts w:ascii="Arial" w:cs="Arial" w:eastAsia="Arial" w:hAnsi="Arial"/>
          <w:sz w:val="18"/>
          <w:szCs w:val="18"/>
          <w:color w:val="auto"/>
        </w:rPr>
        <w:t>Accrued restructuring costs of $19.6 million are included in accrued liabilities and $5.4 million are included in other liabilities (long-term) in the consolidated balance sheet at September 30,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RLJ Entertainment, Inc.</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October 2018, the Company acquired a controlling interest in RLJ Entertainment, Inc. ("RLJE"), a premium subscription streaming services company that operates Acorn TV and UMC (Urban Movie Channel). Acorn TV features high-quality British and International mysteries and dramas. UMC showcases quality urban programming including feature films, documentaries, original series, stand-up comedy and other exclusive content for African-American and urban audiences. In addition, RLJE owns a majority interest in Agatha Christie Ltd., a popular world-class franchise.</w:t>
      </w:r>
    </w:p>
    <w:p>
      <w:pPr>
        <w:spacing w:after="0" w:line="6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RLJE also controls, co-produces, and either owns or has long-term distribution rights to a large library of content primarily consisting of British mysteries and dramas, independent feature films and urban content. In addition to supporting its streaming services, the company monetizes its library through distribution operations across virtually all available media platforms and is distributed in the United States, Canada, U.K. and Australia.</w:t>
      </w:r>
    </w:p>
    <w:p>
      <w:pPr>
        <w:spacing w:after="0" w:line="5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RLJE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RLJE acquisition is generally not deductible for tax purposes.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2" w:name="page13"/>
    <w:bookmarkEnd w:id="1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following table summarizes the preliminary valuation of the tangible and identifiable intangible assets acquired and liabilities assumed as of October 1, 2018, the date the Company obtained a controlling interest (in thousands).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consideration transferred</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41,513</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Fair value of previously held equity interest</w:t>
            </w:r>
          </w:p>
        </w:tc>
        <w:tc>
          <w:tcPr>
            <w:tcW w:w="5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130,890</w:t>
            </w:r>
          </w:p>
        </w:tc>
      </w:tr>
      <w:tr>
        <w:trPr>
          <w:trHeight w:val="27"/>
        </w:trPr>
        <w:tc>
          <w:tcPr>
            <w:tcW w:w="9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redeemable noncontrolling interest</w:t>
            </w: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103,359</w:t>
            </w:r>
          </w:p>
        </w:tc>
      </w:tr>
      <w:tr>
        <w:trPr>
          <w:trHeight w:val="237"/>
        </w:trPr>
        <w:tc>
          <w:tcPr>
            <w:tcW w:w="96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275,762</w:t>
            </w:r>
          </w:p>
        </w:tc>
      </w:tr>
      <w:tr>
        <w:trPr>
          <w:trHeight w:val="27"/>
        </w:trPr>
        <w:tc>
          <w:tcPr>
            <w:tcW w:w="9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96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7"/>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Allocation to net assets acquired:</w:t>
            </w:r>
          </w:p>
        </w:tc>
        <w:tc>
          <w:tcPr>
            <w:tcW w:w="5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Cash</w:t>
            </w:r>
          </w:p>
        </w:tc>
        <w:tc>
          <w:tcPr>
            <w:tcW w:w="5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3,360</w:t>
            </w:r>
          </w:p>
        </w:tc>
      </w:tr>
      <w:tr>
        <w:trPr>
          <w:trHeight w:val="27"/>
        </w:trPr>
        <w:tc>
          <w:tcPr>
            <w:tcW w:w="9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16,316</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963</w:t>
            </w:r>
          </w:p>
        </w:tc>
      </w:tr>
      <w:tr>
        <w:trPr>
          <w:trHeight w:val="27"/>
        </w:trPr>
        <w:tc>
          <w:tcPr>
            <w:tcW w:w="9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Programming rights</w:t>
            </w: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69,775</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2,841</w:t>
            </w:r>
          </w:p>
        </w:tc>
      </w:tr>
      <w:tr>
        <w:trPr>
          <w:trHeight w:val="27"/>
        </w:trPr>
        <w:tc>
          <w:tcPr>
            <w:tcW w:w="9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(equity method investments)</w:t>
            </w: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38,800</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126,600</w:t>
            </w:r>
          </w:p>
        </w:tc>
      </w:tr>
      <w:tr>
        <w:trPr>
          <w:trHeight w:val="27"/>
        </w:trPr>
        <w:tc>
          <w:tcPr>
            <w:tcW w:w="9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(12,008)</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(43,441)</w:t>
            </w:r>
          </w:p>
        </w:tc>
      </w:tr>
      <w:tr>
        <w:trPr>
          <w:trHeight w:val="27"/>
        </w:trPr>
        <w:tc>
          <w:tcPr>
            <w:tcW w:w="9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(25,187)</w:t>
            </w:r>
          </w:p>
        </w:tc>
      </w:tr>
      <w:tr>
        <w:trPr>
          <w:trHeight w:val="237"/>
        </w:trPr>
        <w:tc>
          <w:tcPr>
            <w:tcW w:w="96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178,019</w:t>
            </w:r>
          </w:p>
        </w:tc>
      </w:tr>
      <w:tr>
        <w:trPr>
          <w:trHeight w:val="27"/>
        </w:trPr>
        <w:tc>
          <w:tcPr>
            <w:tcW w:w="9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97,743</w:t>
            </w:r>
          </w:p>
        </w:tc>
      </w:tr>
      <w:tr>
        <w:trPr>
          <w:trHeight w:val="237"/>
        </w:trPr>
        <w:tc>
          <w:tcPr>
            <w:tcW w:w="96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275,762</w:t>
            </w:r>
          </w:p>
        </w:tc>
      </w:tr>
      <w:tr>
        <w:trPr>
          <w:trHeight w:val="27"/>
        </w:trPr>
        <w:tc>
          <w:tcPr>
            <w:tcW w:w="9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9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Levity Entertainment Group LLC</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April 20, 2018, the Company acquired a 57% controlling interest in Levity Entertainment Group LLC ("Levity"), a production services and comedy venues company, for a total purchase price of $48.4 million. The purchase price consisted of a $35.0 million payment for the outstanding Class B Common Units of Levity and the acquisition of Series L Preferred Units for $13.4 million. The Company entered into arrangements with the noncontrolling members related to the governance of Levity following the acquisition. The Company views this acquisition as complementary to its business and programming content strategy.</w:t>
      </w:r>
    </w:p>
    <w:p>
      <w:pPr>
        <w:spacing w:after="0" w:line="8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Levity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Levity acquisition is generally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the tangible and identifiable intangible assets acquired and liabilities assumed (in thousands).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controlling interest</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Allocation to net assets acquired:</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6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20,663</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Noncontrolling interests acquired</w:t>
            </w:r>
          </w:p>
        </w:tc>
        <w:tc>
          <w:tcPr>
            <w:tcW w:w="5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net assets acquired</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54,709</w:t>
            </w:r>
          </w:p>
        </w:tc>
        <w:tc>
          <w:tcPr>
            <w:tcW w:w="0" w:type="dxa"/>
            <w:vAlign w:val="bottom"/>
          </w:tcPr>
          <w:p>
            <w:pPr>
              <w:spacing w:after="0"/>
              <w:rPr>
                <w:sz w:val="1"/>
                <w:szCs w:val="1"/>
                <w:color w:val="auto"/>
              </w:rPr>
            </w:pPr>
          </w:p>
        </w:tc>
      </w:tr>
      <w:tr>
        <w:trPr>
          <w:trHeight w:val="243"/>
        </w:trPr>
        <w:tc>
          <w:tcPr>
            <w:tcW w:w="9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6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unaudited pro forma financial information is based on (i) the historical financial statements of AMC Networks, (ii) the historical financial statements of RLJE and (iii) the historical financial statements of Levity and is intended to provide information about how the acquisitions may have affected the Company's historical consolidated financial statements if they had occurred as of January 1, 2018. The unaudited pro forma information has been prepared for comparative purposes only and includes adjustments for estimated additional depreciation and amortization expense as a result of tangible and identifiable intangible assets acquired. The pro forma information is not necessarily indicative of the results of operations that would have been achieved had the acquisition taken place on the date indicated or that may result in the future.</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25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Pro Forma Financial Information</w:t>
            </w:r>
          </w:p>
        </w:tc>
        <w:tc>
          <w:tcPr>
            <w:tcW w:w="100" w:type="dxa"/>
            <w:vAlign w:val="bottom"/>
          </w:tcPr>
          <w:p>
            <w:pPr>
              <w:spacing w:after="0"/>
              <w:rPr>
                <w:sz w:val="17"/>
                <w:szCs w:val="17"/>
                <w:color w:val="auto"/>
              </w:rPr>
            </w:pPr>
          </w:p>
        </w:tc>
        <w:tc>
          <w:tcPr>
            <w:tcW w:w="246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Pro Forma Financial Information</w:t>
            </w:r>
          </w:p>
        </w:tc>
      </w:tr>
      <w:tr>
        <w:trPr>
          <w:trHeight w:val="203"/>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For the Three Months Ended</w:t>
            </w:r>
          </w:p>
        </w:tc>
        <w:tc>
          <w:tcPr>
            <w:tcW w:w="100" w:type="dxa"/>
            <w:vAlign w:val="bottom"/>
          </w:tcPr>
          <w:p>
            <w:pPr>
              <w:spacing w:after="0"/>
              <w:rPr>
                <w:sz w:val="17"/>
                <w:szCs w:val="17"/>
                <w:color w:val="auto"/>
              </w:rPr>
            </w:pPr>
          </w:p>
        </w:tc>
        <w:tc>
          <w:tcPr>
            <w:tcW w:w="2460" w:type="dxa"/>
            <w:vAlign w:val="bottom"/>
          </w:tcPr>
          <w:p>
            <w:pPr>
              <w:jc w:val="center"/>
              <w:ind w:right="34"/>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37"/>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20"/>
                <w:szCs w:val="20"/>
                <w:color w:val="auto"/>
              </w:rPr>
            </w:pPr>
          </w:p>
        </w:tc>
        <w:tc>
          <w:tcPr>
            <w:tcW w:w="2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Pr>
          <w:p>
            <w:pPr>
              <w:spacing w:after="0"/>
              <w:rPr>
                <w:sz w:val="20"/>
                <w:szCs w:val="20"/>
                <w:color w:val="auto"/>
              </w:rPr>
            </w:pPr>
          </w:p>
        </w:tc>
        <w:tc>
          <w:tcPr>
            <w:tcW w:w="246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September 30, 2018</w:t>
            </w:r>
          </w:p>
        </w:tc>
      </w:tr>
      <w:tr>
        <w:trPr>
          <w:trHeight w:val="250"/>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721,196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2,313,885</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ind w:right="73"/>
              <w:spacing w:after="0"/>
              <w:rPr>
                <w:sz w:val="20"/>
                <w:szCs w:val="20"/>
                <w:color w:val="auto"/>
              </w:rPr>
            </w:pPr>
            <w:r>
              <w:rPr>
                <w:rFonts w:ascii="Arial" w:cs="Arial" w:eastAsia="Arial" w:hAnsi="Arial"/>
                <w:sz w:val="18"/>
                <w:szCs w:val="18"/>
                <w:color w:val="auto"/>
              </w:rPr>
              <w:t>152,402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Pr>
          <w:p>
            <w:pPr>
              <w:jc w:val="right"/>
              <w:ind w:right="74"/>
              <w:spacing w:after="0"/>
              <w:rPr>
                <w:sz w:val="20"/>
                <w:szCs w:val="20"/>
                <w:color w:val="auto"/>
              </w:rPr>
            </w:pPr>
            <w:r>
              <w:rPr>
                <w:rFonts w:ascii="Arial" w:cs="Arial" w:eastAsia="Arial" w:hAnsi="Arial"/>
                <w:sz w:val="18"/>
                <w:szCs w:val="18"/>
                <w:color w:val="auto"/>
              </w:rPr>
              <w:t>498,919</w:t>
            </w:r>
          </w:p>
        </w:tc>
      </w:tr>
      <w:tr>
        <w:trPr>
          <w:trHeight w:val="27"/>
        </w:trPr>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6.05</w:t>
            </w:r>
          </w:p>
        </w:tc>
      </w:tr>
      <w:tr>
        <w:trPr>
          <w:trHeight w:val="243"/>
        </w:trPr>
        <w:tc>
          <w:tcPr>
            <w:tcW w:w="6120" w:type="dxa"/>
            <w:vAlign w:val="bottom"/>
          </w:tcPr>
          <w:p>
            <w:pPr>
              <w:ind w:left="20"/>
              <w:spacing w:after="0"/>
              <w:rPr>
                <w:sz w:val="20"/>
                <w:szCs w:val="20"/>
                <w:color w:val="auto"/>
              </w:rPr>
            </w:pPr>
            <w:r>
              <w:rPr>
                <w:rFonts w:ascii="Arial" w:cs="Arial" w:eastAsia="Arial" w:hAnsi="Arial"/>
                <w:sz w:val="18"/>
                <w:szCs w:val="18"/>
                <w:color w:val="auto"/>
              </w:rPr>
              <w:t>Net income per share,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ind w:right="7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60" w:type="dxa"/>
            <w:vAlign w:val="bottom"/>
          </w:tcPr>
          <w:p>
            <w:pPr>
              <w:jc w:val="right"/>
              <w:ind w:right="74"/>
              <w:spacing w:after="0"/>
              <w:rPr>
                <w:sz w:val="20"/>
                <w:szCs w:val="20"/>
                <w:color w:val="auto"/>
              </w:rPr>
            </w:pPr>
            <w:r>
              <w:rPr>
                <w:rFonts w:ascii="Arial" w:cs="Arial" w:eastAsia="Arial" w:hAnsi="Arial"/>
                <w:sz w:val="18"/>
                <w:szCs w:val="18"/>
                <w:color w:val="auto"/>
              </w:rPr>
              <w:t>5.97</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holds several investments and loans in non-consolidated entities which are included in Other assets in the condensed consolidated balance sheet. Equity method investments were $86.6 million at September 30, 2019 and $90.9 million at December 31,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included in Miscellaneous, net in the condensed consolidated statement of income. Investments in marketable equity securities were $1.0 million at September 30, 2019 and $1.2 million at December 31,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classifies investments without readily determinable fair values that are not accounted for under the equity method as non-marketable equity securities. The accounting guidance requires non-marketable equity securities to be recorded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included in Miscellaneous, net in the condensed consolidated statement of income.</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Investments in non-marketable equity securities were $61.8 million at September 30, 2019 and $71.8 million at December 31, 2018.</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For the nine months ended September 30, 2019, the Company recognized impairment charges of $20.2 million related to the partial write-down of certain non-marketable equity securities and a note receivable, included in Miscellaneous, net in the condensed consolidated statement of income.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National Networks</w:t>
            </w:r>
          </w:p>
        </w:tc>
        <w:tc>
          <w:tcPr>
            <w:tcW w:w="26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400" w:type="dxa"/>
            <w:vAlign w:val="bottom"/>
          </w:tcPr>
          <w:p>
            <w:pPr>
              <w:jc w:val="right"/>
              <w:ind w:right="631"/>
              <w:spacing w:after="0"/>
              <w:rPr>
                <w:sz w:val="20"/>
                <w:szCs w:val="20"/>
                <w:color w:val="auto"/>
              </w:rPr>
            </w:pPr>
            <w:r>
              <w:rPr>
                <w:rFonts w:ascii="Arial" w:cs="Arial" w:eastAsia="Arial" w:hAnsi="Arial"/>
                <w:sz w:val="16"/>
                <w:szCs w:val="16"/>
                <w:b w:val="1"/>
                <w:bCs w:val="1"/>
                <w:color w:val="auto"/>
              </w:rPr>
              <w:t>Total</w:t>
            </w:r>
          </w:p>
        </w:tc>
      </w:tr>
      <w:tr>
        <w:trPr>
          <w:trHeight w:val="250"/>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238,431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559,606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798,037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Purchase accounting adjustments</w:t>
            </w:r>
          </w:p>
        </w:tc>
        <w:tc>
          <w:tcPr>
            <w:tcW w:w="18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8"/>
                <w:szCs w:val="18"/>
                <w:color w:val="auto"/>
              </w:rPr>
              <w:t>8</w:t>
            </w: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(996)</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(14,815)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(14,815)</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237,435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544,799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782,234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accounting adjustments relate to the acquisition of RLJE (see Note 5).</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reduction of $1.0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jc w:val="center"/>
        <w:ind w:left="1680" w:right="7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September 30, 2019</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400" w:type="dxa"/>
            <w:vAlign w:val="bottom"/>
          </w:tcPr>
          <w:p>
            <w:pPr>
              <w:spacing w:after="0"/>
              <w:rPr>
                <w:sz w:val="20"/>
                <w:szCs w:val="20"/>
                <w:color w:val="auto"/>
              </w:rPr>
            </w:pPr>
          </w:p>
        </w:tc>
        <w:tc>
          <w:tcPr>
            <w:tcW w:w="1240" w:type="dxa"/>
            <w:vAlign w:val="bottom"/>
          </w:tcPr>
          <w:p>
            <w:pPr>
              <w:jc w:val="right"/>
              <w:ind w:right="61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b w:val="1"/>
                <w:bCs w:val="1"/>
                <w:color w:val="auto"/>
              </w:rPr>
              <w:t>Amortizable intangible assets:</w:t>
            </w: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Affiliate and customer relationships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609,060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(219,962)</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389,098</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Advertiser relationships</w:t>
            </w: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46,282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(20,768)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25,514</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Trade names</w:t>
            </w: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122,320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(22,166)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100,154</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Other amortizable intangible assets</w:t>
            </w: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13,145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(7,446)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380" w:type="dxa"/>
            <w:vAlign w:val="bottom"/>
          </w:tcPr>
          <w:p>
            <w:pPr>
              <w:spacing w:after="0"/>
              <w:rPr>
                <w:sz w:val="20"/>
                <w:szCs w:val="20"/>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790,807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(270,342)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520,465</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Trademarks</w:t>
            </w: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810,707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(270,342)</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540,365</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 2018</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38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400" w:type="dxa"/>
            <w:vAlign w:val="bottom"/>
          </w:tcPr>
          <w:p>
            <w:pPr>
              <w:spacing w:after="0"/>
              <w:rPr>
                <w:sz w:val="20"/>
                <w:szCs w:val="20"/>
                <w:color w:val="auto"/>
              </w:rPr>
            </w:pPr>
          </w:p>
        </w:tc>
        <w:tc>
          <w:tcPr>
            <w:tcW w:w="1240" w:type="dxa"/>
            <w:vAlign w:val="bottom"/>
          </w:tcPr>
          <w:p>
            <w:pPr>
              <w:jc w:val="right"/>
              <w:ind w:right="61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b w:val="1"/>
                <w:bCs w:val="1"/>
                <w:color w:val="auto"/>
              </w:rPr>
              <w:t>Amortizable intangible assets:</w:t>
            </w: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Affiliate and customer relationships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620,771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(198,500)</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422,271</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Advertiser relationships</w:t>
            </w: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46,282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(17,613)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28,669</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Trade names</w:t>
            </w: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118,772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(17,971)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100,801</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Other amortizable intangible assets</w:t>
            </w: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13,643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(6,377)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380" w:type="dxa"/>
            <w:vAlign w:val="bottom"/>
          </w:tcPr>
          <w:p>
            <w:pPr>
              <w:spacing w:after="0"/>
              <w:rPr>
                <w:sz w:val="20"/>
                <w:szCs w:val="20"/>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799,468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(240,461)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559,007</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Trademarks</w:t>
            </w:r>
          </w:p>
        </w:tc>
        <w:tc>
          <w:tcPr>
            <w:tcW w:w="380" w:type="dxa"/>
            <w:vAlign w:val="bottom"/>
          </w:tcPr>
          <w:p>
            <w:pPr>
              <w:spacing w:after="0"/>
              <w:rPr>
                <w:sz w:val="23"/>
                <w:szCs w:val="23"/>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819,368</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(240,461)</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578,907</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-3309620</wp:posOffset>
            </wp:positionV>
            <wp:extent cx="72205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-2966720</wp:posOffset>
            </wp:positionV>
            <wp:extent cx="722058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-2614930</wp:posOffset>
            </wp:positionV>
            <wp:extent cx="722058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-2272030</wp:posOffset>
            </wp:positionV>
            <wp:extent cx="7220585"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0585"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-1594485</wp:posOffset>
            </wp:positionV>
            <wp:extent cx="722058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22058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-908685</wp:posOffset>
            </wp:positionV>
            <wp:extent cx="722058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22058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220585" cy="1974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0585"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-3652520</wp:posOffset>
            </wp:positionV>
            <wp:extent cx="722058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Estimated Useful</w:t>
      </w:r>
    </w:p>
    <w:p>
      <w:pPr>
        <w:spacing w:after="0" w:line="49"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Lives</w:t>
      </w:r>
    </w:p>
    <w:p>
      <w:pPr>
        <w:spacing w:after="0" w:line="36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 to 25 years</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 years</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 to 20 years</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 to 15 years</w:t>
      </w:r>
    </w:p>
    <w:p>
      <w:pPr>
        <w:spacing w:after="0" w:line="4520" w:lineRule="exact"/>
        <w:rPr>
          <w:sz w:val="20"/>
          <w:szCs w:val="20"/>
          <w:color w:val="auto"/>
        </w:rPr>
      </w:pPr>
    </w:p>
    <w:p>
      <w:pPr>
        <w:sectPr>
          <w:pgSz w:w="11900" w:h="16838" w:orient="portrait"/>
          <w:cols w:equalWidth="0" w:num="2">
            <w:col w:w="9740" w:space="280"/>
            <w:col w:w="1380"/>
          </w:cols>
          <w:pgMar w:left="240" w:top="125" w:right="259" w:bottom="1440" w:gutter="0" w:footer="0" w:header="0"/>
        </w:sectPr>
      </w:pPr>
    </w:p>
    <w:p>
      <w:pPr>
        <w:ind w:firstLine="405"/>
        <w:spacing w:after="0" w:line="342" w:lineRule="auto"/>
        <w:rPr>
          <w:sz w:val="20"/>
          <w:szCs w:val="20"/>
          <w:color w:val="auto"/>
        </w:rPr>
      </w:pPr>
      <w:r>
        <w:rPr>
          <w:rFonts w:ascii="Arial" w:cs="Arial" w:eastAsia="Arial" w:hAnsi="Arial"/>
          <w:sz w:val="16"/>
          <w:szCs w:val="16"/>
          <w:color w:val="auto"/>
        </w:rPr>
        <w:t>Aggregate amortization expense for amortizable intangible assets for the nine months ended September 30, 2019 and 2018 was $34.2 million and $29.1 million, respectively. Estimated aggregate amortization expense for intangible assets subject to amortization for each of the following five years is: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5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46,990</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2020</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46,666</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46,061</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5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45,654</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45,573</w:t>
            </w:r>
          </w:p>
        </w:tc>
      </w:tr>
      <w:tr>
        <w:trPr>
          <w:trHeight w:val="675"/>
        </w:trPr>
        <w:tc>
          <w:tcPr>
            <w:tcW w:w="7460" w:type="dxa"/>
            <w:vAlign w:val="bottom"/>
            <w:gridSpan w:val="3"/>
          </w:tcPr>
          <w:p>
            <w:pPr>
              <w:spacing w:after="0"/>
              <w:rPr>
                <w:sz w:val="20"/>
                <w:szCs w:val="20"/>
                <w:color w:val="auto"/>
              </w:rPr>
            </w:pPr>
            <w:r>
              <w:rPr>
                <w:rFonts w:ascii="Arial" w:cs="Arial" w:eastAsia="Arial" w:hAnsi="Arial"/>
                <w:sz w:val="18"/>
                <w:szCs w:val="18"/>
                <w:b w:val="1"/>
                <w:bCs w:val="1"/>
                <w:color w:val="auto"/>
              </w:rPr>
              <w:t>Note 8. Accrued Liabilities</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440" w:type="dxa"/>
            <w:vAlign w:val="bottom"/>
            <w:gridSpan w:val="2"/>
          </w:tcPr>
          <w:p>
            <w:pPr>
              <w:ind w:left="440"/>
              <w:spacing w:after="0"/>
              <w:rPr>
                <w:sz w:val="20"/>
                <w:szCs w:val="20"/>
                <w:color w:val="auto"/>
              </w:rPr>
            </w:pPr>
            <w:r>
              <w:rPr>
                <w:rFonts w:ascii="Arial" w:cs="Arial" w:eastAsia="Arial" w:hAnsi="Arial"/>
                <w:sz w:val="18"/>
                <w:szCs w:val="18"/>
                <w:color w:val="auto"/>
              </w:rPr>
              <w:t>Accrued liabilities consist of the following:</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2019</w:t>
            </w:r>
          </w:p>
        </w:tc>
        <w:tc>
          <w:tcPr>
            <w:tcW w:w="220" w:type="dxa"/>
            <w:vAlign w:val="bottom"/>
          </w:tcPr>
          <w:p>
            <w:pPr>
              <w:spacing w:after="0"/>
              <w:rPr>
                <w:sz w:val="24"/>
                <w:szCs w:val="24"/>
                <w:color w:val="auto"/>
              </w:rPr>
            </w:pPr>
          </w:p>
        </w:tc>
        <w:tc>
          <w:tcPr>
            <w:tcW w:w="17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w w:val="95"/>
              </w:rPr>
              <w:t>December 31, 2018</w:t>
            </w:r>
          </w:p>
        </w:tc>
      </w:tr>
      <w:tr>
        <w:trPr>
          <w:trHeight w:val="250"/>
        </w:trPr>
        <w:tc>
          <w:tcPr>
            <w:tcW w:w="20" w:type="dxa"/>
            <w:vAlign w:val="bottom"/>
          </w:tcPr>
          <w:p>
            <w:pPr>
              <w:spacing w:after="0"/>
              <w:rPr>
                <w:sz w:val="21"/>
                <w:szCs w:val="21"/>
                <w:color w:val="auto"/>
              </w:rPr>
            </w:pPr>
          </w:p>
        </w:tc>
        <w:tc>
          <w:tcPr>
            <w:tcW w:w="7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Employee related costs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100,729</w:t>
            </w:r>
          </w:p>
        </w:tc>
      </w:tr>
      <w:tr>
        <w:trPr>
          <w:trHeight w:val="243"/>
        </w:trPr>
        <w:tc>
          <w:tcPr>
            <w:tcW w:w="20" w:type="dxa"/>
            <w:vAlign w:val="bottom"/>
          </w:tcPr>
          <w:p>
            <w:pPr>
              <w:spacing w:after="0"/>
              <w:rPr>
                <w:sz w:val="21"/>
                <w:szCs w:val="21"/>
                <w:color w:val="auto"/>
              </w:rPr>
            </w:pP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Participations and residuals</w:t>
            </w:r>
          </w:p>
        </w:tc>
        <w:tc>
          <w:tcPr>
            <w:tcW w:w="2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81,033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70,955</w:t>
            </w:r>
          </w:p>
        </w:tc>
      </w:tr>
      <w:tr>
        <w:trPr>
          <w:trHeight w:val="27"/>
        </w:trPr>
        <w:tc>
          <w:tcPr>
            <w:tcW w:w="20" w:type="dxa"/>
            <w:vAlign w:val="bottom"/>
          </w:tcPr>
          <w:p>
            <w:pPr>
              <w:spacing w:after="0"/>
              <w:rPr>
                <w:sz w:val="2"/>
                <w:szCs w:val="2"/>
                <w:color w:val="auto"/>
              </w:rPr>
            </w:pPr>
          </w:p>
        </w:tc>
        <w:tc>
          <w:tcPr>
            <w:tcW w:w="7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69,702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93,234</w:t>
            </w:r>
          </w:p>
        </w:tc>
      </w:tr>
      <w:tr>
        <w:trPr>
          <w:trHeight w:val="264"/>
        </w:trPr>
        <w:tc>
          <w:tcPr>
            <w:tcW w:w="20" w:type="dxa"/>
            <w:vAlign w:val="bottom"/>
          </w:tcPr>
          <w:p>
            <w:pPr>
              <w:spacing w:after="0"/>
              <w:rPr>
                <w:sz w:val="22"/>
                <w:szCs w:val="22"/>
                <w:color w:val="auto"/>
              </w:rPr>
            </w:pP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238,937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264,918</w:t>
            </w:r>
          </w:p>
        </w:tc>
      </w:tr>
      <w:tr>
        <w:trPr>
          <w:trHeight w:val="21"/>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6" w:name="page17"/>
    <w:bookmarkEnd w:id="1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long-term debt consists of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2019</w:t>
            </w:r>
          </w:p>
        </w:tc>
        <w:tc>
          <w:tcPr>
            <w:tcW w:w="200" w:type="dxa"/>
            <w:vAlign w:val="bottom"/>
          </w:tcPr>
          <w:p>
            <w:pPr>
              <w:spacing w:after="0"/>
              <w:rPr>
                <w:sz w:val="20"/>
                <w:szCs w:val="20"/>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2018</w:t>
            </w:r>
          </w:p>
        </w:tc>
      </w:tr>
      <w:tr>
        <w:trPr>
          <w:trHeight w:val="216"/>
        </w:trPr>
        <w:tc>
          <w:tcPr>
            <w:tcW w:w="7440" w:type="dxa"/>
            <w:vAlign w:val="bottom"/>
            <w:tcBorders>
              <w:top w:val="single" w:sz="8" w:color="CCEEFF"/>
            </w:tcBorders>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Senior Secured Credit Facility: </w:t>
            </w:r>
            <w:r>
              <w:rPr>
                <w:rFonts w:ascii="Arial" w:cs="Arial" w:eastAsia="Arial" w:hAnsi="Arial"/>
                <w:sz w:val="24"/>
                <w:szCs w:val="24"/>
                <w:color w:val="auto"/>
                <w:vertAlign w:val="superscript"/>
              </w:rPr>
              <w:t>(a)</w:t>
            </w: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43"/>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Term Loan A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740,625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750,000</w:t>
            </w:r>
          </w:p>
        </w:tc>
      </w:tr>
      <w:tr>
        <w:trPr>
          <w:trHeight w:val="27"/>
        </w:trPr>
        <w:tc>
          <w:tcPr>
            <w:tcW w:w="7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ind w:left="360"/>
              <w:spacing w:after="0"/>
              <w:rPr>
                <w:sz w:val="20"/>
                <w:szCs w:val="20"/>
                <w:color w:val="auto"/>
              </w:rPr>
            </w:pPr>
            <w:r>
              <w:rPr>
                <w:rFonts w:ascii="Arial" w:cs="Arial" w:eastAsia="Arial" w:hAnsi="Arial"/>
                <w:sz w:val="18"/>
                <w:szCs w:val="18"/>
                <w:color w:val="auto"/>
                <w:w w:val="90"/>
              </w:rPr>
              <w:t>4.75%</w:t>
            </w:r>
          </w:p>
        </w:tc>
        <w:tc>
          <w:tcPr>
            <w:tcW w:w="660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200" w:type="dxa"/>
            <w:vAlign w:val="bottom"/>
          </w:tcPr>
          <w:p>
            <w:pPr>
              <w:spacing w:after="0"/>
              <w:rPr>
                <w:sz w:val="23"/>
                <w:szCs w:val="23"/>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800,000</w:t>
            </w:r>
          </w:p>
        </w:tc>
      </w:tr>
      <w:tr>
        <w:trPr>
          <w:trHeight w:val="270"/>
        </w:trPr>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1,000,000</w:t>
            </w:r>
          </w:p>
        </w:tc>
      </w:tr>
      <w:tr>
        <w:trPr>
          <w:trHeight w:val="270"/>
        </w:trPr>
        <w:tc>
          <w:tcPr>
            <w:tcW w:w="840" w:type="dxa"/>
            <w:vAlign w:val="bottom"/>
          </w:tcPr>
          <w:p>
            <w:pPr>
              <w:ind w:left="360"/>
              <w:spacing w:after="0"/>
              <w:rPr>
                <w:sz w:val="20"/>
                <w:szCs w:val="20"/>
                <w:color w:val="auto"/>
              </w:rPr>
            </w:pPr>
            <w:r>
              <w:rPr>
                <w:rFonts w:ascii="Arial" w:cs="Arial" w:eastAsia="Arial" w:hAnsi="Arial"/>
                <w:sz w:val="18"/>
                <w:szCs w:val="18"/>
                <w:color w:val="auto"/>
                <w:w w:val="90"/>
              </w:rPr>
              <w:t>4.75%</w:t>
            </w:r>
          </w:p>
        </w:tc>
        <w:tc>
          <w:tcPr>
            <w:tcW w:w="660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200" w:type="dxa"/>
            <w:vAlign w:val="bottom"/>
          </w:tcPr>
          <w:p>
            <w:pPr>
              <w:spacing w:after="0"/>
              <w:rPr>
                <w:sz w:val="23"/>
                <w:szCs w:val="23"/>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600,000</w:t>
            </w:r>
          </w:p>
        </w:tc>
      </w:tr>
      <w:tr>
        <w:trPr>
          <w:trHeight w:val="270"/>
        </w:trPr>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Other debt</w:t>
            </w:r>
          </w:p>
        </w:tc>
        <w:tc>
          <w:tcPr>
            <w:tcW w:w="66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2,584</w:t>
            </w: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3,141,625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3,152,584</w:t>
            </w:r>
          </w:p>
        </w:tc>
      </w:tr>
      <w:tr>
        <w:trPr>
          <w:trHeight w:val="27"/>
        </w:trPr>
        <w:tc>
          <w:tcPr>
            <w:tcW w:w="7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(29,181)</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Unamortized deferred financing costs</w:t>
            </w:r>
          </w:p>
        </w:tc>
        <w:tc>
          <w:tcPr>
            <w:tcW w:w="20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(11,470)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(13,848)</w:t>
            </w:r>
          </w:p>
        </w:tc>
      </w:tr>
      <w:tr>
        <w:trPr>
          <w:trHeight w:val="27"/>
        </w:trPr>
        <w:tc>
          <w:tcPr>
            <w:tcW w:w="74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3,104,567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3,109,555</w:t>
            </w:r>
          </w:p>
        </w:tc>
      </w:tr>
      <w:tr>
        <w:trPr>
          <w:trHeight w:val="243"/>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47,875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71"/>
              <w:spacing w:after="0"/>
              <w:rPr>
                <w:sz w:val="20"/>
                <w:szCs w:val="20"/>
                <w:color w:val="auto"/>
              </w:rPr>
            </w:pPr>
            <w:r>
              <w:rPr>
                <w:rFonts w:ascii="Arial" w:cs="Arial" w:eastAsia="Arial" w:hAnsi="Arial"/>
                <w:sz w:val="18"/>
                <w:szCs w:val="18"/>
                <w:color w:val="auto"/>
              </w:rPr>
              <w:t>21,334</w:t>
            </w:r>
          </w:p>
        </w:tc>
      </w:tr>
      <w:tr>
        <w:trPr>
          <w:trHeight w:val="27"/>
        </w:trPr>
        <w:tc>
          <w:tcPr>
            <w:tcW w:w="74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9"/>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3,056,692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3,088,221</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 w:hanging="652"/>
        <w:spacing w:after="0" w:line="277"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September 30, 2019. Total undrawn revolver commitments are available to be drawn for general corporate purposes of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Certain subsidiaries of the Company lease office space and equipment under long-term non-cancelable lease agreements which expire at various dates through 2035.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exercise of lease renewal options is at the Company's sole discretion, as such, these options are generally not recognized as part of our right-of-use asset or lease liabilities. The depreciable life of assets and leasehold improvements are limited by the expected lease term, unless there is a transfer of title or purchase option reasonably certain of exercise.</w:t>
      </w:r>
    </w:p>
    <w:p>
      <w:pPr>
        <w:spacing w:after="0" w:line="70" w:lineRule="exact"/>
        <w:rPr>
          <w:sz w:val="20"/>
          <w:szCs w:val="20"/>
          <w:color w:val="auto"/>
        </w:rPr>
      </w:pPr>
    </w:p>
    <w:p>
      <w:pPr>
        <w:jc w:val="both"/>
        <w:ind w:right="20" w:firstLine="446"/>
        <w:spacing w:after="0" w:line="312" w:lineRule="auto"/>
        <w:rPr>
          <w:sz w:val="20"/>
          <w:szCs w:val="20"/>
          <w:color w:val="auto"/>
        </w:rPr>
      </w:pPr>
      <w:r>
        <w:rPr>
          <w:rFonts w:ascii="Arial" w:cs="Arial" w:eastAsia="Arial" w:hAnsi="Arial"/>
          <w:sz w:val="16"/>
          <w:szCs w:val="16"/>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 We rent or sublease one real estate property to a third party, which constitutes an immaterial portion of our lease portfolio.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consolidated balance sheets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020" w:type="dxa"/>
            <w:vAlign w:val="bottom"/>
            <w:gridSpan w:val="2"/>
          </w:tcPr>
          <w:p>
            <w:pPr>
              <w:ind w:left="1940"/>
              <w:spacing w:after="0"/>
              <w:rPr>
                <w:sz w:val="20"/>
                <w:szCs w:val="20"/>
                <w:color w:val="auto"/>
              </w:rPr>
            </w:pPr>
            <w:r>
              <w:rPr>
                <w:rFonts w:ascii="Arial" w:cs="Arial" w:eastAsia="Arial" w:hAnsi="Arial"/>
                <w:sz w:val="16"/>
                <w:szCs w:val="16"/>
                <w:b w:val="1"/>
                <w:bCs w:val="1"/>
                <w:color w:val="auto"/>
              </w:rPr>
              <w:t>Balance Sheet</w:t>
            </w: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020" w:type="dxa"/>
            <w:vAlign w:val="bottom"/>
            <w:gridSpan w:val="2"/>
          </w:tcPr>
          <w:p>
            <w:pPr>
              <w:ind w:left="2140"/>
              <w:spacing w:after="0"/>
              <w:rPr>
                <w:sz w:val="20"/>
                <w:szCs w:val="20"/>
                <w:color w:val="auto"/>
              </w:rPr>
            </w:pPr>
            <w:r>
              <w:rPr>
                <w:rFonts w:ascii="Arial" w:cs="Arial" w:eastAsia="Arial" w:hAnsi="Arial"/>
                <w:sz w:val="16"/>
                <w:szCs w:val="16"/>
                <w:b w:val="1"/>
                <w:bCs w:val="1"/>
                <w:color w:val="auto"/>
              </w:rPr>
              <w:t>Location</w:t>
            </w:r>
          </w:p>
        </w:tc>
        <w:tc>
          <w:tcPr>
            <w:tcW w:w="260" w:type="dxa"/>
            <w:vAlign w:val="bottom"/>
          </w:tcPr>
          <w:p>
            <w:pPr>
              <w:spacing w:after="0"/>
              <w:rPr>
                <w:sz w:val="20"/>
                <w:szCs w:val="20"/>
                <w:color w:val="auto"/>
              </w:rPr>
            </w:pPr>
          </w:p>
        </w:tc>
        <w:tc>
          <w:tcPr>
            <w:tcW w:w="1880" w:type="dxa"/>
            <w:vAlign w:val="bottom"/>
          </w:tcPr>
          <w:p>
            <w:pPr>
              <w:jc w:val="right"/>
              <w:ind w:right="291"/>
              <w:spacing w:after="0"/>
              <w:rPr>
                <w:sz w:val="20"/>
                <w:szCs w:val="20"/>
                <w:color w:val="auto"/>
              </w:rPr>
            </w:pPr>
            <w:r>
              <w:rPr>
                <w:rFonts w:ascii="Arial" w:cs="Arial" w:eastAsia="Arial" w:hAnsi="Arial"/>
                <w:sz w:val="16"/>
                <w:szCs w:val="16"/>
                <w:b w:val="1"/>
                <w:bCs w:val="1"/>
                <w:color w:val="auto"/>
                <w:w w:val="99"/>
              </w:rPr>
              <w:t>September 30, 2019</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42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4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4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Operating</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172,575</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Finance</w:t>
            </w: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16,085</w:t>
            </w:r>
          </w:p>
        </w:tc>
      </w:tr>
      <w:tr>
        <w:trPr>
          <w:trHeight w:val="264"/>
        </w:trPr>
        <w:tc>
          <w:tcPr>
            <w:tcW w:w="20" w:type="dxa"/>
            <w:vAlign w:val="bottom"/>
          </w:tcPr>
          <w:p>
            <w:pPr>
              <w:spacing w:after="0"/>
              <w:rPr>
                <w:sz w:val="22"/>
                <w:szCs w:val="22"/>
                <w:color w:val="auto"/>
              </w:rPr>
            </w:pP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Total lease assets</w:t>
            </w:r>
          </w:p>
        </w:tc>
        <w:tc>
          <w:tcPr>
            <w:tcW w:w="4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188,660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1"/>
              </w:rPr>
              <w:t>Liabilities</w:t>
            </w:r>
          </w:p>
        </w:tc>
        <w:tc>
          <w:tcPr>
            <w:tcW w:w="3440" w:type="dxa"/>
            <w:vAlign w:val="bottom"/>
            <w:tcBorders>
              <w:bottom w:val="single" w:sz="8" w:color="CCEEFF"/>
            </w:tcBorders>
            <w:shd w:val="clear" w:color="auto" w:fill="CCEEFF"/>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Current:</w:t>
            </w:r>
          </w:p>
        </w:tc>
        <w:tc>
          <w:tcPr>
            <w:tcW w:w="4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lease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29,519</w:t>
            </w:r>
          </w:p>
        </w:tc>
      </w:tr>
      <w:tr>
        <w:trPr>
          <w:trHeight w:val="243"/>
        </w:trPr>
        <w:tc>
          <w:tcPr>
            <w:tcW w:w="20" w:type="dxa"/>
            <w:vAlign w:val="bottom"/>
          </w:tcPr>
          <w:p>
            <w:pPr>
              <w:spacing w:after="0"/>
              <w:rPr>
                <w:sz w:val="21"/>
                <w:szCs w:val="21"/>
                <w:color w:val="auto"/>
              </w:rPr>
            </w:pPr>
          </w:p>
        </w:tc>
        <w:tc>
          <w:tcPr>
            <w:tcW w:w="4220" w:type="dxa"/>
            <w:vAlign w:val="bottom"/>
            <w:gridSpan w:val="3"/>
          </w:tcPr>
          <w:p>
            <w:pPr>
              <w:ind w:left="320"/>
              <w:spacing w:after="0"/>
              <w:rPr>
                <w:sz w:val="20"/>
                <w:szCs w:val="20"/>
                <w:color w:val="auto"/>
              </w:rPr>
            </w:pPr>
            <w:r>
              <w:rPr>
                <w:rFonts w:ascii="Arial" w:cs="Arial" w:eastAsia="Arial" w:hAnsi="Arial"/>
                <w:sz w:val="18"/>
                <w:szCs w:val="18"/>
                <w:color w:val="auto"/>
              </w:rPr>
              <w:t>Finance</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Current portion of lease obligations</w:t>
            </w: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3,830</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33,349</w:t>
            </w:r>
          </w:p>
        </w:tc>
      </w:tr>
      <w:tr>
        <w:trPr>
          <w:trHeight w:val="223"/>
        </w:trPr>
        <w:tc>
          <w:tcPr>
            <w:tcW w:w="20" w:type="dxa"/>
            <w:vAlign w:val="bottom"/>
          </w:tcPr>
          <w:p>
            <w:pPr>
              <w:spacing w:after="0"/>
              <w:rPr>
                <w:sz w:val="19"/>
                <w:szCs w:val="19"/>
                <w:color w:val="auto"/>
              </w:rPr>
            </w:pP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Noncurrent:</w:t>
            </w: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197,006</w:t>
            </w:r>
          </w:p>
        </w:tc>
      </w:tr>
      <w:tr>
        <w:trPr>
          <w:trHeight w:val="243"/>
        </w:trPr>
        <w:tc>
          <w:tcPr>
            <w:tcW w:w="20" w:type="dxa"/>
            <w:vAlign w:val="bottom"/>
          </w:tcPr>
          <w:p>
            <w:pPr>
              <w:spacing w:after="0"/>
              <w:rPr>
                <w:sz w:val="21"/>
                <w:szCs w:val="21"/>
                <w:color w:val="auto"/>
              </w:rPr>
            </w:pPr>
          </w:p>
        </w:tc>
        <w:tc>
          <w:tcPr>
            <w:tcW w:w="4220" w:type="dxa"/>
            <w:vAlign w:val="bottom"/>
            <w:gridSpan w:val="3"/>
          </w:tcPr>
          <w:p>
            <w:pPr>
              <w:ind w:left="320"/>
              <w:spacing w:after="0"/>
              <w:rPr>
                <w:sz w:val="20"/>
                <w:szCs w:val="20"/>
                <w:color w:val="auto"/>
              </w:rPr>
            </w:pPr>
            <w:r>
              <w:rPr>
                <w:rFonts w:ascii="Arial" w:cs="Arial" w:eastAsia="Arial" w:hAnsi="Arial"/>
                <w:sz w:val="18"/>
                <w:szCs w:val="18"/>
                <w:color w:val="auto"/>
              </w:rPr>
              <w:t>Finance</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Lease obligations</w:t>
            </w:r>
          </w:p>
        </w:tc>
        <w:tc>
          <w:tcPr>
            <w:tcW w:w="260" w:type="dxa"/>
            <w:vAlign w:val="bottom"/>
          </w:tcPr>
          <w:p>
            <w:pPr>
              <w:spacing w:after="0"/>
              <w:rPr>
                <w:sz w:val="21"/>
                <w:szCs w:val="21"/>
                <w:color w:val="auto"/>
              </w:rPr>
            </w:pPr>
          </w:p>
        </w:tc>
        <w:tc>
          <w:tcPr>
            <w:tcW w:w="1880" w:type="dxa"/>
            <w:vAlign w:val="bottom"/>
          </w:tcPr>
          <w:p>
            <w:pPr>
              <w:jc w:val="right"/>
              <w:ind w:right="71"/>
              <w:spacing w:after="0"/>
              <w:rPr>
                <w:sz w:val="20"/>
                <w:szCs w:val="20"/>
                <w:color w:val="auto"/>
              </w:rPr>
            </w:pPr>
            <w:r>
              <w:rPr>
                <w:rFonts w:ascii="Arial" w:cs="Arial" w:eastAsia="Arial" w:hAnsi="Arial"/>
                <w:sz w:val="18"/>
                <w:szCs w:val="18"/>
                <w:color w:val="auto"/>
              </w:rPr>
              <w:t>18,245</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215,251</w:t>
            </w:r>
          </w:p>
        </w:tc>
      </w:tr>
      <w:tr>
        <w:trPr>
          <w:trHeight w:val="34"/>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80" w:type="dxa"/>
            <w:vAlign w:val="bottom"/>
            <w:tcBorders>
              <w:top w:val="single" w:sz="8" w:color="auto"/>
            </w:tcBorders>
          </w:tcPr>
          <w:p>
            <w:pPr>
              <w:spacing w:after="0"/>
              <w:rPr>
                <w:sz w:val="2"/>
                <w:szCs w:val="2"/>
                <w:color w:val="auto"/>
              </w:rPr>
            </w:pP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42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lease liabilities</w:t>
            </w:r>
          </w:p>
        </w:tc>
        <w:tc>
          <w:tcPr>
            <w:tcW w:w="4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248,600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Upon transition to ASC Topic 842, the Company used the incremental borrowing rate on January 1, 2019 for all operating leases that commenced prior to that date.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 costs included in the condensed consolidated statement of income:</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0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1660" w:type="dxa"/>
            <w:vAlign w:val="bottom"/>
          </w:tcPr>
          <w:p>
            <w:pPr>
              <w:jc w:val="right"/>
              <w:ind w:right="132"/>
              <w:spacing w:after="0"/>
              <w:rPr>
                <w:sz w:val="20"/>
                <w:szCs w:val="20"/>
                <w:color w:val="auto"/>
              </w:rPr>
            </w:pPr>
            <w:r>
              <w:rPr>
                <w:rFonts w:ascii="Arial" w:cs="Arial" w:eastAsia="Arial" w:hAnsi="Arial"/>
                <w:sz w:val="16"/>
                <w:szCs w:val="16"/>
                <w:b w:val="1"/>
                <w:bCs w:val="1"/>
                <w:color w:val="auto"/>
                <w:w w:val="95"/>
              </w:rPr>
              <w:t>Nine Months Ended</w:t>
            </w:r>
          </w:p>
        </w:tc>
      </w:tr>
      <w:tr>
        <w:trPr>
          <w:trHeight w:val="23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Income Statement Location</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5"/>
              </w:rPr>
              <w:t>September 30, 2019</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w w:val="93"/>
              </w:rPr>
              <w:t>September 30, 2019</w:t>
            </w: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24,875</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Finance lease costs:</w:t>
            </w:r>
          </w:p>
        </w:tc>
        <w:tc>
          <w:tcPr>
            <w:tcW w:w="3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leased assets</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1,964</w:t>
            </w:r>
          </w:p>
        </w:tc>
      </w:tr>
      <w:tr>
        <w:trPr>
          <w:trHeight w:val="243"/>
        </w:trPr>
        <w:tc>
          <w:tcPr>
            <w:tcW w:w="404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Net interest expense</w:t>
            </w:r>
          </w:p>
        </w:tc>
        <w:tc>
          <w:tcPr>
            <w:tcW w:w="12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1,932</w:t>
            </w:r>
          </w:p>
        </w:tc>
      </w:tr>
      <w:tr>
        <w:trPr>
          <w:trHeight w:val="27"/>
        </w:trPr>
        <w:tc>
          <w:tcPr>
            <w:tcW w:w="40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3,036</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3520" w:type="dxa"/>
            <w:vAlign w:val="bottom"/>
            <w:gridSpan w:val="2"/>
          </w:tcPr>
          <w:p>
            <w:pPr>
              <w:ind w:left="20"/>
              <w:spacing w:after="0"/>
              <w:rPr>
                <w:sz w:val="20"/>
                <w:szCs w:val="20"/>
                <w:color w:val="auto"/>
              </w:rPr>
            </w:pPr>
            <w:r>
              <w:rPr>
                <w:rFonts w:ascii="Arial" w:cs="Arial" w:eastAsia="Arial" w:hAnsi="Arial"/>
                <w:sz w:val="18"/>
                <w:szCs w:val="18"/>
                <w:color w:val="auto"/>
              </w:rPr>
              <w:t>SG&amp;A expenses</w:t>
            </w:r>
          </w:p>
        </w:tc>
        <w:tc>
          <w:tcPr>
            <w:tcW w:w="120" w:type="dxa"/>
            <w:vAlign w:val="bottom"/>
          </w:tcPr>
          <w:p>
            <w:pPr>
              <w:spacing w:after="0"/>
              <w:rPr>
                <w:sz w:val="21"/>
                <w:szCs w:val="21"/>
                <w:color w:val="auto"/>
              </w:rPr>
            </w:pPr>
          </w:p>
        </w:tc>
        <w:tc>
          <w:tcPr>
            <w:tcW w:w="1780" w:type="dxa"/>
            <w:vAlign w:val="bottom"/>
          </w:tcPr>
          <w:p>
            <w:pPr>
              <w:jc w:val="right"/>
              <w:ind w:right="7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767</w:t>
            </w:r>
          </w:p>
        </w:tc>
      </w:tr>
      <w:tr>
        <w:trPr>
          <w:trHeight w:val="27"/>
        </w:trPr>
        <w:tc>
          <w:tcPr>
            <w:tcW w:w="404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lease cost</w:t>
            </w:r>
          </w:p>
        </w:tc>
        <w:tc>
          <w:tcPr>
            <w:tcW w:w="3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10,079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32,574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maturity of lease liabilities for operating and finance leases: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Operating Leases</w:t>
            </w:r>
          </w:p>
        </w:tc>
        <w:tc>
          <w:tcPr>
            <w:tcW w:w="16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Finance Leases</w:t>
            </w: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11,669</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38,735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5,813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44,548</w:t>
            </w:r>
          </w:p>
        </w:tc>
      </w:tr>
      <w:tr>
        <w:trPr>
          <w:trHeight w:val="27"/>
        </w:trPr>
        <w:tc>
          <w:tcPr>
            <w:tcW w:w="6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32,446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36,785</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34,045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38,409</w:t>
            </w:r>
          </w:p>
        </w:tc>
      </w:tr>
      <w:tr>
        <w:trPr>
          <w:trHeight w:val="27"/>
        </w:trPr>
        <w:tc>
          <w:tcPr>
            <w:tcW w:w="6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38,980</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122,817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132,376</w:t>
            </w:r>
          </w:p>
        </w:tc>
      </w:tr>
      <w:tr>
        <w:trPr>
          <w:trHeight w:val="27"/>
        </w:trPr>
        <w:tc>
          <w:tcPr>
            <w:tcW w:w="6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272,675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302,767</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5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46,150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54,167</w:t>
            </w:r>
          </w:p>
        </w:tc>
      </w:tr>
      <w:tr>
        <w:trPr>
          <w:trHeight w:val="27"/>
        </w:trPr>
        <w:tc>
          <w:tcPr>
            <w:tcW w:w="6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226,525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22,075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248,600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 w:name="page19"/>
    <w:bookmarkEnd w:id="1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weighted average remaining lease term and discount rate for operating and finance leases: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jc w:val="right"/>
              <w:ind w:right="452"/>
              <w:spacing w:after="0"/>
              <w:rPr>
                <w:sz w:val="20"/>
                <w:szCs w:val="20"/>
                <w:color w:val="auto"/>
              </w:rPr>
            </w:pPr>
            <w:r>
              <w:rPr>
                <w:rFonts w:ascii="Arial" w:cs="Arial" w:eastAsia="Arial" w:hAnsi="Arial"/>
                <w:sz w:val="16"/>
                <w:szCs w:val="16"/>
                <w:b w:val="1"/>
                <w:bCs w:val="1"/>
                <w:color w:val="auto"/>
                <w:w w:val="97"/>
              </w:rPr>
              <w:t>September 30, 2019</w:t>
            </w:r>
          </w:p>
        </w:tc>
      </w:tr>
      <w:tr>
        <w:trPr>
          <w:trHeight w:val="33"/>
        </w:trPr>
        <w:tc>
          <w:tcPr>
            <w:tcW w:w="8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0"/>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r>
      <w:tr>
        <w:trPr>
          <w:trHeight w:val="243"/>
        </w:trPr>
        <w:tc>
          <w:tcPr>
            <w:tcW w:w="89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7"/>
        </w:trPr>
        <w:tc>
          <w:tcPr>
            <w:tcW w:w="8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4.75 %</w:t>
            </w:r>
          </w:p>
        </w:tc>
      </w:tr>
      <w:tr>
        <w:trPr>
          <w:trHeight w:val="243"/>
        </w:trPr>
        <w:tc>
          <w:tcPr>
            <w:tcW w:w="89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10.40 %</w:t>
            </w:r>
          </w:p>
        </w:tc>
      </w:tr>
      <w:tr>
        <w:trPr>
          <w:trHeight w:val="351"/>
        </w:trPr>
        <w:tc>
          <w:tcPr>
            <w:tcW w:w="8980" w:type="dxa"/>
            <w:vAlign w:val="bottom"/>
          </w:tcPr>
          <w:p>
            <w:pPr>
              <w:ind w:left="440"/>
              <w:spacing w:after="0"/>
              <w:rPr>
                <w:sz w:val="20"/>
                <w:szCs w:val="20"/>
                <w:color w:val="auto"/>
              </w:rPr>
            </w:pPr>
            <w:r>
              <w:rPr>
                <w:rFonts w:ascii="Arial" w:cs="Arial" w:eastAsia="Arial" w:hAnsi="Arial"/>
                <w:sz w:val="18"/>
                <w:szCs w:val="18"/>
                <w:color w:val="auto"/>
                <w:w w:val="96"/>
              </w:rPr>
              <w:t>The following table summarizes the supplemental cash paid for amounts in the measurement of lease liabilities: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9"/>
        </w:trPr>
        <w:tc>
          <w:tcPr>
            <w:tcW w:w="8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jc w:val="right"/>
              <w:ind w:right="372"/>
              <w:spacing w:after="0"/>
              <w:rPr>
                <w:sz w:val="20"/>
                <w:szCs w:val="20"/>
                <w:color w:val="auto"/>
              </w:rPr>
            </w:pPr>
            <w:r>
              <w:rPr>
                <w:rFonts w:ascii="Arial" w:cs="Arial" w:eastAsia="Arial" w:hAnsi="Arial"/>
                <w:sz w:val="16"/>
                <w:szCs w:val="16"/>
                <w:b w:val="1"/>
                <w:bCs w:val="1"/>
                <w:color w:val="auto"/>
              </w:rPr>
              <w:t>September 30, 2019</w:t>
            </w:r>
          </w:p>
        </w:tc>
      </w:tr>
      <w:tr>
        <w:trPr>
          <w:trHeight w:val="33"/>
        </w:trPr>
        <w:tc>
          <w:tcPr>
            <w:tcW w:w="8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19,688</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72"/>
              <w:spacing w:after="0"/>
              <w:rPr>
                <w:sz w:val="20"/>
                <w:szCs w:val="20"/>
                <w:color w:val="auto"/>
              </w:rPr>
            </w:pPr>
            <w:r>
              <w:rPr>
                <w:rFonts w:ascii="Arial" w:cs="Arial" w:eastAsia="Arial" w:hAnsi="Arial"/>
                <w:sz w:val="18"/>
                <w:szCs w:val="18"/>
                <w:color w:val="auto"/>
              </w:rPr>
              <w:t>4,059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September 30, 2019 and December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4400" w:type="dxa"/>
            <w:vAlign w:val="bottom"/>
            <w:tcBorders>
              <w:top w:val="single" w:sz="8" w:color="CCEEFF"/>
              <w:bottom w:val="single" w:sz="8" w:color="CCEEFF"/>
            </w:tcBorders>
            <w:shd w:val="clear" w:color="auto" w:fill="CCEEFF"/>
          </w:tcPr>
          <w:p>
            <w:pPr>
              <w:jc w:val="center"/>
              <w:ind w:right="699"/>
              <w:spacing w:after="0"/>
              <w:rPr>
                <w:sz w:val="20"/>
                <w:szCs w:val="20"/>
                <w:color w:val="auto"/>
              </w:rPr>
            </w:pPr>
            <w:r>
              <w:rPr>
                <w:rFonts w:ascii="Arial" w:cs="Arial" w:eastAsia="Arial" w:hAnsi="Arial"/>
                <w:sz w:val="16"/>
                <w:szCs w:val="16"/>
                <w:b w:val="1"/>
                <w:bCs w:val="1"/>
                <w:color w:val="auto"/>
                <w:w w:val="91"/>
              </w:rPr>
              <w:t>At September 30, 2019: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51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Cash equivalents</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176,115</w:t>
            </w:r>
          </w:p>
        </w:tc>
      </w:tr>
      <w:tr>
        <w:trPr>
          <w:trHeight w:val="243"/>
        </w:trPr>
        <w:tc>
          <w:tcPr>
            <w:tcW w:w="20" w:type="dxa"/>
            <w:vAlign w:val="bottom"/>
          </w:tcPr>
          <w:p>
            <w:pPr>
              <w:spacing w:after="0"/>
              <w:rPr>
                <w:sz w:val="21"/>
                <w:szCs w:val="21"/>
                <w:color w:val="auto"/>
              </w:rPr>
            </w:pP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970</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derivatives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2,859</w:t>
            </w:r>
          </w:p>
        </w:tc>
      </w:tr>
      <w:tr>
        <w:trPr>
          <w:trHeight w:val="203"/>
        </w:trPr>
        <w:tc>
          <w:tcPr>
            <w:tcW w:w="20" w:type="dxa"/>
            <w:vAlign w:val="bottom"/>
          </w:tcPr>
          <w:p>
            <w:pPr>
              <w:spacing w:after="0"/>
              <w:rPr>
                <w:sz w:val="17"/>
                <w:szCs w:val="17"/>
                <w:color w:val="auto"/>
              </w:rPr>
            </w:pPr>
          </w:p>
        </w:tc>
        <w:tc>
          <w:tcPr>
            <w:tcW w:w="51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Interest rate swap contracts</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2,433</w:t>
            </w:r>
          </w:p>
        </w:tc>
      </w:tr>
      <w:tr>
        <w:trPr>
          <w:trHeight w:val="243"/>
        </w:trPr>
        <w:tc>
          <w:tcPr>
            <w:tcW w:w="20" w:type="dxa"/>
            <w:vAlign w:val="bottom"/>
          </w:tcPr>
          <w:p>
            <w:pPr>
              <w:spacing w:after="0"/>
              <w:rPr>
                <w:sz w:val="21"/>
                <w:szCs w:val="21"/>
                <w:color w:val="auto"/>
              </w:rPr>
            </w:pP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2,472</w:t>
            </w:r>
          </w:p>
        </w:tc>
      </w:tr>
      <w:tr>
        <w:trPr>
          <w:trHeight w:val="61"/>
        </w:trPr>
        <w:tc>
          <w:tcPr>
            <w:tcW w:w="2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44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r>
      <w:tr>
        <w:trPr>
          <w:trHeight w:val="224"/>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tcPr>
          <w:p>
            <w:pPr>
              <w:jc w:val="center"/>
              <w:ind w:right="719"/>
              <w:spacing w:after="0"/>
              <w:rPr>
                <w:sz w:val="20"/>
                <w:szCs w:val="20"/>
                <w:color w:val="auto"/>
              </w:rPr>
            </w:pPr>
            <w:r>
              <w:rPr>
                <w:rFonts w:ascii="Arial" w:cs="Arial" w:eastAsia="Arial" w:hAnsi="Arial"/>
                <w:sz w:val="16"/>
                <w:szCs w:val="16"/>
                <w:b w:val="1"/>
                <w:bCs w:val="1"/>
                <w:color w:val="auto"/>
                <w:w w:val="91"/>
              </w:rPr>
              <w:t>At December 31, 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5180" w:type="dxa"/>
            <w:vAlign w:val="bottom"/>
            <w:gridSpan w:val="3"/>
          </w:tcPr>
          <w:p>
            <w:pPr>
              <w:ind w:left="38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68,498</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68,498</w:t>
            </w:r>
          </w:p>
        </w:tc>
      </w:tr>
      <w:tr>
        <w:trPr>
          <w:trHeight w:val="270"/>
        </w:trPr>
        <w:tc>
          <w:tcPr>
            <w:tcW w:w="20" w:type="dxa"/>
            <w:vAlign w:val="bottom"/>
            <w:shd w:val="clear" w:color="auto" w:fill="CCEEFF"/>
          </w:tcPr>
          <w:p>
            <w:pPr>
              <w:spacing w:after="0"/>
              <w:rPr>
                <w:sz w:val="23"/>
                <w:szCs w:val="23"/>
                <w:color w:val="auto"/>
              </w:rPr>
            </w:pPr>
          </w:p>
        </w:tc>
        <w:tc>
          <w:tcPr>
            <w:tcW w:w="51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3"/>
                <w:szCs w:val="23"/>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1,173</w:t>
            </w:r>
          </w:p>
        </w:tc>
      </w:tr>
      <w:tr>
        <w:trPr>
          <w:trHeight w:val="270"/>
        </w:trPr>
        <w:tc>
          <w:tcPr>
            <w:tcW w:w="20" w:type="dxa"/>
            <w:vAlign w:val="bottom"/>
          </w:tcPr>
          <w:p>
            <w:pPr>
              <w:spacing w:after="0"/>
              <w:rPr>
                <w:sz w:val="23"/>
                <w:szCs w:val="23"/>
                <w:color w:val="auto"/>
              </w:rPr>
            </w:pPr>
          </w:p>
        </w:tc>
        <w:tc>
          <w:tcPr>
            <w:tcW w:w="5180" w:type="dxa"/>
            <w:vAlign w:val="bottom"/>
            <w:gridSpan w:val="3"/>
          </w:tcPr>
          <w:p>
            <w:pPr>
              <w:ind w:left="38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3,509</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1"/>
              </w:rPr>
              <w:t>Liabilities</w:t>
            </w:r>
          </w:p>
        </w:tc>
        <w:tc>
          <w:tcPr>
            <w:tcW w:w="4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180" w:type="dxa"/>
            <w:vAlign w:val="bottom"/>
            <w:gridSpan w:val="3"/>
          </w:tcPr>
          <w:p>
            <w:pPr>
              <w:ind w:left="320"/>
              <w:spacing w:after="0"/>
              <w:rPr>
                <w:sz w:val="20"/>
                <w:szCs w:val="20"/>
                <w:color w:val="auto"/>
              </w:rPr>
            </w:pPr>
            <w:r>
              <w:rPr>
                <w:rFonts w:ascii="Arial" w:cs="Arial" w:eastAsia="Arial" w:hAnsi="Arial"/>
                <w:sz w:val="18"/>
                <w:szCs w:val="18"/>
                <w:color w:val="auto"/>
              </w:rPr>
              <w:t>Interest rate swap contracts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356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3,121</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3,121</w:t>
            </w:r>
          </w:p>
        </w:tc>
      </w:tr>
      <w:tr>
        <w:trPr>
          <w:trHeight w:val="27"/>
        </w:trPr>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9" w:name="page20"/>
    <w:bookmarkEnd w:id="1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The Company's interest rate swap contracts and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16"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For the three and nine months ended September 30, 2018, the Company recorded a gain of $20.6 million and $30.2 million, respectively, related to the RLJE Warrants which is included in Miscellaneous, net in the condensed consolidated statement of income.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2019, the Company does not have any assets or liabilities measured at fair value on a recurring basis that would be considered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10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11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gridSpan w:val="6"/>
          </w:tcPr>
          <w:p>
            <w:pPr>
              <w:jc w:val="right"/>
              <w:ind w:right="1212"/>
              <w:spacing w:after="0"/>
              <w:rPr>
                <w:sz w:val="20"/>
                <w:szCs w:val="20"/>
                <w:color w:val="auto"/>
              </w:rPr>
            </w:pPr>
            <w:r>
              <w:rPr>
                <w:rFonts w:ascii="Arial" w:cs="Arial" w:eastAsia="Arial" w:hAnsi="Arial"/>
                <w:sz w:val="16"/>
                <w:szCs w:val="16"/>
                <w:b w:val="1"/>
                <w:bCs w:val="1"/>
                <w:color w:val="auto"/>
              </w:rPr>
              <w:t>September 30, 2019</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7"/>
              </w:rPr>
              <w:t>Carrying</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5"/>
              </w:rPr>
              <w:t>Amount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ind w:left="24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36"/>
        </w:trPr>
        <w:tc>
          <w:tcPr>
            <w:tcW w:w="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Debt instruments:</w:t>
            </w:r>
          </w:p>
        </w:tc>
        <w:tc>
          <w:tcPr>
            <w:tcW w:w="6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0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732,284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734,330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4.75% 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787,792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824,000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00"/>
              <w:spacing w:after="0"/>
              <w:rPr>
                <w:sz w:val="20"/>
                <w:szCs w:val="20"/>
                <w:color w:val="auto"/>
              </w:rPr>
            </w:pPr>
            <w:r>
              <w:rPr>
                <w:rFonts w:ascii="Arial" w:cs="Arial" w:eastAsia="Arial" w:hAnsi="Arial"/>
                <w:sz w:val="18"/>
                <w:szCs w:val="18"/>
                <w:color w:val="auto"/>
              </w:rPr>
              <w:t>5.00% 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988,006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1,030,030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4.75% Notes due December 2022</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595,485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606,000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00"/>
              <w:spacing w:after="0"/>
              <w:rPr>
                <w:sz w:val="20"/>
                <w:szCs w:val="20"/>
                <w:color w:val="auto"/>
              </w:rPr>
            </w:pPr>
            <w:r>
              <w:rPr>
                <w:rFonts w:ascii="Arial" w:cs="Arial" w:eastAsia="Arial" w:hAnsi="Arial"/>
                <w:sz w:val="18"/>
                <w:szCs w:val="18"/>
                <w:color w:val="auto"/>
              </w:rPr>
              <w:t>Other debt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53"/>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3,104,567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3,195,360</w:t>
            </w:r>
          </w:p>
        </w:tc>
        <w:tc>
          <w:tcPr>
            <w:tcW w:w="20" w:type="dxa"/>
            <w:vAlign w:val="bottom"/>
          </w:tcPr>
          <w:p>
            <w:pPr>
              <w:spacing w:after="0"/>
              <w:rPr>
                <w:sz w:val="24"/>
                <w:szCs w:val="24"/>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4"/>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gridSpan w:val="6"/>
          </w:tcPr>
          <w:p>
            <w:pPr>
              <w:jc w:val="right"/>
              <w:ind w:right="1212"/>
              <w:spacing w:after="0"/>
              <w:rPr>
                <w:sz w:val="20"/>
                <w:szCs w:val="20"/>
                <w:color w:val="auto"/>
              </w:rPr>
            </w:pPr>
            <w:r>
              <w:rPr>
                <w:rFonts w:ascii="Arial" w:cs="Arial" w:eastAsia="Arial" w:hAnsi="Arial"/>
                <w:sz w:val="16"/>
                <w:szCs w:val="16"/>
                <w:b w:val="1"/>
                <w:bCs w:val="1"/>
                <w:color w:val="auto"/>
              </w:rPr>
              <w:t>December 31, 2018</w:t>
            </w: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7"/>
              </w:rPr>
              <w:t>Carrying</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ind w:left="26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5"/>
              </w:rPr>
              <w:t>Amount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ind w:left="2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36"/>
        </w:trPr>
        <w:tc>
          <w:tcPr>
            <w:tcW w:w="40" w:type="dxa"/>
            <w:vAlign w:val="bottom"/>
            <w:tcBorders>
              <w:right w:val="single" w:sz="8" w:color="CCEEFF"/>
            </w:tcBorders>
          </w:tcPr>
          <w:p>
            <w:pPr>
              <w:spacing w:after="0"/>
              <w:rPr>
                <w:sz w:val="20"/>
                <w:szCs w:val="20"/>
                <w:color w:val="auto"/>
              </w:rPr>
            </w:pPr>
          </w:p>
        </w:tc>
        <w:tc>
          <w:tcPr>
            <w:tcW w:w="1280" w:type="dxa"/>
            <w:vAlign w:val="bottom"/>
            <w:tcBorders>
              <w:top w:val="single" w:sz="8" w:color="CCEEFF"/>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Debt instruments:</w:t>
            </w:r>
          </w:p>
        </w:tc>
        <w:tc>
          <w:tcPr>
            <w:tcW w:w="61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0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739,710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738,750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4.75% 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786,458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720,000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00"/>
              <w:spacing w:after="0"/>
              <w:rPr>
                <w:sz w:val="20"/>
                <w:szCs w:val="20"/>
                <w:color w:val="auto"/>
              </w:rPr>
            </w:pPr>
            <w:r>
              <w:rPr>
                <w:rFonts w:ascii="Arial" w:cs="Arial" w:eastAsia="Arial" w:hAnsi="Arial"/>
                <w:sz w:val="18"/>
                <w:szCs w:val="18"/>
                <w:color w:val="auto"/>
              </w:rPr>
              <w:t>5.00% 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986,275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947,500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4.75% Notes due December 2022</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594,528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580,500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300"/>
              <w:spacing w:after="0"/>
              <w:rPr>
                <w:sz w:val="20"/>
                <w:szCs w:val="20"/>
                <w:color w:val="auto"/>
              </w:rPr>
            </w:pPr>
            <w:r>
              <w:rPr>
                <w:rFonts w:ascii="Arial" w:cs="Arial" w:eastAsia="Arial" w:hAnsi="Arial"/>
                <w:sz w:val="18"/>
                <w:szCs w:val="18"/>
                <w:color w:val="auto"/>
              </w:rPr>
              <w:t>Other debt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2,584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9"/>
        </w:trPr>
        <w:tc>
          <w:tcPr>
            <w:tcW w:w="40" w:type="dxa"/>
            <w:vAlign w:val="bottom"/>
            <w:tcBorders>
              <w:right w:val="single" w:sz="8" w:color="CCEEFF"/>
            </w:tcBorders>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3,109,555</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2,989,334</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2019, the Company had interest rate swap contracts outstanding with notional amounts aggregating $100.0 million that are designated as hedging instruments. The Company's outstanding interest rate swap contracts mature in December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values of the Company's derivative financial instruments not designated as hedging instruments included in the condensed consolidated balance sheets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3960" w:type="dxa"/>
            <w:vAlign w:val="bottom"/>
            <w:gridSpan w:val="2"/>
          </w:tcPr>
          <w:p>
            <w:pPr>
              <w:ind w:left="1420"/>
              <w:spacing w:after="0"/>
              <w:rPr>
                <w:sz w:val="20"/>
                <w:szCs w:val="20"/>
                <w:color w:val="auto"/>
              </w:rPr>
            </w:pPr>
            <w:r>
              <w:rPr>
                <w:rFonts w:ascii="Arial" w:cs="Arial" w:eastAsia="Arial" w:hAnsi="Arial"/>
                <w:sz w:val="16"/>
                <w:szCs w:val="16"/>
                <w:b w:val="1"/>
                <w:bCs w:val="1"/>
                <w:color w:val="auto"/>
              </w:rPr>
              <w:t>Balance Sheet</w:t>
            </w: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960" w:type="dxa"/>
            <w:vAlign w:val="bottom"/>
            <w:gridSpan w:val="2"/>
          </w:tcPr>
          <w:p>
            <w:pPr>
              <w:ind w:left="1620"/>
              <w:spacing w:after="0"/>
              <w:rPr>
                <w:sz w:val="20"/>
                <w:szCs w:val="20"/>
                <w:color w:val="auto"/>
              </w:rPr>
            </w:pPr>
            <w:r>
              <w:rPr>
                <w:rFonts w:ascii="Arial" w:cs="Arial" w:eastAsia="Arial" w:hAnsi="Arial"/>
                <w:sz w:val="16"/>
                <w:szCs w:val="16"/>
                <w:b w:val="1"/>
                <w:bCs w:val="1"/>
                <w:color w:val="auto"/>
              </w:rPr>
              <w:t>Location</w:t>
            </w:r>
          </w:p>
        </w:tc>
        <w:tc>
          <w:tcPr>
            <w:tcW w:w="160" w:type="dxa"/>
            <w:vAlign w:val="bottom"/>
          </w:tcPr>
          <w:p>
            <w:pPr>
              <w:spacing w:after="0"/>
              <w:rPr>
                <w:sz w:val="20"/>
                <w:szCs w:val="20"/>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December 31, 2018</w:t>
            </w:r>
          </w:p>
        </w:tc>
      </w:tr>
      <w:tr>
        <w:trPr>
          <w:trHeight w:val="23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1,452</w:t>
            </w:r>
          </w:p>
        </w:tc>
      </w:tr>
      <w:tr>
        <w:trPr>
          <w:trHeight w:val="27"/>
        </w:trPr>
        <w:tc>
          <w:tcPr>
            <w:tcW w:w="45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2,057</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700</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2,421</w:t>
            </w: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or (Loss) on Derivatives</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Location of Gain or</w:t>
            </w:r>
          </w:p>
        </w:tc>
        <w:tc>
          <w:tcPr>
            <w:tcW w:w="3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980" w:type="dxa"/>
            <w:vAlign w:val="bottom"/>
          </w:tcPr>
          <w:p>
            <w:pPr>
              <w:spacing w:after="0"/>
              <w:rPr>
                <w:sz w:val="18"/>
                <w:szCs w:val="18"/>
                <w:color w:val="auto"/>
              </w:rPr>
            </w:pPr>
          </w:p>
        </w:tc>
        <w:tc>
          <w:tcPr>
            <w:tcW w:w="2280" w:type="dxa"/>
            <w:vAlign w:val="bottom"/>
            <w:gridSpan w:val="3"/>
          </w:tcPr>
          <w:p>
            <w:pPr>
              <w:jc w:val="center"/>
              <w:ind w:right="940"/>
              <w:spacing w:after="0"/>
              <w:rPr>
                <w:sz w:val="20"/>
                <w:szCs w:val="20"/>
                <w:color w:val="auto"/>
              </w:rPr>
            </w:pPr>
            <w:r>
              <w:rPr>
                <w:rFonts w:ascii="Arial" w:cs="Arial" w:eastAsia="Arial" w:hAnsi="Arial"/>
                <w:sz w:val="16"/>
                <w:szCs w:val="16"/>
                <w:b w:val="1"/>
                <w:bCs w:val="1"/>
                <w:color w:val="auto"/>
                <w:w w:val="91"/>
              </w:rPr>
              <w:t>Recognized in OCI</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in Earnings</w:t>
            </w:r>
          </w:p>
        </w:tc>
        <w:tc>
          <w:tcPr>
            <w:tcW w:w="1060" w:type="dxa"/>
            <w:vAlign w:val="bottom"/>
          </w:tcPr>
          <w:p>
            <w:pPr>
              <w:spacing w:after="0"/>
              <w:rPr>
                <w:sz w:val="18"/>
                <w:szCs w:val="18"/>
                <w:color w:val="auto"/>
              </w:rPr>
            </w:pPr>
          </w:p>
        </w:tc>
        <w:tc>
          <w:tcPr>
            <w:tcW w:w="2180" w:type="dxa"/>
            <w:vAlign w:val="bottom"/>
            <w:gridSpan w:val="3"/>
          </w:tcPr>
          <w:p>
            <w:pPr>
              <w:jc w:val="right"/>
              <w:ind w:right="1120"/>
              <w:spacing w:after="0"/>
              <w:rPr>
                <w:sz w:val="20"/>
                <w:szCs w:val="20"/>
                <w:color w:val="auto"/>
              </w:rPr>
            </w:pPr>
            <w:r>
              <w:rPr>
                <w:rFonts w:ascii="Arial" w:cs="Arial" w:eastAsia="Arial" w:hAnsi="Arial"/>
                <w:sz w:val="16"/>
                <w:szCs w:val="16"/>
                <w:b w:val="1"/>
                <w:bCs w:val="1"/>
                <w:color w:val="auto"/>
              </w:rPr>
              <w:t>into Earnings</w:t>
            </w:r>
          </w:p>
        </w:tc>
      </w:tr>
      <w:tr>
        <w:trPr>
          <w:trHeight w:val="33"/>
        </w:trPr>
        <w:tc>
          <w:tcPr>
            <w:tcW w:w="32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r>
      <w:tr>
        <w:trPr>
          <w:trHeight w:val="217"/>
        </w:trPr>
        <w:tc>
          <w:tcPr>
            <w:tcW w:w="3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Three Months Ended September 30,</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Three Months Ended September 30,</w:t>
            </w:r>
          </w:p>
        </w:tc>
      </w:tr>
      <w:tr>
        <w:trPr>
          <w:trHeight w:val="33"/>
        </w:trPr>
        <w:tc>
          <w:tcPr>
            <w:tcW w:w="9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r>
      <w:tr>
        <w:trPr>
          <w:trHeight w:val="217"/>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28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18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2018</w:t>
            </w:r>
          </w:p>
        </w:tc>
      </w:tr>
      <w:tr>
        <w:trPr>
          <w:trHeight w:val="33"/>
        </w:trPr>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-8255</wp:posOffset>
            </wp:positionV>
            <wp:extent cx="723773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00" w:space="260"/>
            <w:col w:w="8660"/>
          </w:cols>
          <w:pgMar w:left="240" w:top="125" w:right="239" w:bottom="1440" w:gutter="0" w:footer="0" w:header="0"/>
          <w:type w:val="continuous"/>
        </w:sectPr>
      </w:pPr>
    </w:p>
    <w:tbl>
      <w:tblPr>
        <w:tblLayout w:type="fixed"/>
        <w:tblInd w:w="20" w:type="dxa"/>
        <w:tblCellMar>
          <w:top w:w="0" w:type="dxa"/>
          <w:left w:w="0" w:type="dxa"/>
          <w:bottom w:w="0" w:type="dxa"/>
          <w:right w:w="0" w:type="dxa"/>
        </w:tblCellMar>
      </w:tblPr>
      <w:tr>
        <w:trPr>
          <w:trHeight w:val="257"/>
        </w:trPr>
        <w:tc>
          <w:tcPr>
            <w:tcW w:w="2740" w:type="dxa"/>
            <w:vAlign w:val="bottom"/>
            <w:gridSpan w:val="2"/>
          </w:tcPr>
          <w:p>
            <w:pPr>
              <w:spacing w:after="0"/>
              <w:rPr>
                <w:sz w:val="20"/>
                <w:szCs w:val="20"/>
                <w:color w:val="auto"/>
              </w:rPr>
            </w:pPr>
            <w:r>
              <w:rPr>
                <w:rFonts w:ascii="Arial" w:cs="Arial" w:eastAsia="Arial" w:hAnsi="Arial"/>
                <w:sz w:val="18"/>
                <w:szCs w:val="18"/>
                <w:color w:val="auto"/>
              </w:rPr>
              <w:t>Interest rate swap contracts</w:t>
            </w: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2040" w:type="dxa"/>
            <w:vAlign w:val="bottom"/>
            <w:gridSpan w:val="2"/>
          </w:tcPr>
          <w:p>
            <w:pPr>
              <w:ind w:left="42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r>
      <w:tr>
        <w:trPr>
          <w:trHeight w:val="21"/>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95"/>
        </w:trPr>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7"/>
          </w:tcPr>
          <w:p>
            <w:pPr>
              <w:jc w:val="center"/>
              <w:ind w:right="38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Gain or (Loss) on Derivatives</w:t>
            </w:r>
          </w:p>
        </w:tc>
        <w:tc>
          <w:tcPr>
            <w:tcW w:w="6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3"/>
              </w:rPr>
              <w:t>Recognized in OCI</w:t>
            </w:r>
          </w:p>
        </w:tc>
        <w:tc>
          <w:tcPr>
            <w:tcW w:w="6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(Loss) in Earnings</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5"/>
          </w:tcPr>
          <w:p>
            <w:pPr>
              <w:ind w:left="880"/>
              <w:spacing w:after="0"/>
              <w:rPr>
                <w:sz w:val="20"/>
                <w:szCs w:val="20"/>
                <w:color w:val="auto"/>
              </w:rPr>
            </w:pPr>
            <w:r>
              <w:rPr>
                <w:rFonts w:ascii="Arial" w:cs="Arial" w:eastAsia="Arial" w:hAnsi="Arial"/>
                <w:sz w:val="16"/>
                <w:szCs w:val="16"/>
                <w:b w:val="1"/>
                <w:bCs w:val="1"/>
                <w:color w:val="auto"/>
                <w:w w:val="99"/>
              </w:rPr>
              <w:t>into Earnings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6"/>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gridSpan w:val="7"/>
          </w:tcPr>
          <w:p>
            <w:pPr>
              <w:jc w:val="center"/>
              <w:ind w:right="34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33"/>
        </w:trPr>
        <w:tc>
          <w:tcPr>
            <w:tcW w:w="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1"/>
                <w:szCs w:val="21"/>
                <w:color w:val="auto"/>
              </w:rPr>
            </w:pPr>
          </w:p>
        </w:tc>
      </w:tr>
      <w:tr>
        <w:trPr>
          <w:trHeight w:val="211"/>
        </w:trPr>
        <w:tc>
          <w:tcPr>
            <w:tcW w:w="40" w:type="dxa"/>
            <w:vAlign w:val="bottom"/>
          </w:tcPr>
          <w:p>
            <w:pPr>
              <w:spacing w:after="0"/>
              <w:rPr>
                <w:sz w:val="18"/>
                <w:szCs w:val="18"/>
                <w:color w:val="auto"/>
              </w:rPr>
            </w:pPr>
          </w:p>
        </w:tc>
        <w:tc>
          <w:tcPr>
            <w:tcW w:w="2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5"/>
              </w:rPr>
              <w:t>Derivatives in cash flow hedging</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0" w:type="dxa"/>
            <w:vAlign w:val="bottom"/>
          </w:tcPr>
          <w:p>
            <w:pPr>
              <w:spacing w:after="0"/>
              <w:rPr>
                <w:sz w:val="20"/>
                <w:szCs w:val="20"/>
                <w:color w:val="auto"/>
              </w:rPr>
            </w:pPr>
          </w:p>
        </w:tc>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relationships: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ind w:left="86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23"/>
                <w:szCs w:val="23"/>
                <w:color w:val="auto"/>
              </w:rPr>
            </w:pPr>
          </w:p>
        </w:tc>
        <w:tc>
          <w:tcPr>
            <w:tcW w:w="58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1"/>
        </w:trPr>
        <w:tc>
          <w:tcPr>
            <w:tcW w:w="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1" w:name="page22"/>
    <w:bookmarkEnd w:id="2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Location of Gain or (Loss)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Recognized in Earnings</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2620" w:type="dxa"/>
            <w:vAlign w:val="bottom"/>
          </w:tcPr>
          <w:p>
            <w:pPr>
              <w:spacing w:after="0"/>
              <w:rPr>
                <w:sz w:val="18"/>
                <w:szCs w:val="18"/>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on Derivatives</w:t>
            </w:r>
          </w:p>
        </w:tc>
        <w:tc>
          <w:tcPr>
            <w:tcW w:w="240" w:type="dxa"/>
            <w:vAlign w:val="bottom"/>
          </w:tcPr>
          <w:p>
            <w:pPr>
              <w:spacing w:after="0"/>
              <w:rPr>
                <w:sz w:val="18"/>
                <w:szCs w:val="18"/>
                <w:color w:val="auto"/>
              </w:rPr>
            </w:pPr>
          </w:p>
        </w:tc>
        <w:tc>
          <w:tcPr>
            <w:tcW w:w="5380" w:type="dxa"/>
            <w:vAlign w:val="bottom"/>
            <w:gridSpan w:val="9"/>
          </w:tcPr>
          <w:p>
            <w:pPr>
              <w:jc w:val="right"/>
              <w:spacing w:after="0"/>
              <w:rPr>
                <w:sz w:val="20"/>
                <w:szCs w:val="20"/>
                <w:color w:val="auto"/>
              </w:rPr>
            </w:pPr>
            <w:r>
              <w:rPr>
                <w:rFonts w:ascii="Arial" w:cs="Arial" w:eastAsia="Arial" w:hAnsi="Arial"/>
                <w:sz w:val="16"/>
                <w:szCs w:val="16"/>
                <w:b w:val="1"/>
                <w:bCs w:val="1"/>
                <w:color w:val="auto"/>
              </w:rPr>
              <w:t>Amount of Gain or (Loss) Recognized in Earnings on Derivatives</w:t>
            </w:r>
          </w:p>
        </w:tc>
        <w:tc>
          <w:tcPr>
            <w:tcW w:w="1020" w:type="dxa"/>
            <w:vAlign w:val="bottom"/>
          </w:tcPr>
          <w:p>
            <w:pPr>
              <w:spacing w:after="0"/>
              <w:rPr>
                <w:sz w:val="18"/>
                <w:szCs w:val="18"/>
                <w:color w:val="auto"/>
              </w:rPr>
            </w:pPr>
          </w:p>
        </w:tc>
      </w:tr>
      <w:tr>
        <w:trPr>
          <w:trHeight w:val="33"/>
        </w:trPr>
        <w:tc>
          <w:tcPr>
            <w:tcW w:w="262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r>
      <w:tr>
        <w:trPr>
          <w:trHeight w:val="217"/>
        </w:trPr>
        <w:tc>
          <w:tcPr>
            <w:tcW w:w="2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2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Interest expense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(1,384)</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Miscellaneous, net</w:t>
            </w:r>
          </w:p>
        </w:tc>
        <w:tc>
          <w:tcPr>
            <w:tcW w:w="24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430</w:t>
            </w:r>
          </w:p>
        </w:tc>
      </w:tr>
      <w:tr>
        <w:trPr>
          <w:trHeight w:val="27"/>
        </w:trPr>
        <w:tc>
          <w:tcPr>
            <w:tcW w:w="2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derivatives</w:t>
            </w:r>
          </w:p>
        </w:tc>
        <w:tc>
          <w:tcPr>
            <w:tcW w:w="2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Miscellaneous, net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27,175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39,464</w:t>
            </w:r>
          </w:p>
        </w:tc>
      </w:tr>
      <w:tr>
        <w:trPr>
          <w:trHeight w:val="264"/>
        </w:trPr>
        <w:tc>
          <w:tcPr>
            <w:tcW w:w="2620" w:type="dxa"/>
            <w:vAlign w:val="bottom"/>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26,725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38,510</w:t>
            </w:r>
          </w:p>
        </w:tc>
      </w:tr>
      <w:tr>
        <w:trPr>
          <w:trHeight w:val="21"/>
        </w:trPr>
        <w:tc>
          <w:tcPr>
            <w:tcW w:w="2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For the three and nine months ended September 30, 2019, income tax expense was $8.7 million and $53.8 million, respectively, representing an effective tax rate of 7% and 12%, respectively, as compared to the federal statutory rate of 21%. For the three months ended September 30, 2019, the effective tax rate differs from the federal statutory rate due primarily to a tax benefit of $13.6 million from foreign operations and a tax benefit of $11.5 million from a deferred tax adjustment to record the impact of an investment tax credit under the deferral method of accounting, partially offset by state and local income tax expense of $4.3 million and tax expense of $2.0 million resulting from a net increase in valuation allowances for foreign tax assets. For the nine months ended September 30, 2019, the effective tax rate differs from the federal statutory rate primarily due to a tax benefit of $21.5 million resulting from a net decrease in valuation allowances for foreign tax assets, a tax benefit of $15.6 million from foreign operations, a tax benefit of $11.5 million from a deferred tax adjustment to record the impact of an investment tax credit under the deferral method of accounting, and a tax benefit of $5.6 million relating to uncertain tax positions (including accrued interest), partially offset by state and local income tax expense of $11.6 million. The decrease in the valuation allowance is primarily due to the expected utilization of foreign net operating loss carryforwards and the benefit of foreign operations is due to a deferred tax benefit resulting from the reorganization of intellectual property amongst the Company's international subsidiaries in the nine months ended September 30, 2019. The tax benefit relating to uncertain tax positions is primarily due to an audit settlement and the filing of state income tax returns under a voluntary disclosure agreement.</w:t>
      </w:r>
    </w:p>
    <w:p>
      <w:pPr>
        <w:spacing w:after="0" w:line="12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three and nine months ended September 30, 2018, income tax expense was $43.7 million and $133.1 million, respectively, representing an effective tax rate of 27% and 26%, respectively, as compared to the federal statutory rate of 21%. For the three months ended September 30, 2018, the effective tax rate differs from the federal statutory rate due primarily due to tax expense from foreign operations of $5.6 million and state and local income tax expense of $3.4 million. For the nine months ended September 30, 2018, the effective tax rate differs from the federal statutory rate due primarily to tax expense of $15.8 million for an increase in valuation allowances for foreign taxes and U.S. foreign tax credits; state and local income tax expense of $9.5 million; a tax benefit of $8.3 million for the one-time rate change on deferred tax assets and liabilities that resulted from the extension of certain television production cost deductions included in the Bipartisan Budget Act of 2018 (enacted February 9, 2018); and a tax benefit from foreign operations of $0.6 million.</w:t>
      </w:r>
    </w:p>
    <w:p>
      <w:pPr>
        <w:spacing w:after="0" w:line="1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At September 30, 2019, the Company had foreign tax credit carry forwards of approximately $20.2 million, expiring on various dates from 2022 through 2029. These carryforwards have been reduced by a valuation allowance of $20.2 million as it is more likely than not that these carry forwards will not be realized. For the nine months ended September 30, 2019, $1.0 million relating to amortization of tax deductible second component goodwill was realized as a reduction in tax liability (as determined on a 'with-and-without' approach).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of September 30, 2019, the Company's contractual obligations not reflected on the Company's condensed consolidated balance sheet decreased $259.2 million, as compared to December 31, 2018, to $864.6 million. The decrease relates to the adoption of the new lease standard requiring the recognition of operating leases on the balance sheet rather than disclosed as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6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 xml:space="preserve">On January 18, 2018, the 2013 Plaintiffs filed a second action in New York Supreme Court in connection with Darabont’s services on </w:t>
      </w:r>
      <w:r>
        <w:rPr>
          <w:rFonts w:ascii="Arial" w:cs="Arial" w:eastAsia="Arial" w:hAnsi="Arial"/>
          <w:sz w:val="17"/>
          <w:szCs w:val="17"/>
          <w:i w:val="1"/>
          <w:iCs w:val="1"/>
          <w:color w:val="auto"/>
        </w:rPr>
        <w:t>The Walking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Dead </w:t>
      </w:r>
      <w:r>
        <w:rPr>
          <w:rFonts w:ascii="Arial" w:cs="Arial" w:eastAsia="Arial" w:hAnsi="Arial"/>
          <w:sz w:val="17"/>
          <w:szCs w:val="17"/>
          <w:color w:val="auto"/>
        </w:rPr>
        <w:t>television series and agreements between the parties related thereto. The claims in the action allegedly arise from Plaintiffs' audit of their participation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covering the accounting period from inception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Compliant, and on September 19, 2018, the Company answered. The parties have agreed to consolidate this action for a joint trial with the action Plaintiffs filed in the New York Supreme Court on December 17, 2013. The trial is tentatively scheduled to begin on June 1, 2020. The Company believes that the asserted claims are without merit, denies the allegations and will defend the case vigorously. The parties in the second action are presently engaged in expert discovery. At this time, no determination can be made as to the ultimate outcome of this litigation or the potential liability, if any, on the part of the Company.</w:t>
      </w:r>
    </w:p>
    <w:p>
      <w:pPr>
        <w:spacing w:after="0" w:line="74"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and/or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On August 8, 2019, the judge in the California Action ordered a trial, scheduled to begin on February 10, 2020, to resolve certain issues of contract interpretation only. The parties are presently engaged in fact discovery in preparation for the February trial. At this time, no determination can be made as to the ultimate outcome of this litigation or the potential liability, if any, on the part of the Company.</w:t>
      </w:r>
    </w:p>
    <w:p>
      <w:pPr>
        <w:spacing w:after="0" w:line="73"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Plans</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June 2019, AMC Networks granted 34,678 restricted stock units ("RSUs") under the 2011 Stock Plan for Non-Employee Directors to non-employee directors that vested on the date of grant.</w:t>
      </w:r>
    </w:p>
    <w:p>
      <w:pPr>
        <w:spacing w:after="0" w:line="62"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In March 2019, AMC Networks granted 498,320 RSUs and 390,566 performance restricted stock units ("PRSUs") to certain executive officers and employees under the AMC Networks Inc. 2016 Employee Stock Plan. The RSUs vest ratably over a three-year period and the vesting criteria for 165,194 RSUs include the achievement of certain performance targets by the Company. The PRSUs vest on the third anniversary of the grant date.</w:t>
      </w:r>
    </w:p>
    <w:p>
      <w:pPr>
        <w:spacing w:after="0" w:line="5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three-year period. The number of shares issuable at the end of the applicable measurement period ranges from 0% to 200% of the target PRSU award.</w:t>
      </w:r>
    </w:p>
    <w:p>
      <w:pPr>
        <w:spacing w:after="0" w:line="7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During the nine months ended September 30, 2019, 518,583 RSUs and 349,761 PRSUs of AMC Networks Class A Common Stock previously issued to employees of the Company vested. On the vesting date, 217,265 RSUs and 150,771 PRSUs were surrendered to the Company to cover the required statutory tax withholding obligations and 301,318 RSU and 198,990 PRSU new shares of AMC Networks Class A Common Stock were issued. The units surrendered to satisfy the employees' statutory minimum tax withholding obligations for the applicable income and other employment tax had an aggregate value of $23.0 million, which has been reflected as a financing activity in the condensed consolidated statement of cash flows for the nine months ended September 30, 2019.</w:t>
      </w:r>
    </w:p>
    <w:p>
      <w:pPr>
        <w:spacing w:after="0" w:line="85"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Share-based compensation expense included in selling, general and administrative expense, for the three and nine months ended September 30, 2019 was $13.8 million and $50.5 million, respectively, and $16.9 million and $52.0 million, respectively, the for three and nine months ended September 30, 2018.</w:t>
      </w:r>
    </w:p>
    <w:p>
      <w:pPr>
        <w:spacing w:after="0" w:line="16"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As of September 30, 2019, there was $85.3 million of total unrecognized share-based compensation cost related to outstanding unvested share-based awards. The unrecognized compensation cost is expected to be recognized over a weighted-average remaining period of approximately 2.1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Redeemable Noncontrolling Interests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nine months ended September 30, 2019.</w:t>
      </w:r>
    </w:p>
    <w:p>
      <w:pPr>
        <w:sectPr>
          <w:pgSz w:w="11900" w:h="16838" w:orient="portrait"/>
          <w:cols w:equalWidth="0" w:num="1">
            <w:col w:w="11420"/>
          </w:cols>
          <w:pgMar w:left="240" w:top="125" w:right="239" w:bottom="1440" w:gutter="0" w:footer="0" w:header="0"/>
        </w:sect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December 31, 2018</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earnings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September 30, 2019</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308"/>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ind w:left="328"/>
        <w:spacing w:after="0"/>
        <w:rPr>
          <w:sz w:val="20"/>
          <w:szCs w:val="20"/>
          <w:color w:val="auto"/>
        </w:rPr>
      </w:pPr>
      <w:r>
        <w:rPr>
          <w:rFonts w:ascii="Arial" w:cs="Arial" w:eastAsia="Arial" w:hAnsi="Arial"/>
          <w:sz w:val="16"/>
          <w:szCs w:val="16"/>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33020</wp:posOffset>
            </wp:positionV>
            <wp:extent cx="723773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58" w:lineRule="exact"/>
        <w:rPr>
          <w:sz w:val="20"/>
          <w:szCs w:val="20"/>
          <w:color w:val="auto"/>
        </w:rPr>
      </w:pPr>
    </w:p>
    <w:p>
      <w:pPr>
        <w:ind w:left="1288" w:hanging="1288"/>
        <w:spacing w:after="0"/>
        <w:tabs>
          <w:tab w:leader="none" w:pos="1288" w:val="left"/>
        </w:tabs>
        <w:numPr>
          <w:ilvl w:val="0"/>
          <w:numId w:val="6"/>
        </w:numPr>
        <w:rPr>
          <w:rFonts w:ascii="Arial" w:cs="Arial" w:eastAsia="Arial" w:hAnsi="Arial"/>
          <w:sz w:val="17"/>
          <w:szCs w:val="17"/>
          <w:color w:val="auto"/>
        </w:rPr>
      </w:pPr>
      <w:r>
        <w:rPr>
          <w:rFonts w:ascii="Arial" w:cs="Arial" w:eastAsia="Arial" w:hAnsi="Arial"/>
          <w:sz w:val="17"/>
          <w:szCs w:val="17"/>
          <w:color w:val="auto"/>
        </w:rPr>
        <w:t>299,558</w:t>
      </w:r>
    </w:p>
    <w:p>
      <w:pPr>
        <w:spacing w:after="0" w:line="74" w:lineRule="exact"/>
        <w:rPr>
          <w:rFonts w:ascii="Arial" w:cs="Arial" w:eastAsia="Arial" w:hAnsi="Arial"/>
          <w:sz w:val="17"/>
          <w:szCs w:val="17"/>
          <w:color w:val="auto"/>
        </w:rPr>
      </w:pPr>
    </w:p>
    <w:p>
      <w:pPr>
        <w:ind w:left="1368"/>
        <w:spacing w:after="0"/>
        <w:rPr>
          <w:rFonts w:ascii="Arial" w:cs="Arial" w:eastAsia="Arial" w:hAnsi="Arial"/>
          <w:sz w:val="17"/>
          <w:szCs w:val="17"/>
          <w:color w:val="auto"/>
        </w:rPr>
      </w:pPr>
      <w:r>
        <w:rPr>
          <w:rFonts w:ascii="Arial" w:cs="Arial" w:eastAsia="Arial" w:hAnsi="Arial"/>
          <w:sz w:val="17"/>
          <w:szCs w:val="17"/>
          <w:color w:val="auto"/>
        </w:rPr>
        <w:t>15,462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39370</wp:posOffset>
            </wp:positionV>
            <wp:extent cx="723773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5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(10,107)</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-5949315</wp:posOffset>
            </wp:positionH>
            <wp:positionV relativeFrom="paragraph">
              <wp:posOffset>31750</wp:posOffset>
            </wp:positionV>
            <wp:extent cx="723773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57" w:lineRule="exact"/>
        <w:rPr>
          <w:sz w:val="20"/>
          <w:szCs w:val="20"/>
          <w:color w:val="auto"/>
        </w:rPr>
      </w:pPr>
    </w:p>
    <w:p>
      <w:pPr>
        <w:ind w:left="1288" w:hanging="1288"/>
        <w:spacing w:after="0"/>
        <w:tabs>
          <w:tab w:leader="none" w:pos="1288" w:val="left"/>
        </w:tabs>
        <w:numPr>
          <w:ilvl w:val="0"/>
          <w:numId w:val="7"/>
        </w:numPr>
        <w:rPr>
          <w:rFonts w:ascii="Arial" w:cs="Arial" w:eastAsia="Arial" w:hAnsi="Arial"/>
          <w:sz w:val="17"/>
          <w:szCs w:val="17"/>
          <w:color w:val="auto"/>
        </w:rPr>
      </w:pPr>
      <w:r>
        <w:rPr>
          <w:rFonts w:ascii="Arial" w:cs="Arial" w:eastAsia="Arial" w:hAnsi="Arial"/>
          <w:sz w:val="17"/>
          <w:szCs w:val="17"/>
          <w:color w:val="auto"/>
        </w:rPr>
        <w:t>304,606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64770</wp:posOffset>
            </wp:positionV>
            <wp:extent cx="1294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8672" w:space="720"/>
            <w:col w:w="2028"/>
          </w:cols>
          <w:pgMar w:left="240" w:top="125" w:right="239" w:bottom="1440" w:gutter="0" w:footer="0" w:header="0"/>
          <w:type w:val="continuous"/>
        </w:sect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12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The Company and its related parties routinely enter into transactions with each other in the ordinary course of business. Revenues, net from related parties amounted to $1.2 million and $1.6 million for the three months ended September 30, 2019 and 2018, respectively, and $3.5 million and $4.8 million for the nine months ended September 30, 2019 and 2018, respectively. Amounts charged to the Company, included in selling, general and administrative expenses, pursuant to transactions with its related parties amounted to $0.2 million and $0.2 million for the three months ended September 30, 2019 and 2018, respectively, and $1.0 million and $0.9 million for the nine months ended September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4" w:name="page25"/>
    <w:bookmarkEnd w:id="2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Company's non-cash investing and financing activities and other supplemental data are as follows </w:t>
      </w:r>
      <w:r>
        <w:rPr>
          <w:rFonts w:ascii="Arial" w:cs="Arial" w:eastAsia="Arial" w:hAnsi="Arial"/>
          <w:sz w:val="18"/>
          <w:szCs w:val="18"/>
          <w:b w:val="1"/>
          <w:bCs w:val="1"/>
          <w:color w:val="auto"/>
        </w:rPr>
        <w:t>[open]</w:t>
      </w:r>
      <w:r>
        <w:rPr>
          <w:rFonts w:ascii="Arial" w:cs="Arial" w:eastAsia="Arial" w:hAnsi="Arial"/>
          <w:sz w:val="18"/>
          <w:szCs w:val="18"/>
          <w:color w:val="auto"/>
        </w:rPr>
        <w:t>:</w:t>
      </w:r>
    </w:p>
    <w:p>
      <w:pPr>
        <w:spacing w:after="0" w:line="122"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37465</wp:posOffset>
            </wp:positionV>
            <wp:extent cx="21951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2018</w:t>
            </w:r>
          </w:p>
        </w:tc>
      </w:tr>
      <w:tr>
        <w:trPr>
          <w:trHeight w:val="23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340"/>
              <w:spacing w:after="0"/>
              <w:rPr>
                <w:sz w:val="20"/>
                <w:szCs w:val="20"/>
                <w:color w:val="auto"/>
              </w:rPr>
            </w:pPr>
            <w:r>
              <w:rPr>
                <w:rFonts w:ascii="Arial" w:cs="Arial" w:eastAsia="Arial" w:hAnsi="Arial"/>
                <w:sz w:val="18"/>
                <w:szCs w:val="18"/>
                <w:color w:val="auto"/>
              </w:rPr>
              <w:t>Capital expenditures incurred but not yet paid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2,835</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Data:</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340"/>
              <w:spacing w:after="0"/>
              <w:rPr>
                <w:sz w:val="20"/>
                <w:szCs w:val="20"/>
                <w:color w:val="auto"/>
              </w:rPr>
            </w:pPr>
            <w:r>
              <w:rPr>
                <w:rFonts w:ascii="Arial" w:cs="Arial" w:eastAsia="Arial" w:hAnsi="Arial"/>
                <w:sz w:val="18"/>
                <w:szCs w:val="18"/>
                <w:color w:val="auto"/>
              </w:rPr>
              <w:t>Cash interest paid</w:t>
            </w:r>
          </w:p>
        </w:tc>
        <w:tc>
          <w:tcPr>
            <w:tcW w:w="3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104,698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97,437</w:t>
            </w: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 net</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121,110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96,272</w:t>
            </w:r>
          </w:p>
        </w:tc>
      </w:tr>
      <w:tr>
        <w:trPr>
          <w:trHeight w:val="27"/>
        </w:trPr>
        <w:tc>
          <w:tcPr>
            <w:tcW w:w="7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share-based compensation expense or benefit, impairment and related charges (including gains or losses on sales or dispositions of businesses), restructuring and other related charges and the Company's proportionate share of adjusted operating income (loss) from majority-owned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 2019</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National</w:t>
            </w:r>
          </w:p>
        </w:tc>
        <w:tc>
          <w:tcPr>
            <w:tcW w:w="12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International</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Inter-segment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Networks</w:t>
            </w:r>
          </w:p>
        </w:tc>
        <w:tc>
          <w:tcPr>
            <w:tcW w:w="1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and Other</w:t>
            </w:r>
          </w:p>
        </w:tc>
        <w:tc>
          <w:tcPr>
            <w:tcW w:w="200" w:type="dxa"/>
            <w:vAlign w:val="bottom"/>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36"/>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60" w:type="dxa"/>
            <w:vAlign w:val="bottom"/>
          </w:tcPr>
          <w:p>
            <w:pPr>
              <w:ind w:left="32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194,452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18,872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213,300</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Distribution</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364,540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163,967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505,297</w:t>
            </w:r>
          </w:p>
        </w:tc>
      </w:tr>
      <w:tr>
        <w:trPr>
          <w:trHeight w:val="264"/>
        </w:trPr>
        <w:tc>
          <w:tcPr>
            <w:tcW w:w="47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558,992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182,839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(23,234)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718,597</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182,479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168,438</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11,684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13,841</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25,619</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3,992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71"/>
              <w:spacing w:after="0"/>
              <w:rPr>
                <w:sz w:val="20"/>
                <w:szCs w:val="20"/>
                <w:color w:val="auto"/>
              </w:rPr>
            </w:pPr>
            <w:r>
              <w:rPr>
                <w:rFonts w:ascii="Arial" w:cs="Arial" w:eastAsia="Arial" w:hAnsi="Arial"/>
                <w:sz w:val="18"/>
                <w:szCs w:val="18"/>
                <w:color w:val="auto"/>
              </w:rPr>
              <w:t>10,191</w:t>
            </w:r>
          </w:p>
        </w:tc>
      </w:tr>
      <w:tr>
        <w:trPr>
          <w:trHeight w:val="27"/>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1,246</w:t>
            </w:r>
          </w:p>
        </w:tc>
      </w:tr>
      <w:tr>
        <w:trPr>
          <w:trHeight w:val="264"/>
        </w:trPr>
        <w:tc>
          <w:tcPr>
            <w:tcW w:w="47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208,410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13,465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219,335</w:t>
            </w:r>
          </w:p>
        </w:tc>
      </w:tr>
      <w:tr>
        <w:trPr>
          <w:trHeight w:val="21"/>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5"/>
          </w:tcPr>
          <w:p>
            <w:pPr>
              <w:jc w:val="right"/>
              <w:ind w:right="132"/>
              <w:spacing w:after="0"/>
              <w:rPr>
                <w:sz w:val="20"/>
                <w:szCs w:val="20"/>
                <w:color w:val="auto"/>
              </w:rPr>
            </w:pPr>
            <w:r>
              <w:rPr>
                <w:rFonts w:ascii="Arial" w:cs="Arial" w:eastAsia="Arial" w:hAnsi="Arial"/>
                <w:sz w:val="16"/>
                <w:szCs w:val="16"/>
                <w:b w:val="1"/>
                <w:bCs w:val="1"/>
                <w:color w:val="auto"/>
                <w:w w:val="92"/>
              </w:rPr>
              <w:t>Three Months Ended September 30, 2018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92"/>
              <w:spacing w:after="0"/>
              <w:rPr>
                <w:sz w:val="20"/>
                <w:szCs w:val="20"/>
                <w:color w:val="auto"/>
              </w:rPr>
            </w:pPr>
            <w:r>
              <w:rPr>
                <w:rFonts w:ascii="Arial" w:cs="Arial" w:eastAsia="Arial" w:hAnsi="Arial"/>
                <w:sz w:val="16"/>
                <w:szCs w:val="16"/>
                <w:b w:val="1"/>
                <w:bCs w:val="1"/>
                <w:color w:val="auto"/>
                <w:w w:val="94"/>
              </w:rPr>
              <w:t>National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Inter-segment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94"/>
              </w:rPr>
              <w:t>Networks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5"/>
              </w:rPr>
              <w:t>and Other</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89"/>
              </w:rPr>
              <w:t>eliminations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Consolidated</w:t>
            </w:r>
          </w:p>
        </w:tc>
      </w:tr>
      <w:tr>
        <w:trPr>
          <w:trHeight w:val="236"/>
        </w:trPr>
        <w:tc>
          <w:tcPr>
            <w:tcW w:w="20" w:type="dxa"/>
            <w:vAlign w:val="bottom"/>
          </w:tcPr>
          <w:p>
            <w:pPr>
              <w:spacing w:after="0"/>
              <w:rPr>
                <w:sz w:val="20"/>
                <w:szCs w:val="20"/>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Advertising</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199,714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20,128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219,842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7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Distribution</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360,607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131,644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(15,218)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477,033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560,321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151,772</w:t>
            </w:r>
          </w:p>
        </w:tc>
        <w:tc>
          <w:tcPr>
            <w:tcW w:w="12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(15,218)</w:t>
            </w:r>
          </w:p>
        </w:tc>
        <w:tc>
          <w:tcPr>
            <w:tcW w:w="10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696,875</w:t>
            </w:r>
          </w:p>
        </w:tc>
        <w:tc>
          <w:tcPr>
            <w:tcW w:w="20" w:type="dxa"/>
            <w:vAlign w:val="bottom"/>
            <w:tcBorders>
              <w:top w:val="single" w:sz="8" w:color="auto"/>
              <w:bottom w:val="single" w:sz="8" w:color="auto"/>
            </w:tcBorders>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188,107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(16,749)</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164,599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13,860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16,934</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22,011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3,139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Impairment and related charges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4,486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4,486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89"/>
        </w:trPr>
        <w:tc>
          <w:tcPr>
            <w:tcW w:w="20" w:type="dxa"/>
            <w:vAlign w:val="bottom"/>
          </w:tcPr>
          <w:p>
            <w:pPr>
              <w:spacing w:after="0"/>
              <w:rPr>
                <w:sz w:val="24"/>
                <w:szCs w:val="24"/>
                <w:color w:val="auto"/>
              </w:rPr>
            </w:pPr>
          </w:p>
        </w:tc>
        <w:tc>
          <w:tcPr>
            <w:tcW w:w="476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right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210,417</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(6,759)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211,169</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684"/>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jc w:val="right"/>
              <w:ind w:right="172"/>
              <w:spacing w:after="0"/>
              <w:rPr>
                <w:sz w:val="20"/>
                <w:szCs w:val="20"/>
                <w:color w:val="auto"/>
              </w:rPr>
            </w:pPr>
            <w:r>
              <w:rPr>
                <w:rFonts w:ascii="Arial" w:cs="Arial" w:eastAsia="Arial" w:hAnsi="Arial"/>
                <w:sz w:val="16"/>
                <w:szCs w:val="16"/>
                <w:b w:val="1"/>
                <w:bCs w:val="1"/>
                <w:color w:val="auto"/>
                <w:w w:val="93"/>
              </w:rPr>
              <w:t>Nine Months Ended September 30, 2019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212"/>
              <w:spacing w:after="0"/>
              <w:rPr>
                <w:sz w:val="20"/>
                <w:szCs w:val="20"/>
                <w:color w:val="auto"/>
              </w:rPr>
            </w:pPr>
            <w:r>
              <w:rPr>
                <w:rFonts w:ascii="Arial" w:cs="Arial" w:eastAsia="Arial" w:hAnsi="Arial"/>
                <w:sz w:val="16"/>
                <w:szCs w:val="16"/>
                <w:b w:val="1"/>
                <w:bCs w:val="1"/>
                <w:color w:val="auto"/>
                <w:w w:val="91"/>
              </w:rPr>
              <w:t>National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32"/>
              <w:spacing w:after="0"/>
              <w:rPr>
                <w:sz w:val="20"/>
                <w:szCs w:val="20"/>
                <w:color w:val="auto"/>
              </w:rPr>
            </w:pPr>
            <w:r>
              <w:rPr>
                <w:rFonts w:ascii="Arial" w:cs="Arial" w:eastAsia="Arial" w:hAnsi="Arial"/>
                <w:sz w:val="16"/>
                <w:szCs w:val="16"/>
                <w:b w:val="1"/>
                <w:bCs w:val="1"/>
                <w:color w:val="auto"/>
                <w:w w:val="92"/>
              </w:rPr>
              <w:t>Inter-segment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0"/>
                <w:szCs w:val="20"/>
                <w:color w:val="auto"/>
              </w:rPr>
            </w:pPr>
          </w:p>
        </w:tc>
        <w:tc>
          <w:tcPr>
            <w:tcW w:w="1320" w:type="dxa"/>
            <w:vAlign w:val="bottom"/>
          </w:tcPr>
          <w:p>
            <w:pPr>
              <w:jc w:val="center"/>
              <w:ind w:right="212"/>
              <w:spacing w:after="0"/>
              <w:rPr>
                <w:sz w:val="20"/>
                <w:szCs w:val="20"/>
                <w:color w:val="auto"/>
              </w:rPr>
            </w:pPr>
            <w:r>
              <w:rPr>
                <w:rFonts w:ascii="Arial" w:cs="Arial" w:eastAsia="Arial" w:hAnsi="Arial"/>
                <w:sz w:val="16"/>
                <w:szCs w:val="16"/>
                <w:b w:val="1"/>
                <w:bCs w:val="1"/>
                <w:color w:val="auto"/>
                <w:w w:val="91"/>
              </w:rPr>
              <w:t>Networks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and Other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132"/>
              <w:spacing w:after="0"/>
              <w:rPr>
                <w:sz w:val="20"/>
                <w:szCs w:val="20"/>
                <w:color w:val="auto"/>
              </w:rPr>
            </w:pPr>
            <w:r>
              <w:rPr>
                <w:rFonts w:ascii="Arial" w:cs="Arial" w:eastAsia="Arial" w:hAnsi="Arial"/>
                <w:sz w:val="16"/>
                <w:szCs w:val="16"/>
                <w:b w:val="1"/>
                <w:bCs w:val="1"/>
                <w:color w:val="auto"/>
                <w:w w:val="92"/>
              </w:rPr>
              <w:t>eliminations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Consolidated</w:t>
            </w: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Advertising</w:t>
            </w:r>
          </w:p>
        </w:tc>
        <w:tc>
          <w:tcPr>
            <w:tcW w:w="260" w:type="dxa"/>
            <w:vAlign w:val="bottom"/>
          </w:tcPr>
          <w:p>
            <w:pPr>
              <w:jc w:val="right"/>
              <w:ind w:right="96"/>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653,031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63,613</w:t>
            </w: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716,569</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Distribution</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1,126,819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469,841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(38,112)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1,558,548</w:t>
            </w:r>
          </w:p>
        </w:tc>
        <w:tc>
          <w:tcPr>
            <w:tcW w:w="2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Consolidated revenues, net</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1,779,850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533,454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(38,187)</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2,275,117</w:t>
            </w:r>
          </w:p>
        </w:tc>
        <w:tc>
          <w:tcPr>
            <w:tcW w:w="20" w:type="dxa"/>
            <w:vAlign w:val="bottom"/>
          </w:tcPr>
          <w:p>
            <w:pPr>
              <w:spacing w:after="0"/>
              <w:rPr>
                <w:sz w:val="22"/>
                <w:szCs w:val="2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648,180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(52,532)</w:t>
            </w: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(12,090)</w:t>
            </w: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583,558</w:t>
            </w:r>
          </w:p>
        </w:tc>
        <w:tc>
          <w:tcPr>
            <w:tcW w:w="20" w:type="dxa"/>
            <w:vAlign w:val="bottom"/>
          </w:tcPr>
          <w:p>
            <w:pPr>
              <w:spacing w:after="0"/>
              <w:rPr>
                <w:sz w:val="20"/>
                <w:szCs w:val="20"/>
                <w:color w:val="auto"/>
              </w:rPr>
            </w:pPr>
          </w:p>
        </w:tc>
      </w:tr>
      <w:tr>
        <w:trPr>
          <w:trHeight w:val="27"/>
        </w:trPr>
        <w:tc>
          <w:tcPr>
            <w:tcW w:w="2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125" w:right="239" w:bottom="1440" w:gutter="0" w:footer="0" w:header="0"/>
        </w:sectPr>
      </w:pPr>
    </w:p>
    <w:p>
      <w:pPr>
        <w:ind w:left="20" w:right="1180"/>
        <w:spacing w:after="0" w:line="365" w:lineRule="auto"/>
        <w:rPr>
          <w:sz w:val="20"/>
          <w:szCs w:val="20"/>
          <w:color w:val="auto"/>
        </w:rPr>
      </w:pPr>
      <w:r>
        <w:rPr>
          <w:rFonts w:ascii="Arial" w:cs="Arial" w:eastAsia="Arial" w:hAnsi="Arial"/>
          <w:sz w:val="16"/>
          <w:szCs w:val="16"/>
          <w:color w:val="auto"/>
        </w:rPr>
        <w:t>Share-based compensation expense Depreciation and amortization Restructuring and other related charges Majority-owned equity investees AOI</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41,774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8,691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50,465</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24,839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50,729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75,568</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23,915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29,995</w:t>
            </w:r>
          </w:p>
        </w:tc>
      </w:tr>
      <w:tr>
        <w:trPr>
          <w:trHeight w:val="270"/>
        </w:trPr>
        <w:tc>
          <w:tcPr>
            <w:tcW w:w="480" w:type="dxa"/>
            <w:vAlign w:val="bottom"/>
          </w:tcPr>
          <w:p>
            <w:pPr>
              <w:spacing w:after="0"/>
              <w:rPr>
                <w:sz w:val="23"/>
                <w:szCs w:val="23"/>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4,434</w:t>
            </w:r>
          </w:p>
        </w:tc>
      </w:tr>
      <w:tr>
        <w:trPr>
          <w:trHeight w:val="27"/>
        </w:trPr>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721,569</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35,237</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(12,786)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744,020</w:t>
            </w:r>
          </w:p>
        </w:tc>
      </w:tr>
      <w:tr>
        <w:trPr>
          <w:trHeight w:val="27"/>
        </w:trPr>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-728345</wp:posOffset>
            </wp:positionV>
            <wp:extent cx="723773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-385445</wp:posOffset>
            </wp:positionV>
            <wp:extent cx="723773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37465</wp:posOffset>
            </wp:positionV>
            <wp:extent cx="42195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66" w:lineRule="exact"/>
        <w:rPr>
          <w:sz w:val="20"/>
          <w:szCs w:val="20"/>
          <w:color w:val="auto"/>
        </w:rPr>
      </w:pPr>
    </w:p>
    <w:p>
      <w:pPr>
        <w:ind w:left="500"/>
        <w:spacing w:after="0"/>
        <w:tabs>
          <w:tab w:leader="none" w:pos="2000" w:val="left"/>
          <w:tab w:leader="none" w:pos="3680" w:val="left"/>
        </w:tabs>
        <w:rPr>
          <w:sz w:val="20"/>
          <w:szCs w:val="20"/>
          <w:color w:val="auto"/>
        </w:rPr>
      </w:pPr>
      <w:r>
        <w:rPr>
          <w:rFonts w:ascii="Arial" w:cs="Arial" w:eastAsia="Arial" w:hAnsi="Arial"/>
          <w:sz w:val="16"/>
          <w:szCs w:val="16"/>
          <w:b w:val="1"/>
          <w:bCs w:val="1"/>
          <w:color w:val="auto"/>
        </w:rPr>
        <w:t>National</w:t>
      </w:r>
      <w:r>
        <w:rPr>
          <w:sz w:val="20"/>
          <w:szCs w:val="20"/>
          <w:color w:val="auto"/>
        </w:rPr>
        <w:tab/>
      </w:r>
      <w:r>
        <w:rPr>
          <w:rFonts w:ascii="Arial" w:cs="Arial" w:eastAsia="Arial" w:hAnsi="Arial"/>
          <w:sz w:val="16"/>
          <w:szCs w:val="16"/>
          <w:b w:val="1"/>
          <w:bCs w:val="1"/>
          <w:color w:val="auto"/>
        </w:rPr>
        <w:t>International</w:t>
      </w:r>
      <w:r>
        <w:rPr>
          <w:sz w:val="20"/>
          <w:szCs w:val="20"/>
          <w:color w:val="auto"/>
        </w:rPr>
        <w:tab/>
      </w:r>
      <w:r>
        <w:rPr>
          <w:rFonts w:ascii="Arial" w:cs="Arial" w:eastAsia="Arial" w:hAnsi="Arial"/>
          <w:sz w:val="14"/>
          <w:szCs w:val="14"/>
          <w:b w:val="1"/>
          <w:bCs w:val="1"/>
          <w:color w:val="auto"/>
        </w:rPr>
        <w:t>Inter-segment</w:t>
      </w:r>
    </w:p>
    <w:p>
      <w:pPr>
        <w:spacing w:after="0" w:line="26" w:lineRule="exact"/>
        <w:rPr>
          <w:sz w:val="20"/>
          <w:szCs w:val="20"/>
          <w:color w:val="auto"/>
        </w:rPr>
      </w:pPr>
    </w:p>
    <w:p>
      <w:pPr>
        <w:ind w:left="460"/>
        <w:spacing w:after="0"/>
        <w:tabs>
          <w:tab w:leader="none" w:pos="2100" w:val="left"/>
          <w:tab w:leader="none" w:pos="3740" w:val="left"/>
          <w:tab w:leader="none" w:pos="5380" w:val="left"/>
        </w:tabs>
        <w:rPr>
          <w:sz w:val="20"/>
          <w:szCs w:val="20"/>
          <w:color w:val="auto"/>
        </w:rPr>
      </w:pPr>
      <w:r>
        <w:rPr>
          <w:rFonts w:ascii="Arial" w:cs="Arial" w:eastAsia="Arial" w:hAnsi="Arial"/>
          <w:sz w:val="16"/>
          <w:szCs w:val="16"/>
          <w:b w:val="1"/>
          <w:bCs w:val="1"/>
          <w:color w:val="auto"/>
        </w:rPr>
        <w:t>Networks</w:t>
      </w:r>
      <w:r>
        <w:rPr>
          <w:sz w:val="20"/>
          <w:szCs w:val="20"/>
          <w:color w:val="auto"/>
        </w:rPr>
        <w:tab/>
      </w:r>
      <w:r>
        <w:rPr>
          <w:rFonts w:ascii="Arial" w:cs="Arial" w:eastAsia="Arial" w:hAnsi="Arial"/>
          <w:sz w:val="16"/>
          <w:szCs w:val="16"/>
          <w:b w:val="1"/>
          <w:bCs w:val="1"/>
          <w:color w:val="auto"/>
        </w:rPr>
        <w:t>and Other</w:t>
      </w:r>
      <w:r>
        <w:rPr>
          <w:sz w:val="20"/>
          <w:szCs w:val="20"/>
          <w:color w:val="auto"/>
        </w:rPr>
        <w:tab/>
      </w:r>
      <w:r>
        <w:rPr>
          <w:rFonts w:ascii="Arial" w:cs="Arial" w:eastAsia="Arial" w:hAnsi="Arial"/>
          <w:sz w:val="16"/>
          <w:szCs w:val="16"/>
          <w:b w:val="1"/>
          <w:bCs w:val="1"/>
          <w:color w:val="auto"/>
        </w:rPr>
        <w:t>eliminations</w:t>
      </w:r>
      <w:r>
        <w:rPr>
          <w:sz w:val="20"/>
          <w:szCs w:val="20"/>
          <w:color w:val="auto"/>
        </w:rPr>
        <w:tab/>
      </w:r>
      <w:r>
        <w:rPr>
          <w:rFonts w:ascii="Arial" w:cs="Arial" w:eastAsia="Arial" w:hAnsi="Arial"/>
          <w:sz w:val="14"/>
          <w:szCs w:val="14"/>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33020</wp:posOffset>
            </wp:positionV>
            <wp:extent cx="723773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4040" w:space="720"/>
            <w:col w:w="666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Revenues, net</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760" w:type="dxa"/>
            <w:vAlign w:val="bottom"/>
          </w:tcPr>
          <w:p>
            <w:pPr>
              <w:ind w:left="320"/>
              <w:spacing w:after="0"/>
              <w:rPr>
                <w:sz w:val="20"/>
                <w:szCs w:val="20"/>
                <w:color w:val="auto"/>
              </w:rPr>
            </w:pPr>
            <w:r>
              <w:rPr>
                <w:rFonts w:ascii="Arial" w:cs="Arial" w:eastAsia="Arial" w:hAnsi="Arial"/>
                <w:sz w:val="18"/>
                <w:szCs w:val="18"/>
                <w:color w:val="auto"/>
              </w:rPr>
              <w:t>Advertising</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672,273</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66,071</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738,344</w:t>
            </w:r>
          </w:p>
        </w:tc>
      </w:tr>
      <w:tr>
        <w:trPr>
          <w:trHeight w:val="27"/>
        </w:trPr>
        <w:tc>
          <w:tcPr>
            <w:tcW w:w="4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Distribution</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1,148,365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343,802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(31,428)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1,460,739</w:t>
            </w:r>
          </w:p>
        </w:tc>
      </w:tr>
      <w:tr>
        <w:trPr>
          <w:trHeight w:val="264"/>
        </w:trPr>
        <w:tc>
          <w:tcPr>
            <w:tcW w:w="476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1,820,638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409,873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(31,428)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2,199,083</w:t>
            </w: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647,965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589,785</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42,647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9,359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52,006</w:t>
            </w:r>
          </w:p>
        </w:tc>
      </w:tr>
      <w:tr>
        <w:trPr>
          <w:trHeight w:val="27"/>
        </w:trPr>
        <w:tc>
          <w:tcPr>
            <w:tcW w:w="4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25,358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64,034</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4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3,139</w:t>
            </w:r>
          </w:p>
        </w:tc>
      </w:tr>
      <w:tr>
        <w:trPr>
          <w:trHeight w:val="27"/>
        </w:trPr>
        <w:tc>
          <w:tcPr>
            <w:tcW w:w="4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related charges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4,486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4,486</w:t>
            </w:r>
          </w:p>
        </w:tc>
      </w:tr>
      <w:tr>
        <w:trPr>
          <w:trHeight w:val="264"/>
        </w:trPr>
        <w:tc>
          <w:tcPr>
            <w:tcW w:w="476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715,970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10,761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(13,281)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713,450</w:t>
            </w:r>
          </w:p>
        </w:tc>
      </w:tr>
      <w:tr>
        <w:trPr>
          <w:trHeight w:val="21"/>
        </w:trPr>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6" w:name="page27"/>
    <w:bookmarkEnd w:id="2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6"/>
          </w:tcPr>
          <w:p>
            <w:pPr>
              <w:jc w:val="right"/>
              <w:ind w:right="331"/>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23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60" w:type="dxa"/>
            <w:vAlign w:val="bottom"/>
          </w:tcPr>
          <w:p>
            <w:pPr>
              <w:ind w:left="340"/>
              <w:spacing w:after="0"/>
              <w:rPr>
                <w:sz w:val="20"/>
                <w:szCs w:val="20"/>
                <w:color w:val="auto"/>
              </w:rPr>
            </w:pPr>
            <w:r>
              <w:rPr>
                <w:rFonts w:ascii="Arial" w:cs="Arial" w:eastAsia="Arial" w:hAnsi="Arial"/>
                <w:sz w:val="18"/>
                <w:szCs w:val="18"/>
                <w:color w:val="auto"/>
              </w:rPr>
              <w:t>National Networks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(18,140)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9"/>
              <w:spacing w:after="0"/>
              <w:rPr>
                <w:sz w:val="20"/>
                <w:szCs w:val="20"/>
                <w:color w:val="auto"/>
              </w:rPr>
            </w:pPr>
            <w:r>
              <w:rPr>
                <w:rFonts w:ascii="Arial" w:cs="Arial" w:eastAsia="Arial" w:hAnsi="Arial"/>
                <w:sz w:val="18"/>
                <w:szCs w:val="18"/>
                <w:color w:val="auto"/>
              </w:rPr>
              <w:t>(10,304)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(29,790)</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(25,454)</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(4,914)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(5,974)</w:t>
            </w:r>
          </w:p>
        </w:tc>
      </w:tr>
      <w:tr>
        <w:trPr>
          <w:trHeight w:val="237"/>
        </w:trPr>
        <w:tc>
          <w:tcPr>
            <w:tcW w:w="476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(23,234)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rPr>
              <w:t>(15,218)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(31,428)</w:t>
            </w:r>
          </w:p>
        </w:tc>
      </w:tr>
      <w:tr>
        <w:trPr>
          <w:trHeight w:val="27"/>
        </w:trPr>
        <w:tc>
          <w:tcPr>
            <w:tcW w:w="476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47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8"/>
        </w:trPr>
        <w:tc>
          <w:tcPr>
            <w:tcW w:w="6460" w:type="dxa"/>
            <w:vAlign w:val="bottom"/>
            <w:gridSpan w:val="4"/>
          </w:tcPr>
          <w:p>
            <w:pPr>
              <w:ind w:left="420"/>
              <w:spacing w:after="0"/>
              <w:rPr>
                <w:sz w:val="20"/>
                <w:szCs w:val="20"/>
                <w:color w:val="auto"/>
              </w:rPr>
            </w:pPr>
            <w:r>
              <w:rPr>
                <w:rFonts w:ascii="Arial" w:cs="Arial" w:eastAsia="Arial" w:hAnsi="Arial"/>
                <w:sz w:val="18"/>
                <w:szCs w:val="18"/>
                <w:color w:val="auto"/>
              </w:rPr>
              <w:t>The table below summarizes revenues based on customer location:</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5"/>
        </w:trPr>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6"/>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24"/>
                <w:szCs w:val="24"/>
                <w:color w:val="auto"/>
              </w:rPr>
            </w:pPr>
          </w:p>
        </w:tc>
        <w:tc>
          <w:tcPr>
            <w:tcW w:w="3000" w:type="dxa"/>
            <w:vAlign w:val="bottom"/>
            <w:gridSpan w:val="6"/>
          </w:tcPr>
          <w:p>
            <w:pPr>
              <w:jc w:val="right"/>
              <w:ind w:right="331"/>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23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579,913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550,573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1,847,491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1,737,336</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108,365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108,607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299,782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311,294</w:t>
            </w:r>
          </w:p>
        </w:tc>
      </w:tr>
      <w:tr>
        <w:trPr>
          <w:trHeight w:val="243"/>
        </w:trPr>
        <w:tc>
          <w:tcPr>
            <w:tcW w:w="476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30,319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8"/>
                <w:szCs w:val="18"/>
                <w:color w:val="auto"/>
              </w:rPr>
              <w:t>37,695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127,844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150,453</w:t>
            </w:r>
          </w:p>
        </w:tc>
      </w:tr>
      <w:tr>
        <w:trPr>
          <w:trHeight w:val="27"/>
        </w:trPr>
        <w:tc>
          <w:tcPr>
            <w:tcW w:w="4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47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718,597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696,875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2,275,117</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2,199,083</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98"/>
        </w:trPr>
        <w:tc>
          <w:tcPr>
            <w:tcW w:w="6460" w:type="dxa"/>
            <w:vAlign w:val="bottom"/>
            <w:gridSpan w:val="4"/>
          </w:tcPr>
          <w:p>
            <w:pPr>
              <w:ind w:left="420"/>
              <w:spacing w:after="0"/>
              <w:rPr>
                <w:sz w:val="20"/>
                <w:szCs w:val="20"/>
                <w:color w:val="auto"/>
              </w:rPr>
            </w:pPr>
            <w:r>
              <w:rPr>
                <w:rFonts w:ascii="Arial" w:cs="Arial" w:eastAsia="Arial" w:hAnsi="Arial"/>
                <w:sz w:val="18"/>
                <w:szCs w:val="18"/>
                <w:color w:val="auto"/>
                <w:w w:val="96"/>
              </w:rPr>
              <w:t>The table below summarizes property and equipment based on asset location:</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2"/>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rPr>
              <w:t>September 30, 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2018</w:t>
            </w:r>
          </w:p>
        </w:tc>
      </w:tr>
      <w:tr>
        <w:trPr>
          <w:trHeight w:val="236"/>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230,869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202,833</w:t>
            </w: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27,218</w:t>
            </w:r>
          </w:p>
        </w:tc>
      </w:tr>
      <w:tr>
        <w:trPr>
          <w:trHeight w:val="243"/>
        </w:trPr>
        <w:tc>
          <w:tcPr>
            <w:tcW w:w="476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14,104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16,211</w:t>
            </w:r>
          </w:p>
        </w:tc>
      </w:tr>
      <w:tr>
        <w:trPr>
          <w:trHeight w:val="27"/>
        </w:trPr>
        <w:tc>
          <w:tcPr>
            <w:tcW w:w="4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47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269,287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246,262</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Condensed Consolidating Financial Statements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Debt of AMC Networks includes $600 million of 4.75% senior notes due December 2022, $1 billion of 5.00% senior notes due April 2024 and $800 million of 4.75% senior notes due August 2025. All outstanding senior notes issued by AMC Networks (for purposes of this Note 20, "Parent Company")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8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center"/>
        <w:ind w:right="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ASSETS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552,653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773,386</w:t>
            </w:r>
          </w:p>
        </w:tc>
        <w:tc>
          <w:tcPr>
            <w:tcW w:w="0" w:type="dxa"/>
            <w:vAlign w:val="bottom"/>
          </w:tcPr>
          <w:p>
            <w:pPr>
              <w:spacing w:after="0"/>
              <w:rPr>
                <w:sz w:val="1"/>
                <w:szCs w:val="1"/>
                <w:color w:val="auto"/>
              </w:rPr>
            </w:pPr>
          </w:p>
        </w:tc>
      </w:tr>
      <w:tr>
        <w:trPr>
          <w:trHeight w:val="197"/>
        </w:trPr>
        <w:tc>
          <w:tcPr>
            <w:tcW w:w="4580" w:type="dxa"/>
            <w:vAlign w:val="bottom"/>
          </w:tcPr>
          <w:p>
            <w:pPr>
              <w:ind w:left="340"/>
              <w:spacing w:after="0"/>
              <w:rPr>
                <w:sz w:val="20"/>
                <w:szCs w:val="20"/>
                <w:color w:val="auto"/>
              </w:rPr>
            </w:pPr>
            <w:r>
              <w:rPr>
                <w:rFonts w:ascii="Arial" w:cs="Arial" w:eastAsia="Arial" w:hAnsi="Arial"/>
                <w:sz w:val="14"/>
                <w:szCs w:val="14"/>
                <w:color w:val="auto"/>
              </w:rPr>
              <w:t>Accounts receivable, trade (less allowance for doubtful accounts)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543,065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264,416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807,481</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program rights,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296,682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160,241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456,288</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Prepaid expenses, other current assets and intercompany receivable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(24,284)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246,542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14,325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(48,828)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187,755</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1,638,942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659,278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2,224,910</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Property and equipment, net of accumulated depreciation</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204,599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64,688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269,287</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affiliates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3,884,536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1,635,646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(5,520,182)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Program rights, net</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815,763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236,459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1,051,068</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intercompany notes receivable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Deferred carriage fees, net</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15,814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17,332</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386,357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540,365</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64,286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717,948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782,234</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61,376</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Operating lease right-of-use asset</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96,722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20,213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55,640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172,575</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45,436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169,686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282,734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499,062</w:t>
            </w:r>
          </w:p>
        </w:tc>
        <w:tc>
          <w:tcPr>
            <w:tcW w:w="0" w:type="dxa"/>
            <w:vAlign w:val="bottom"/>
          </w:tcPr>
          <w:p>
            <w:pPr>
              <w:spacing w:after="0"/>
              <w:rPr>
                <w:sz w:val="1"/>
                <w:szCs w:val="1"/>
                <w:color w:val="auto"/>
              </w:rPr>
            </w:pPr>
          </w:p>
        </w:tc>
      </w:tr>
      <w:tr>
        <w:trPr>
          <w:trHeight w:val="202"/>
        </w:trPr>
        <w:tc>
          <w:tcPr>
            <w:tcW w:w="4580" w:type="dxa"/>
            <w:vAlign w:val="bottom"/>
          </w:tcPr>
          <w:p>
            <w:pPr>
              <w:ind w:left="64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4,002,856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4,718,957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2,466,043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(5,569,647)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5,618,209</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24,986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29,919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123,838</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Accrued liabilities and intercompany payable</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19,059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116,208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152,498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(48,828)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238,937</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program rights obligations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242,545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310,688</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36,303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30,005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65,725</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long-term debt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47,875</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Current portion of lease obligations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13,847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7,027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12,475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33,349</w:t>
            </w: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104,767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432,002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333,054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(49,411)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820,412</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Program rights obligations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270,171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14,253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284,424</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3,056,692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3,056,692</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Lease obligations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118,809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19,718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76,724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215,251</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liability,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74,687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47,697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122,384</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 and intercompany notes payable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117,719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22,199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159,641</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3,374,732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839,610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493,927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(49,465)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4,658,804</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309,795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304,606</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AMC Networks stockholders' equity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628,124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3,884,536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1,635,646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(5,520,182)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628,124</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Non-redeemable noncontrolling interests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26,675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26,675</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628,124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3,884,536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1,662,321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(5,520,182)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654,799</w:t>
            </w:r>
          </w:p>
        </w:tc>
        <w:tc>
          <w:tcPr>
            <w:tcW w:w="0" w:type="dxa"/>
            <w:vAlign w:val="bottom"/>
          </w:tcPr>
          <w:p>
            <w:pPr>
              <w:spacing w:after="0"/>
              <w:rPr>
                <w:sz w:val="1"/>
                <w:szCs w:val="1"/>
                <w:color w:val="auto"/>
              </w:rPr>
            </w:pPr>
          </w:p>
        </w:tc>
      </w:tr>
      <w:tr>
        <w:trPr>
          <w:trHeight w:val="202"/>
        </w:trPr>
        <w:tc>
          <w:tcPr>
            <w:tcW w:w="4580" w:type="dxa"/>
            <w:vAlign w:val="bottom"/>
          </w:tcPr>
          <w:p>
            <w:pPr>
              <w:ind w:left="64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4,002,856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4,718,957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2,466,043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(5,569,647)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5,618,209</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28" w:name="page29"/>
    <w:bookmarkEnd w:id="28"/>
    <w:p>
      <w:pPr>
        <w:jc w:val="center"/>
        <w:ind w:right="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ASSETS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368,151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186,614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135"/>
        </w:trPr>
        <w:tc>
          <w:tcPr>
            <w:tcW w:w="4580" w:type="dxa"/>
            <w:vAlign w:val="bottom"/>
          </w:tcPr>
          <w:p>
            <w:pPr>
              <w:ind w:left="340"/>
              <w:spacing w:after="0" w:line="135" w:lineRule="exact"/>
              <w:rPr>
                <w:sz w:val="20"/>
                <w:szCs w:val="20"/>
                <w:color w:val="auto"/>
              </w:rPr>
            </w:pPr>
            <w:r>
              <w:rPr>
                <w:rFonts w:ascii="Arial" w:cs="Arial" w:eastAsia="Arial" w:hAnsi="Arial"/>
                <w:sz w:val="14"/>
                <w:szCs w:val="14"/>
                <w:color w:val="auto"/>
                <w:w w:val="95"/>
              </w:rPr>
              <w:t>Accounts receivable, trade (including amounts due from related parties,</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660"/>
              <w:spacing w:after="0" w:line="135"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ind w:right="68"/>
              <w:spacing w:after="0"/>
              <w:rPr>
                <w:sz w:val="20"/>
                <w:szCs w:val="20"/>
                <w:color w:val="auto"/>
              </w:rPr>
            </w:pPr>
            <w:r>
              <w:rPr>
                <w:rFonts w:ascii="Arial" w:cs="Arial" w:eastAsia="Arial" w:hAnsi="Arial"/>
                <w:sz w:val="14"/>
                <w:szCs w:val="14"/>
                <w:color w:val="auto"/>
              </w:rPr>
              <w:t>600,121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235,840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color w:val="auto"/>
              </w:rPr>
              <w:t>835,977</w:t>
            </w:r>
          </w:p>
        </w:tc>
        <w:tc>
          <w:tcPr>
            <w:tcW w:w="0" w:type="dxa"/>
            <w:vAlign w:val="bottom"/>
          </w:tcPr>
          <w:p>
            <w:pPr>
              <w:spacing w:after="0"/>
              <w:rPr>
                <w:sz w:val="1"/>
                <w:szCs w:val="1"/>
                <w:color w:val="auto"/>
              </w:rPr>
            </w:pPr>
          </w:p>
        </w:tc>
      </w:tr>
      <w:tr>
        <w:trPr>
          <w:trHeight w:val="186"/>
        </w:trPr>
        <w:tc>
          <w:tcPr>
            <w:tcW w:w="4580" w:type="dxa"/>
            <w:vAlign w:val="bottom"/>
          </w:tcPr>
          <w:p>
            <w:pPr>
              <w:ind w:left="660"/>
              <w:spacing w:after="0"/>
              <w:rPr>
                <w:sz w:val="20"/>
                <w:szCs w:val="20"/>
                <w:color w:val="auto"/>
              </w:rPr>
            </w:pPr>
            <w:r>
              <w:rPr>
                <w:rFonts w:ascii="Arial" w:cs="Arial" w:eastAsia="Arial" w:hAnsi="Arial"/>
                <w:sz w:val="14"/>
                <w:szCs w:val="14"/>
                <w:color w:val="auto"/>
              </w:rPr>
              <w:t>less allowance for doubtful accounts)</w:t>
            </w: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program rights, net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292,002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148,955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440,739</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Prepaid expenses, other current assets and intercompany receivable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6,543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158,936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(57,219)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131,809</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current assets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1,419,210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594,958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(57,437)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1,963,411</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Property and equipment, net of accumulated depreciation</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175,040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71,222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246,262</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affiliates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3,656,003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1,655,083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(5,311,086)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Program rights, net</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969,802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245,862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1,214,051</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intercompany notes receivable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Deferred carriage fees, net</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15,993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16,831</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417,490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578,907</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65,282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732,755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798,037</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149,724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292,068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441,792</w:t>
            </w:r>
          </w:p>
        </w:tc>
        <w:tc>
          <w:tcPr>
            <w:tcW w:w="0" w:type="dxa"/>
            <w:vAlign w:val="bottom"/>
          </w:tcPr>
          <w:p>
            <w:pPr>
              <w:spacing w:after="0"/>
              <w:rPr>
                <w:sz w:val="1"/>
                <w:szCs w:val="1"/>
                <w:color w:val="auto"/>
              </w:rPr>
            </w:pPr>
          </w:p>
        </w:tc>
      </w:tr>
      <w:tr>
        <w:trPr>
          <w:trHeight w:val="227"/>
        </w:trPr>
        <w:tc>
          <w:tcPr>
            <w:tcW w:w="458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3,662,683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4,611,551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2,374,655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(5,370,326)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34,630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72,436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107,066</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liabilities and intercompany payable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35,189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173,836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114,943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264,918</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Current portion of program rights obligations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259,414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84,175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343,589</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20,816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55,424</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Current portion of long-term debt</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18,750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21,334</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capital lease obligations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5,090</w:t>
            </w:r>
          </w:p>
        </w:tc>
        <w:tc>
          <w:tcPr>
            <w:tcW w:w="0" w:type="dxa"/>
            <w:vAlign w:val="bottom"/>
          </w:tcPr>
          <w:p>
            <w:pPr>
              <w:spacing w:after="0"/>
              <w:rPr>
                <w:sz w:val="1"/>
                <w:szCs w:val="1"/>
                <w:color w:val="auto"/>
              </w:rPr>
            </w:pPr>
          </w:p>
        </w:tc>
      </w:tr>
      <w:tr>
        <w:trPr>
          <w:trHeight w:val="196"/>
        </w:trPr>
        <w:tc>
          <w:tcPr>
            <w:tcW w:w="4580" w:type="dxa"/>
            <w:vAlign w:val="bottom"/>
          </w:tcPr>
          <w:p>
            <w:pPr>
              <w:ind w:left="64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53,939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505,429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297,103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(59,050)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797,421</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 rights obligations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349,814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373,249</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3,088,221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3,088,221</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21,427</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Deferred tax liability, net</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140,474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4,969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145,443</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 and intercompany notes payable</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63,369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98,885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45,972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208,036</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3,346,003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955,548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391,486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(59,240)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4,633,797</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299,558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299,558</w:t>
            </w: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AMC Networks stockholders' equity</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316,680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3,656,003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1,655,083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(5,311,086)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316,680</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Non-redeemable noncontrolling interests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28,528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28,528</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316,680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3,656,003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1,683,611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(5,311,086)</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3,662,683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4,611,551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2,374,655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(5,370,326)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29" w:name="page30"/>
    <w:bookmarkEnd w:id="29"/>
    <w:p>
      <w:pPr>
        <w:jc w:val="center"/>
        <w:ind w:right="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September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474,512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246,695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718,597</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152,443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354,992</w:t>
            </w:r>
          </w:p>
        </w:tc>
        <w:tc>
          <w:tcPr>
            <w:tcW w:w="0" w:type="dxa"/>
            <w:vAlign w:val="bottom"/>
          </w:tcPr>
          <w:p>
            <w:pPr>
              <w:spacing w:after="0"/>
              <w:rPr>
                <w:sz w:val="1"/>
                <w:szCs w:val="1"/>
                <w:color w:val="auto"/>
              </w:rPr>
            </w:pPr>
          </w:p>
        </w:tc>
      </w:tr>
      <w:tr>
        <w:trPr>
          <w:trHeight w:val="197"/>
        </w:trPr>
        <w:tc>
          <w:tcPr>
            <w:tcW w:w="458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100,496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59,835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159,357</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25,619</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Restructuring and other related charges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10,180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10,191</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327,006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225,503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550,159</w:t>
            </w:r>
          </w:p>
        </w:tc>
        <w:tc>
          <w:tcPr>
            <w:tcW w:w="0" w:type="dxa"/>
            <w:vAlign w:val="bottom"/>
          </w:tcPr>
          <w:p>
            <w:pPr>
              <w:spacing w:after="0"/>
              <w:rPr>
                <w:sz w:val="1"/>
                <w:szCs w:val="1"/>
                <w:color w:val="auto"/>
              </w:rPr>
            </w:pPr>
          </w:p>
        </w:tc>
      </w:tr>
      <w:tr>
        <w:trPr>
          <w:trHeight w:val="196"/>
        </w:trPr>
        <w:tc>
          <w:tcPr>
            <w:tcW w:w="4580" w:type="dxa"/>
            <w:vAlign w:val="bottom"/>
          </w:tcPr>
          <w:p>
            <w:pPr>
              <w:ind w:left="64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147,506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21,192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168,438</w:t>
            </w: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(38,751)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3,564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(34,995)</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Share of affiliates’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159,156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(170,450)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120,128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13,978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(170,190)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(36,485)</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120,128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161,484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20,791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(170,450)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131,953</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(8,727)</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116,923</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159,156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17,597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(170,450)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123,226</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(6,303)</w:t>
            </w:r>
          </w:p>
        </w:tc>
        <w:tc>
          <w:tcPr>
            <w:tcW w:w="0" w:type="dxa"/>
            <w:vAlign w:val="bottom"/>
          </w:tcPr>
          <w:p>
            <w:pPr>
              <w:spacing w:after="0"/>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116,923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159,156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11,294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(170,450)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116,923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8"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Three Months Ended September 30,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485,737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214,150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696,875</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216,253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130,901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346,398</w:t>
            </w:r>
          </w:p>
        </w:tc>
        <w:tc>
          <w:tcPr>
            <w:tcW w:w="0" w:type="dxa"/>
            <w:vAlign w:val="bottom"/>
          </w:tcPr>
          <w:p>
            <w:pPr>
              <w:spacing w:after="0"/>
              <w:rPr>
                <w:sz w:val="1"/>
                <w:szCs w:val="1"/>
                <w:color w:val="auto"/>
              </w:rPr>
            </w:pPr>
          </w:p>
        </w:tc>
      </w:tr>
      <w:tr>
        <w:trPr>
          <w:trHeight w:val="197"/>
        </w:trPr>
        <w:tc>
          <w:tcPr>
            <w:tcW w:w="458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106,068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52,431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156,242</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22,011</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4,486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Restructuring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3,139</w:t>
            </w:r>
          </w:p>
        </w:tc>
        <w:tc>
          <w:tcPr>
            <w:tcW w:w="0" w:type="dxa"/>
            <w:vAlign w:val="bottom"/>
          </w:tcPr>
          <w:p>
            <w:pPr>
              <w:spacing w:after="0"/>
              <w:rPr>
                <w:sz w:val="1"/>
                <w:szCs w:val="1"/>
                <w:color w:val="auto"/>
              </w:rPr>
            </w:pPr>
          </w:p>
        </w:tc>
      </w:tr>
      <w:tr>
        <w:trPr>
          <w:trHeight w:val="197"/>
        </w:trPr>
        <w:tc>
          <w:tcPr>
            <w:tcW w:w="4580" w:type="dxa"/>
            <w:vAlign w:val="bottom"/>
          </w:tcPr>
          <w:p>
            <w:pPr>
              <w:ind w:left="640"/>
              <w:spacing w:after="0"/>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335,893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199,396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532,276</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149,844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164,599</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(33,035)</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187,659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37,704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(225,363)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28,651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28,762</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149,242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40,095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31,754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(225,364)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149,242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189,939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46,508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(225,363)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160,326</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(37,985)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(3,401)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(43,666)</w:t>
            </w: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111,257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187,659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43,107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(225,363)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116,660</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(5,403)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(5,403)</w:t>
            </w:r>
          </w:p>
        </w:tc>
        <w:tc>
          <w:tcPr>
            <w:tcW w:w="0" w:type="dxa"/>
            <w:vAlign w:val="bottom"/>
          </w:tcPr>
          <w:p>
            <w:pPr>
              <w:spacing w:after="0"/>
              <w:rPr>
                <w:sz w:val="1"/>
                <w:szCs w:val="1"/>
                <w:color w:val="auto"/>
              </w:rPr>
            </w:pPr>
          </w:p>
        </w:tc>
      </w:tr>
      <w:tr>
        <w:trPr>
          <w:trHeight w:val="22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111,257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187,659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37,704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(225,363)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111,257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30" w:name="page31"/>
    <w:bookmarkEnd w:id="30"/>
    <w:p>
      <w:pPr>
        <w:jc w:val="center"/>
        <w:ind w:right="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60" w:type="dxa"/>
            <w:vAlign w:val="bottom"/>
          </w:tcPr>
          <w:p>
            <w:pPr>
              <w:spacing w:after="0"/>
              <w:rPr>
                <w:sz w:val="14"/>
                <w:szCs w:val="14"/>
                <w:color w:val="auto"/>
              </w:rPr>
            </w:pP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1,565,851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720,274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2,275,117</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657,992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426,308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1,080,763</w:t>
            </w:r>
          </w:p>
        </w:tc>
        <w:tc>
          <w:tcPr>
            <w:tcW w:w="0" w:type="dxa"/>
            <w:vAlign w:val="bottom"/>
          </w:tcPr>
          <w:p>
            <w:pPr>
              <w:spacing w:after="0"/>
              <w:rPr>
                <w:sz w:val="1"/>
                <w:szCs w:val="1"/>
                <w:color w:val="auto"/>
              </w:rPr>
            </w:pPr>
          </w:p>
        </w:tc>
      </w:tr>
      <w:tr>
        <w:trPr>
          <w:trHeight w:val="197"/>
        </w:trPr>
        <w:tc>
          <w:tcPr>
            <w:tcW w:w="458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321,524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191,005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(7,296)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505,233</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37,529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38,039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75,568</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Restructuring and other related charges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26,472</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29,995</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1,043,517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658,875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(10,833)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1,691,559</w:t>
            </w:r>
          </w:p>
        </w:tc>
        <w:tc>
          <w:tcPr>
            <w:tcW w:w="0" w:type="dxa"/>
            <w:vAlign w:val="bottom"/>
          </w:tcPr>
          <w:p>
            <w:pPr>
              <w:spacing w:after="0"/>
              <w:rPr>
                <w:sz w:val="1"/>
                <w:szCs w:val="1"/>
                <w:color w:val="auto"/>
              </w:rPr>
            </w:pPr>
          </w:p>
        </w:tc>
      </w:tr>
      <w:tr>
        <w:trPr>
          <w:trHeight w:val="196"/>
        </w:trPr>
        <w:tc>
          <w:tcPr>
            <w:tcW w:w="4580" w:type="dxa"/>
            <w:vAlign w:val="bottom"/>
          </w:tcPr>
          <w:p>
            <w:pPr>
              <w:ind w:left="660"/>
              <w:spacing w:after="0"/>
              <w:rPr>
                <w:sz w:val="20"/>
                <w:szCs w:val="20"/>
                <w:color w:val="auto"/>
              </w:rPr>
            </w:pPr>
            <w:r>
              <w:rPr>
                <w:rFonts w:ascii="Arial" w:cs="Arial" w:eastAsia="Arial" w:hAnsi="Arial"/>
                <w:sz w:val="14"/>
                <w:szCs w:val="14"/>
                <w:color w:val="auto"/>
              </w:rPr>
              <w:t>Operating income</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522,334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61,399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583,558</w:t>
            </w: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(116,708)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10,470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(105,411)</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Share of affiliates’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545,540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(565,357)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(16,972)</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428,415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30,216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(565,182)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(122,383)</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428,415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552,550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45,567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(565,357)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461,175</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(53,807)</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389,063</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545,540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38,122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(565,357)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407,368</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(18,305)</w:t>
            </w:r>
          </w:p>
        </w:tc>
        <w:tc>
          <w:tcPr>
            <w:tcW w:w="0" w:type="dxa"/>
            <w:vAlign w:val="bottom"/>
          </w:tcPr>
          <w:p>
            <w:pPr>
              <w:spacing w:after="0"/>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389,063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545,540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19,817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(565,357)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389,063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31" w:name="page32"/>
    <w:bookmarkEnd w:id="31"/>
    <w:p>
      <w:pPr>
        <w:jc w:val="center"/>
        <w:ind w:right="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 2018</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Parent Company</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1,609,916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600,542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2,199,083</w:t>
            </w:r>
          </w:p>
        </w:tc>
        <w:tc>
          <w:tcPr>
            <w:tcW w:w="0" w:type="dxa"/>
            <w:vAlign w:val="bottom"/>
          </w:tcPr>
          <w:p>
            <w:pPr>
              <w:spacing w:after="0"/>
              <w:rPr>
                <w:sz w:val="1"/>
                <w:szCs w:val="1"/>
                <w:color w:val="auto"/>
              </w:rPr>
            </w:pPr>
          </w:p>
        </w:tc>
      </w:tr>
      <w:tr>
        <w:trPr>
          <w:trHeight w:val="177"/>
        </w:trPr>
        <w:tc>
          <w:tcPr>
            <w:tcW w:w="45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687,055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359,165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1,043,572</w:t>
            </w:r>
          </w:p>
        </w:tc>
        <w:tc>
          <w:tcPr>
            <w:tcW w:w="0" w:type="dxa"/>
            <w:vAlign w:val="bottom"/>
          </w:tcPr>
          <w:p>
            <w:pPr>
              <w:spacing w:after="0"/>
              <w:rPr>
                <w:sz w:val="1"/>
                <w:szCs w:val="1"/>
                <w:color w:val="auto"/>
              </w:rPr>
            </w:pPr>
          </w:p>
        </w:tc>
      </w:tr>
      <w:tr>
        <w:trPr>
          <w:trHeight w:val="197"/>
        </w:trPr>
        <w:tc>
          <w:tcPr>
            <w:tcW w:w="4560" w:type="dxa"/>
            <w:vAlign w:val="bottom"/>
          </w:tcPr>
          <w:p>
            <w:pPr>
              <w:ind w:left="34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348,590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68"/>
              <w:spacing w:after="0"/>
              <w:rPr>
                <w:sz w:val="20"/>
                <w:szCs w:val="20"/>
                <w:color w:val="auto"/>
              </w:rPr>
            </w:pPr>
            <w:r>
              <w:rPr>
                <w:rFonts w:ascii="Arial" w:cs="Arial" w:eastAsia="Arial" w:hAnsi="Arial"/>
                <w:sz w:val="14"/>
                <w:szCs w:val="14"/>
                <w:color w:val="auto"/>
              </w:rPr>
              <w:t>154,206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(8,729)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494,067</w:t>
            </w: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64,034</w:t>
            </w:r>
          </w:p>
        </w:tc>
        <w:tc>
          <w:tcPr>
            <w:tcW w:w="0" w:type="dxa"/>
            <w:vAlign w:val="bottom"/>
          </w:tcPr>
          <w:p>
            <w:pPr>
              <w:spacing w:after="0"/>
              <w:rPr>
                <w:sz w:val="1"/>
                <w:szCs w:val="1"/>
                <w:color w:val="auto"/>
              </w:rPr>
            </w:pPr>
          </w:p>
        </w:tc>
      </w:tr>
      <w:tr>
        <w:trPr>
          <w:trHeight w:val="197"/>
        </w:trPr>
        <w:tc>
          <w:tcPr>
            <w:tcW w:w="4560" w:type="dxa"/>
            <w:vAlign w:val="bottom"/>
          </w:tcPr>
          <w:p>
            <w:pPr>
              <w:ind w:left="32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4,486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4,486</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2,275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3,139</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1,071,196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549,479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1,609,298</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538,720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51,063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589,785</w:t>
            </w:r>
          </w:p>
        </w:tc>
        <w:tc>
          <w:tcPr>
            <w:tcW w:w="0" w:type="dxa"/>
            <w:vAlign w:val="bottom"/>
          </w:tcPr>
          <w:p>
            <w:pPr>
              <w:spacing w:after="0"/>
              <w:rPr>
                <w:sz w:val="1"/>
                <w:szCs w:val="1"/>
                <w:color w:val="auto"/>
              </w:rPr>
            </w:pPr>
          </w:p>
        </w:tc>
      </w:tr>
      <w:tr>
        <w:trPr>
          <w:trHeight w:val="177"/>
        </w:trPr>
        <w:tc>
          <w:tcPr>
            <w:tcW w:w="45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(113,057)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(100,154)</w:t>
            </w:r>
          </w:p>
        </w:tc>
        <w:tc>
          <w:tcPr>
            <w:tcW w:w="0" w:type="dxa"/>
            <w:vAlign w:val="bottom"/>
          </w:tcPr>
          <w:p>
            <w:pPr>
              <w:spacing w:after="0"/>
              <w:rPr>
                <w:sz w:val="1"/>
                <w:szCs w:val="1"/>
                <w:color w:val="auto"/>
              </w:rPr>
            </w:pPr>
          </w:p>
        </w:tc>
      </w:tr>
      <w:tr>
        <w:trPr>
          <w:trHeight w:val="197"/>
        </w:trPr>
        <w:tc>
          <w:tcPr>
            <w:tcW w:w="4560" w:type="dxa"/>
            <w:vAlign w:val="bottom"/>
          </w:tcPr>
          <w:p>
            <w:pPr>
              <w:ind w:left="32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607,374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51,010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(658,384)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32,596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30,989</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494,269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75,243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19,709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(658,386)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(69,165)</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494,269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613,963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70,772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(658,384)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520,620</w:t>
            </w:r>
          </w:p>
        </w:tc>
        <w:tc>
          <w:tcPr>
            <w:tcW w:w="0" w:type="dxa"/>
            <w:vAlign w:val="bottom"/>
          </w:tcPr>
          <w:p>
            <w:pPr>
              <w:spacing w:after="0"/>
              <w:rPr>
                <w:sz w:val="1"/>
                <w:szCs w:val="1"/>
                <w:color w:val="auto"/>
              </w:rPr>
            </w:pPr>
          </w:p>
        </w:tc>
      </w:tr>
      <w:tr>
        <w:trPr>
          <w:trHeight w:val="197"/>
        </w:trPr>
        <w:tc>
          <w:tcPr>
            <w:tcW w:w="4560" w:type="dxa"/>
            <w:vAlign w:val="bottom"/>
          </w:tcPr>
          <w:p>
            <w:pPr>
              <w:ind w:left="32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(119,961)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(6,542)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(133,092)</w:t>
            </w:r>
          </w:p>
        </w:tc>
        <w:tc>
          <w:tcPr>
            <w:tcW w:w="0" w:type="dxa"/>
            <w:vAlign w:val="bottom"/>
          </w:tcPr>
          <w:p>
            <w:pPr>
              <w:spacing w:after="0"/>
              <w:rPr>
                <w:sz w:val="1"/>
                <w:szCs w:val="1"/>
                <w:color w:val="auto"/>
              </w:rPr>
            </w:pPr>
          </w:p>
        </w:tc>
      </w:tr>
      <w:tr>
        <w:trPr>
          <w:trHeight w:val="202"/>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374,308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607,374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64,230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(658,384)</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387,528</w:t>
            </w: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(13,220)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(13,220)</w:t>
            </w:r>
          </w:p>
        </w:tc>
        <w:tc>
          <w:tcPr>
            <w:tcW w:w="0" w:type="dxa"/>
            <w:vAlign w:val="bottom"/>
          </w:tcPr>
          <w:p>
            <w:pPr>
              <w:spacing w:after="0"/>
              <w:rPr>
                <w:sz w:val="1"/>
                <w:szCs w:val="1"/>
                <w:color w:val="auto"/>
              </w:rPr>
            </w:pPr>
          </w:p>
        </w:tc>
      </w:tr>
      <w:tr>
        <w:trPr>
          <w:trHeight w:val="227"/>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374,308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607,374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51,010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(658,384)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374,308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September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116,923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159,156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17,597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(170,450)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123,226</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(33,281)</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Other comprehensive (loss) income, before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(33,468)</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Income tax benefit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335</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33,281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(33,133)</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83,790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159,156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(15,684)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(137,169)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90,093</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(5,217)</w:t>
            </w:r>
          </w:p>
        </w:tc>
        <w:tc>
          <w:tcPr>
            <w:tcW w:w="0" w:type="dxa"/>
            <w:vAlign w:val="bottom"/>
          </w:tcPr>
          <w:p>
            <w:pPr>
              <w:spacing w:after="0"/>
              <w:rPr>
                <w:sz w:val="1"/>
                <w:szCs w:val="1"/>
                <w:color w:val="auto"/>
              </w:rPr>
            </w:pPr>
          </w:p>
        </w:tc>
      </w:tr>
      <w:tr>
        <w:trPr>
          <w:trHeight w:val="202"/>
        </w:trPr>
        <w:tc>
          <w:tcPr>
            <w:tcW w:w="4580" w:type="dxa"/>
            <w:vAlign w:val="bottom"/>
          </w:tcPr>
          <w:p>
            <w:pPr>
              <w:ind w:left="160"/>
              <w:spacing w:after="0"/>
              <w:rPr>
                <w:sz w:val="20"/>
                <w:szCs w:val="20"/>
                <w:color w:val="auto"/>
              </w:rPr>
            </w:pPr>
            <w:r>
              <w:rPr>
                <w:rFonts w:ascii="Arial" w:cs="Arial" w:eastAsia="Arial" w:hAnsi="Arial"/>
                <w:sz w:val="14"/>
                <w:szCs w:val="14"/>
                <w:color w:val="auto"/>
                <w:w w:val="96"/>
              </w:rPr>
              <w:t>Comprehensive income (loss)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83,790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159,156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(20,901)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(137,169)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84,876</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32" w:name="page33"/>
    <w:bookmarkEnd w:id="32"/>
    <w:p>
      <w:pPr>
        <w:jc w:val="center"/>
        <w:ind w:right="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 September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Parent Company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111,257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187,659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43,107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(225,363)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116,660</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64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(6,094)</w:t>
            </w: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(6,094)</w:t>
            </w: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6,094</w:t>
            </w: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196"/>
        </w:trPr>
        <w:tc>
          <w:tcPr>
            <w:tcW w:w="4580" w:type="dxa"/>
            <w:vAlign w:val="bottom"/>
          </w:tcPr>
          <w:p>
            <w:pPr>
              <w:ind w:left="34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(6,094)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ind w:left="640"/>
              <w:spacing w:after="0"/>
              <w:rPr>
                <w:sz w:val="20"/>
                <w:szCs w:val="20"/>
                <w:color w:val="auto"/>
              </w:rPr>
            </w:pPr>
            <w:r>
              <w:rPr>
                <w:rFonts w:ascii="Arial" w:cs="Arial" w:eastAsia="Arial" w:hAnsi="Arial"/>
                <w:sz w:val="14"/>
                <w:szCs w:val="14"/>
                <w:color w:val="auto"/>
              </w:rPr>
              <w:t>(6,094)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6,094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187,659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37,013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110,566</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ind w:left="640"/>
              <w:spacing w:after="0"/>
              <w:rPr>
                <w:sz w:val="20"/>
                <w:szCs w:val="20"/>
                <w:color w:val="auto"/>
              </w:rPr>
            </w:pPr>
            <w:r>
              <w:rPr>
                <w:rFonts w:ascii="Arial" w:cs="Arial" w:eastAsia="Arial" w:hAnsi="Arial"/>
                <w:sz w:val="14"/>
                <w:szCs w:val="14"/>
                <w:color w:val="auto"/>
              </w:rPr>
              <w:t>(5,218)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(5,218)</w:t>
            </w:r>
          </w:p>
        </w:tc>
        <w:tc>
          <w:tcPr>
            <w:tcW w:w="0" w:type="dxa"/>
            <w:vAlign w:val="bottom"/>
          </w:tcPr>
          <w:p>
            <w:pPr>
              <w:spacing w:after="0"/>
              <w:rPr>
                <w:sz w:val="1"/>
                <w:szCs w:val="1"/>
                <w:color w:val="auto"/>
              </w:rPr>
            </w:pPr>
          </w:p>
        </w:tc>
      </w:tr>
      <w:tr>
        <w:trPr>
          <w:trHeight w:val="22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105,163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187,659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31,795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(219,269)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105,348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389,063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545,540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38,122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(565,357)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407,368</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(38,490)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38,490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(38,490)</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comprehensive loss, before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(40,566)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(38,490)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38,490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(40,566)</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640"/>
              <w:spacing w:after="0"/>
              <w:rPr>
                <w:sz w:val="20"/>
                <w:szCs w:val="20"/>
                <w:color w:val="auto"/>
              </w:rPr>
            </w:pPr>
            <w:r>
              <w:rPr>
                <w:rFonts w:ascii="Arial" w:cs="Arial" w:eastAsia="Arial" w:hAnsi="Arial"/>
                <w:sz w:val="14"/>
                <w:szCs w:val="14"/>
                <w:color w:val="auto"/>
              </w:rPr>
              <w:t>Income tax benefit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comprehensive loss, net of income taxes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(40,083)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(38,490)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38,490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(40,083)</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348,980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67"/>
              <w:spacing w:after="0"/>
              <w:rPr>
                <w:sz w:val="20"/>
                <w:szCs w:val="20"/>
                <w:color w:val="auto"/>
              </w:rPr>
            </w:pPr>
            <w:r>
              <w:rPr>
                <w:rFonts w:ascii="Arial" w:cs="Arial" w:eastAsia="Arial" w:hAnsi="Arial"/>
                <w:sz w:val="14"/>
                <w:szCs w:val="14"/>
                <w:color w:val="auto"/>
              </w:rPr>
              <w:t>545,540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
              <w:spacing w:after="0"/>
              <w:rPr>
                <w:sz w:val="20"/>
                <w:szCs w:val="20"/>
                <w:color w:val="auto"/>
              </w:rPr>
            </w:pPr>
            <w:r>
              <w:rPr>
                <w:rFonts w:ascii="Arial" w:cs="Arial" w:eastAsia="Arial" w:hAnsi="Arial"/>
                <w:sz w:val="14"/>
                <w:szCs w:val="14"/>
                <w:color w:val="auto"/>
              </w:rPr>
              <w:t>(526,867)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367,285</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(17,048)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(17,048)</w:t>
            </w:r>
          </w:p>
        </w:tc>
        <w:tc>
          <w:tcPr>
            <w:tcW w:w="0" w:type="dxa"/>
            <w:vAlign w:val="bottom"/>
          </w:tcPr>
          <w:p>
            <w:pPr>
              <w:spacing w:after="0"/>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w w:val="99"/>
              </w:rPr>
              <w:t>Comprehensive income (loss)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348,980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4"/>
                <w:szCs w:val="14"/>
                <w:color w:val="auto"/>
              </w:rPr>
              <w:t>545,540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4"/>
                <w:szCs w:val="14"/>
                <w:color w:val="auto"/>
              </w:rPr>
              <w:t>(17,416)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(526,867)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350,237</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8700" w:type="dxa"/>
            <w:vAlign w:val="bottom"/>
            <w:gridSpan w:val="10"/>
          </w:tcPr>
          <w:p>
            <w:pPr>
              <w:ind w:left="3260"/>
              <w:spacing w:after="0"/>
              <w:rPr>
                <w:sz w:val="20"/>
                <w:szCs w:val="20"/>
                <w:color w:val="auto"/>
              </w:rPr>
            </w:pPr>
            <w:r>
              <w:rPr>
                <w:rFonts w:ascii="Arial" w:cs="Arial" w:eastAsia="Arial" w:hAnsi="Arial"/>
                <w:sz w:val="18"/>
                <w:szCs w:val="18"/>
                <w:b w:val="1"/>
                <w:bCs w:val="1"/>
                <w:color w:val="auto"/>
                <w:w w:val="99"/>
              </w:rPr>
              <w:t>Condensed Consolidating Statement of Comprehensive Income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20" w:type="dxa"/>
            <w:vAlign w:val="bottom"/>
            <w:gridSpan w:val="7"/>
          </w:tcPr>
          <w:p>
            <w:pPr>
              <w:ind w:left="4120"/>
              <w:spacing w:after="0"/>
              <w:rPr>
                <w:sz w:val="20"/>
                <w:szCs w:val="20"/>
                <w:color w:val="auto"/>
              </w:rPr>
            </w:pPr>
            <w:r>
              <w:rPr>
                <w:rFonts w:ascii="Arial" w:cs="Arial" w:eastAsia="Arial" w:hAnsi="Arial"/>
                <w:sz w:val="18"/>
                <w:szCs w:val="18"/>
                <w:b w:val="1"/>
                <w:bCs w:val="1"/>
                <w:color w:val="auto"/>
                <w:w w:val="93"/>
              </w:rPr>
              <w:t>Nine Months Ended September 30, 2018</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5"/>
                <w:szCs w:val="15"/>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5"/>
                <w:szCs w:val="15"/>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374,308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607,374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64,230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(658,384)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387,528</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(32,679)</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(32,679)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32,679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(32,679)</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(32,679)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(32,679)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32,679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(32,679)</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341,629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87"/>
              <w:spacing w:after="0"/>
              <w:rPr>
                <w:sz w:val="20"/>
                <w:szCs w:val="20"/>
                <w:color w:val="auto"/>
              </w:rPr>
            </w:pPr>
            <w:r>
              <w:rPr>
                <w:rFonts w:ascii="Arial" w:cs="Arial" w:eastAsia="Arial" w:hAnsi="Arial"/>
                <w:sz w:val="14"/>
                <w:szCs w:val="14"/>
                <w:color w:val="auto"/>
              </w:rPr>
              <w:t>607,374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31,551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(625,705)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354,849</w:t>
            </w: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27"/>
              <w:spacing w:after="0"/>
              <w:rPr>
                <w:sz w:val="20"/>
                <w:szCs w:val="20"/>
                <w:color w:val="auto"/>
              </w:rPr>
            </w:pPr>
            <w:r>
              <w:rPr>
                <w:rFonts w:ascii="Arial" w:cs="Arial" w:eastAsia="Arial" w:hAnsi="Arial"/>
                <w:sz w:val="14"/>
                <w:szCs w:val="14"/>
                <w:color w:val="auto"/>
              </w:rPr>
              <w:t>(11,954)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(11,954)</w:t>
            </w:r>
          </w:p>
        </w:tc>
        <w:tc>
          <w:tcPr>
            <w:tcW w:w="0" w:type="dxa"/>
            <w:vAlign w:val="bottom"/>
          </w:tcPr>
          <w:p>
            <w:pPr>
              <w:spacing w:after="0"/>
              <w:rPr>
                <w:sz w:val="1"/>
                <w:szCs w:val="1"/>
                <w:color w:val="auto"/>
              </w:rPr>
            </w:pPr>
          </w:p>
        </w:tc>
      </w:tr>
      <w:tr>
        <w:trPr>
          <w:trHeight w:val="227"/>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341,629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607,374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19,597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(625,705)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342,895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33" w:name="page34"/>
    <w:bookmarkEnd w:id="33"/>
    <w:p>
      <w:pPr>
        <w:jc w:val="center"/>
        <w:ind w:right="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183,552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599,576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199,082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(581,813)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400,397</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(62,741)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(6,355)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(69,096)</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9,232</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(255,160)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(39,259)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294,419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(255,160)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(100,646)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294,419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(59,864)</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1,521</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Repayment of long-term debt</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(9,375)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(12,613)</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(23,019)</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(70,598)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(70,598)</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Principal payments on finance lease obligations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(4,059)</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(13,545)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(13,545)</w:t>
            </w:r>
          </w:p>
        </w:tc>
        <w:tc>
          <w:tcPr>
            <w:tcW w:w="0" w:type="dxa"/>
            <w:vAlign w:val="bottom"/>
          </w:tcPr>
          <w:p>
            <w:pPr>
              <w:spacing w:after="0"/>
              <w:rPr>
                <w:sz w:val="1"/>
                <w:szCs w:val="1"/>
                <w:color w:val="auto"/>
              </w:rPr>
            </w:pPr>
          </w:p>
        </w:tc>
      </w:tr>
      <w:tr>
        <w:trPr>
          <w:trHeight w:val="196"/>
        </w:trPr>
        <w:tc>
          <w:tcPr>
            <w:tcW w:w="4580" w:type="dxa"/>
            <w:vAlign w:val="bottom"/>
          </w:tcPr>
          <w:p>
            <w:pPr>
              <w:ind w:left="52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(98,362)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(16,845)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(117,683)</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(169,970)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496,454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183,760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(287,394)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222,850</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170,286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(311,952)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(150,078)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287,394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(4,350)</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368,151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186,614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552,653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220,296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773,386</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34" w:name="page35"/>
    <w:bookmarkEnd w:id="34"/>
    <w:p>
      <w:pPr>
        <w:jc w:val="center"/>
        <w:ind w:right="20"/>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426,876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1,180,996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(477,659)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(658,401)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471,812</w:t>
            </w:r>
          </w:p>
        </w:tc>
        <w:tc>
          <w:tcPr>
            <w:tcW w:w="0" w:type="dxa"/>
            <w:vAlign w:val="bottom"/>
          </w:tcPr>
          <w:p>
            <w:pPr>
              <w:spacing w:after="0"/>
              <w:rPr>
                <w:sz w:val="1"/>
                <w:szCs w:val="1"/>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(51,695)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(9,079)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(60,774)</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Investment in investees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(90,080)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(90,080)</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Payments for acquisition of a business, net of cash acquired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(35,554)</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(129,968)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(1,798,987)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1,040,871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888,084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(129,968)</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(1,851,357)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907,356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888,084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(185,885)</w:t>
            </w:r>
          </w:p>
        </w:tc>
        <w:tc>
          <w:tcPr>
            <w:tcW w:w="0" w:type="dxa"/>
            <w:vAlign w:val="bottom"/>
          </w:tcPr>
          <w:p>
            <w:pPr>
              <w:spacing w:after="0"/>
              <w:rPr>
                <w:sz w:val="1"/>
                <w:szCs w:val="1"/>
                <w:color w:val="auto"/>
              </w:rPr>
            </w:pPr>
          </w:p>
        </w:tc>
      </w:tr>
      <w:tr>
        <w:trPr>
          <w:trHeight w:val="177"/>
        </w:trPr>
        <w:tc>
          <w:tcPr>
            <w:tcW w:w="458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(15,734)</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(267,400)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(267,400)</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197"/>
        </w:trPr>
        <w:tc>
          <w:tcPr>
            <w:tcW w:w="4580" w:type="dxa"/>
            <w:vAlign w:val="bottom"/>
          </w:tcPr>
          <w:p>
            <w:pPr>
              <w:ind w:left="32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(3,878)</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(9,333)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(9,333)</w:t>
            </w:r>
          </w:p>
        </w:tc>
        <w:tc>
          <w:tcPr>
            <w:tcW w:w="0" w:type="dxa"/>
            <w:vAlign w:val="bottom"/>
          </w:tcPr>
          <w:p>
            <w:pPr>
              <w:spacing w:after="0"/>
              <w:rPr>
                <w:sz w:val="1"/>
                <w:szCs w:val="1"/>
                <w:color w:val="auto"/>
              </w:rPr>
            </w:pPr>
          </w:p>
        </w:tc>
      </w:tr>
      <w:tr>
        <w:trPr>
          <w:trHeight w:val="196"/>
        </w:trPr>
        <w:tc>
          <w:tcPr>
            <w:tcW w:w="4580" w:type="dxa"/>
            <w:vAlign w:val="bottom"/>
          </w:tcPr>
          <w:p>
            <w:pPr>
              <w:ind w:left="52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(278,817)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(10,988)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(292,028)</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18,091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(672,584)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418,709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229,683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(6,101)</w:t>
            </w:r>
          </w:p>
        </w:tc>
        <w:tc>
          <w:tcPr>
            <w:tcW w:w="0" w:type="dxa"/>
            <w:vAlign w:val="bottom"/>
          </w:tcPr>
          <w:p>
            <w:pPr>
              <w:spacing w:after="0"/>
              <w:rPr>
                <w:sz w:val="1"/>
                <w:szCs w:val="1"/>
                <w:color w:val="auto"/>
              </w:rPr>
            </w:pPr>
          </w:p>
        </w:tc>
      </w:tr>
      <w:tr>
        <w:trPr>
          <w:trHeight w:val="19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6,716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641,460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(406,458)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(229,683)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12,035</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391,248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25,127</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360,124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179,466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564,717</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80" w:top="125"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59"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right="48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new and proposed federal, state and international laws and regulations relating to data protection, privacy and security, including the E.U. General Data Protection Regulation;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Brexit, particularly in the event of the U.K.'s departure from the E.U. without an agreement on terms;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50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620" w:hanging="326"/>
        <w:spacing w:after="0" w:line="298"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74" w:lineRule="exact"/>
        <w:rPr>
          <w:rFonts w:ascii="Arial" w:cs="Arial" w:eastAsia="Arial" w:hAnsi="Arial"/>
          <w:sz w:val="17"/>
          <w:szCs w:val="17"/>
          <w:color w:val="auto"/>
        </w:rPr>
      </w:pPr>
    </w:p>
    <w:p>
      <w:pPr>
        <w:ind w:left="820" w:hanging="326"/>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36" w:name="page37"/>
    <w:bookmarkEnd w:id="36"/>
    <w:p>
      <w:pPr>
        <w:ind w:left="820" w:right="40" w:hanging="326"/>
        <w:spacing w:after="0" w:line="277" w:lineRule="auto"/>
        <w:tabs>
          <w:tab w:leader="none" w:pos="8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2018 Annual Report on Form 10-K (the "2018 Form 10-K"), as filed with the Securities and Exchange Commission ("SEC").</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2018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8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6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to the three and nine months ended September 30, 2018. Our discussion is presented on both a consolidated and operating segment basis. Our two operating segments are: (i) National Networks and (ii) International and Other.</w:t>
      </w:r>
    </w:p>
    <w:p>
      <w:pPr>
        <w:spacing w:after="0" w:line="73"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September 30, 2019,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nine months ended September 30, 2019 and 2018. The discussion of our financial condition and liquidity includes summaries of (i) our primary sources of liquidity and (ii) our contractual obligations that existed at September 30, 2019 as compared to December 31, 2018.</w:t>
      </w:r>
    </w:p>
    <w:p>
      <w:pPr>
        <w:spacing w:after="0" w:line="5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302" w:lineRule="auto"/>
        <w:tabs>
          <w:tab w:leader="none" w:pos="655"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46" w:lineRule="exact"/>
        <w:rPr>
          <w:rFonts w:ascii="Arial" w:cs="Arial" w:eastAsia="Arial" w:hAnsi="Arial"/>
          <w:sz w:val="16"/>
          <w:szCs w:val="16"/>
          <w:i w:val="1"/>
          <w:iCs w:val="1"/>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 Networks International (AMCNI), the Company's international programming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portfolio of channels around the world; Global Direct to Consumer consisting of the Company's subscription streaming services Acorn TV, Shudder, Sundance Now and UMC (Urban Movie Channel); Levity Entertainment Group, our production services and comedy venues company; and IFC Films, the Company's independent film distribution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8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6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7"/>
              </w:rPr>
              <w:t>Nine Months Ended September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452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5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 net</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558,992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560,321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1,779,850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1,820,638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182,839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151,772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533,454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409,873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(23,234)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(15,218)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(38,187)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(31,428)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718,597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696,875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2,275,117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2,199,083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520" w:type="dxa"/>
            <w:vAlign w:val="bottom"/>
            <w:tcBorders>
              <w:top w:val="single" w:sz="8" w:color="CCEEFF"/>
              <w:bottom w:val="single" w:sz="8" w:color="CCEEFF"/>
            </w:tcBorders>
            <w:gridSpan w:val="4"/>
            <w:vMerge w:val="restart"/>
          </w:tcPr>
          <w:p>
            <w:pPr>
              <w:spacing w:after="0" w:line="189" w:lineRule="exact"/>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45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182,479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188,107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648,180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647,965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(11,501)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(52,532)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(44,899)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Consolidated 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168,438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164,599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583,558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589,785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5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AOI</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208,410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210,417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721,569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715,970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13,465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gridSpan w:val="4"/>
          </w:tcPr>
          <w:p>
            <w:pPr>
              <w:spacing w:after="0"/>
              <w:rPr>
                <w:sz w:val="20"/>
                <w:szCs w:val="20"/>
                <w:color w:val="auto"/>
              </w:rPr>
            </w:pPr>
            <w:r>
              <w:rPr>
                <w:rFonts w:ascii="Arial" w:cs="Arial" w:eastAsia="Arial" w:hAnsi="Arial"/>
                <w:sz w:val="18"/>
                <w:szCs w:val="18"/>
                <w:color w:val="auto"/>
              </w:rPr>
              <w:t>Inter-segment eliminations</w:t>
            </w:r>
          </w:p>
        </w:tc>
        <w:tc>
          <w:tcPr>
            <w:tcW w:w="28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(12,786)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(13,281)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45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AOI</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219,335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211,169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744,020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713,450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restructuring and other related charges, and the Company's proportionate share of adjusted operating income (loss) from majority-owned equity method investees.</w:t>
      </w:r>
    </w:p>
    <w:p>
      <w:pPr>
        <w:spacing w:after="0" w:line="80"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6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33"/>
        </w:trPr>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168,438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164,599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583,558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589,785</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13,841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16,934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50,465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52,006</w:t>
            </w:r>
          </w:p>
        </w:tc>
      </w:tr>
      <w:tr>
        <w:trPr>
          <w:trHeight w:val="27"/>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10,191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29,995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3,139</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Impairment and related charges</w:t>
            </w:r>
          </w:p>
        </w:tc>
        <w:tc>
          <w:tcPr>
            <w:tcW w:w="28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4,486</w:t>
            </w:r>
          </w:p>
        </w:tc>
      </w:tr>
      <w:tr>
        <w:trPr>
          <w:trHeight w:val="27"/>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25,619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75,568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64,034</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219,335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211,169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744,020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713,450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b w:val="1"/>
          <w:bCs w:val="1"/>
          <w:i w:val="1"/>
          <w:iCs w:val="1"/>
          <w:color w:val="auto"/>
        </w:rPr>
        <w:t>Items Impacting Comparability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RLJ Entertainment, Inc.</w:t>
      </w:r>
    </w:p>
    <w:p>
      <w:pPr>
        <w:spacing w:after="0" w:line="11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October 2018, we acquired a controlling interest in RLJ Entertainment, Inc. ("RLJE"), a premium subscription streaming services company that operates Acorn TV and UMC (Urban Movie Channel). The operating results of RLJE are included in our International and Other segment in the consolidated statements of income from the acquisition date through September 30, 2019.</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Levity Entertainment Group LLC</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April 2018, we acquired a controlling interest in Levity Entertainment Group LLC ("Levity"), a production services and comedy venues company. The operating results of Levity are included in our International and Other segment in the consolidated statements of income from the acquisition date through September 30, 2019.</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117"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In our National Networks segment, we earn revenue principally from the distribution of our programming and the sale of advertising. Distribution revenue primarily includes subscription fees paid by distributors to carry our programming networks and content licensing revenue from the licensing of original programming for digital, foreign and home video distribution. Subscription fees paid by distributors represent the largest component of distribution revenue.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Content licensing revenue from the licensing of original programming for digital and foreign distribution is recognized upon availability or distribution by the licensee.</w:t>
      </w:r>
    </w:p>
    <w:p>
      <w:pPr>
        <w:spacing w:after="0" w:line="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7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In recent years, we have introduced a number of scripted original series. These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 Program rights write-offs, included in technical and operating expense, were $1.3 million and $11.4 million for the three months ended September 30, 2019 and September 30, 2018, respectively. Program rights write-offs, included in technical and operating expense, were $14.7 million and $19.8 million for the nine months ended September 30, 2019 and September 30, 2018, respectively.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Global Direct to Consumer, Levity, and IFC Films.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39" w:name="page40"/>
    <w:bookmarkEnd w:id="39"/>
    <w:p>
      <w:pPr>
        <w:jc w:val="both"/>
        <w:ind w:firstLine="446"/>
        <w:spacing w:after="0" w:line="269" w:lineRule="auto"/>
        <w:rPr>
          <w:sz w:val="20"/>
          <w:szCs w:val="20"/>
          <w:color w:val="auto"/>
        </w:rPr>
      </w:pPr>
      <w:r>
        <w:rPr>
          <w:rFonts w:ascii="Arial" w:cs="Arial" w:eastAsia="Arial" w:hAnsi="Arial"/>
          <w:sz w:val="17"/>
          <w:szCs w:val="17"/>
          <w:color w:val="auto"/>
        </w:rPr>
        <w:t>In our International and Other segment, we earn revenue principally from the international distribution of programming and, to a lesser extent, the sale of advertising from our AMCNI programming networks. We also earn revenue from; (i) production services from Levity, (ii) our subscription streaming services Acorn TV, Shudder, Sundance Now and UMC (Urban Movie Channel) from our Global Direct to Consumer business, (iii) the distribution of content of IFC Films and RLJE, and (iv) Levity's operation of comedy venues. Distribution revenue primarily includes subscription fees paid by distributors or consumers to carry our programming networks or subscription-based streaming services and production services revenue generated from Levity. Our subscription revenues are generally based on either a per-subscriber fee or a fixed contractual annual fee, under multi-year affiliation agreements, which may provide for annual rate increases, and a monthly fee paid by consumers for our subscription-based streaming services.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 as well as from our owned subscription streaming services available in the United States, Canada, Latin America, parts of Europe, India, Australia and New Zealand.</w:t>
      </w:r>
    </w:p>
    <w:p>
      <w:pPr>
        <w:spacing w:after="0" w:line="7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Programming expense, program operating costs and production costs incurred to produce content for third parties are included in technical and operating expense, and represent the largest expense of the International and Other segment. Programming expense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70"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79" w:lineRule="exact"/>
        <w:rPr>
          <w:sz w:val="20"/>
          <w:szCs w:val="20"/>
          <w:color w:val="auto"/>
        </w:rPr>
      </w:pPr>
    </w:p>
    <w:p>
      <w:pPr>
        <w:jc w:val="right"/>
        <w:ind w:right="4200"/>
        <w:spacing w:after="0" w:line="452" w:lineRule="auto"/>
        <w:rPr>
          <w:sz w:val="20"/>
          <w:szCs w:val="20"/>
          <w:color w:val="auto"/>
        </w:rPr>
      </w:pPr>
      <w:r>
        <w:rPr>
          <w:rFonts w:ascii="Arial" w:cs="Arial" w:eastAsia="Arial" w:hAnsi="Arial"/>
          <w:sz w:val="16"/>
          <w:szCs w:val="16"/>
          <w:b w:val="1"/>
          <w:bCs w:val="1"/>
          <w:i w:val="1"/>
          <w:iCs w:val="1"/>
          <w:color w:val="auto"/>
        </w:rPr>
        <w:t xml:space="preserve">Three Months Ended September 30, 2019 Compared to Three Months Ended September 30, 2018 </w:t>
      </w:r>
      <w:r>
        <w:rPr>
          <w:rFonts w:ascii="Arial" w:cs="Arial" w:eastAsia="Arial" w:hAnsi="Arial"/>
          <w:sz w:val="16"/>
          <w:szCs w:val="16"/>
          <w:color w:val="auto"/>
        </w:rPr>
        <w:t>The following table sets forth our consolidated results of operations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4"/>
                <w:szCs w:val="14"/>
                <w:b w:val="1"/>
                <w:bCs w:val="1"/>
                <w:color w:val="auto"/>
                <w:w w:val="83"/>
              </w:rPr>
              <w:t>2019</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left="104"/>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108"/>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8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718,597</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696,875</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21,722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41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8"/>
              </w:rPr>
              <w:t>Technical and operating (excluding depreciation</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354,992</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346,398</w:t>
            </w:r>
          </w:p>
        </w:tc>
        <w:tc>
          <w:tcPr>
            <w:tcW w:w="11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8,594</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159,357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156,242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3,115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22,011</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3,608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2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550,159</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532,276</w:t>
            </w:r>
          </w:p>
        </w:tc>
        <w:tc>
          <w:tcPr>
            <w:tcW w:w="100" w:type="dxa"/>
            <w:vAlign w:val="bottom"/>
            <w:tcBorders>
              <w:top w:val="single" w:sz="8" w:color="auto"/>
            </w:tcBorders>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17,883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168,438</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164,599</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3,839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(33,035)</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Miscellaneous, net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28,762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(30,252)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1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(32,212)</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w w:val="97"/>
              </w:rPr>
              <w:t>Net income from operations before income taxes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131,953</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160,326</w:t>
            </w:r>
          </w:p>
        </w:tc>
        <w:tc>
          <w:tcPr>
            <w:tcW w:w="100" w:type="dxa"/>
            <w:vAlign w:val="bottom"/>
            <w:tcBorders>
              <w:top w:val="single" w:sz="8" w:color="auto"/>
            </w:tcBorders>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(43,666)</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34,939</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123,226</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116,660</w:t>
            </w:r>
          </w:p>
        </w:tc>
        <w:tc>
          <w:tcPr>
            <w:tcW w:w="100" w:type="dxa"/>
            <w:vAlign w:val="bottom"/>
            <w:tcBorders>
              <w:top w:val="single" w:sz="8" w:color="auto"/>
            </w:tcBorders>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6,566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4"/>
              </w:rPr>
              <w:t>Net income attributable to AMC Networks' stockholders $</w:t>
            </w:r>
          </w:p>
        </w:tc>
        <w:tc>
          <w:tcPr>
            <w:tcW w:w="840" w:type="dxa"/>
            <w:vAlign w:val="bottom"/>
          </w:tcPr>
          <w:p>
            <w:pPr>
              <w:jc w:val="right"/>
              <w:spacing w:after="0"/>
              <w:rPr>
                <w:sz w:val="20"/>
                <w:szCs w:val="20"/>
                <w:color w:val="auto"/>
              </w:rPr>
            </w:pPr>
            <w:r>
              <w:rPr>
                <w:rFonts w:ascii="Arial" w:cs="Arial" w:eastAsia="Arial" w:hAnsi="Arial"/>
                <w:sz w:val="18"/>
                <w:szCs w:val="18"/>
                <w:color w:val="auto"/>
              </w:rPr>
              <w:t>116,923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111,257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5,666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gridSpan w:val="3"/>
          </w:tcPr>
          <w:p>
            <w:pPr>
              <w:jc w:val="right"/>
              <w:ind w:right="504"/>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1" w:name="page42"/>
    <w:bookmarkEnd w:id="41"/>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left="121"/>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558,992</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560,321</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Technical and operating (excluding depreciation</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260,400</w:t>
            </w:r>
          </w:p>
        </w:tc>
        <w:tc>
          <w:tcPr>
            <w:tcW w:w="1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256,797</w:t>
            </w:r>
          </w:p>
        </w:tc>
        <w:tc>
          <w:tcPr>
            <w:tcW w:w="11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3,603</w:t>
            </w:r>
          </w:p>
        </w:tc>
        <w:tc>
          <w:tcPr>
            <w:tcW w:w="1140" w:type="dxa"/>
            <w:vAlign w:val="bottom"/>
            <w:gridSpan w:val="2"/>
            <w:vMerge w:val="restart"/>
            <w:shd w:val="clear" w:color="auto" w:fill="CCEEFF"/>
          </w:tcPr>
          <w:p>
            <w:pPr>
              <w:jc w:val="right"/>
              <w:ind w:right="15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4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18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101,866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106,967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(5,101)</w:t>
            </w:r>
          </w:p>
        </w:tc>
        <w:tc>
          <w:tcPr>
            <w:tcW w:w="1140" w:type="dxa"/>
            <w:vAlign w:val="bottom"/>
            <w:gridSpan w:val="2"/>
          </w:tcPr>
          <w:p>
            <w:pPr>
              <w:jc w:val="right"/>
              <w:ind w:right="9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8,450</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w:t>
            </w:r>
          </w:p>
        </w:tc>
        <w:tc>
          <w:tcPr>
            <w:tcW w:w="11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040" w:type="dxa"/>
            <w:vAlign w:val="bottom"/>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21"/>
                <w:szCs w:val="21"/>
                <w:color w:val="auto"/>
              </w:rPr>
            </w:pPr>
          </w:p>
        </w:tc>
        <w:tc>
          <w:tcPr>
            <w:tcW w:w="10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182,479</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188,107</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11,684</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13,860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(2,176)</w:t>
            </w:r>
          </w:p>
        </w:tc>
        <w:tc>
          <w:tcPr>
            <w:tcW w:w="1140" w:type="dxa"/>
            <w:vAlign w:val="bottom"/>
            <w:gridSpan w:val="2"/>
          </w:tcPr>
          <w:p>
            <w:pPr>
              <w:jc w:val="right"/>
              <w:ind w:right="96"/>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6,199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8,048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8,450</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140" w:type="dxa"/>
            <w:vAlign w:val="bottom"/>
            <w:gridSpan w:val="2"/>
          </w:tcPr>
          <w:p>
            <w:pPr>
              <w:jc w:val="right"/>
              <w:ind w:right="9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208,410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210,417</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78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122"/>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left="124"/>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124"/>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182,839</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151,772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31,067</w:t>
            </w: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6"/>
              </w:rPr>
              <w:t>20.5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5"/>
              </w:rPr>
              <w:t>Technical and operating (excluding depreciation</w:t>
            </w: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115,250</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98,045</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17,205</w:t>
            </w:r>
          </w:p>
        </w:tc>
        <w:tc>
          <w:tcPr>
            <w:tcW w:w="96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w w:val="96"/>
              </w:rPr>
              <w:t>17.5</w:t>
            </w: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57,527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49,290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8,237</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w w:val="96"/>
              </w:rPr>
              <w:t>16.7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4,010</w:t>
            </w: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6"/>
              </w:rPr>
              <w:t>29.6</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34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(11,501)</w:t>
            </w:r>
          </w:p>
        </w:tc>
        <w:tc>
          <w:tcPr>
            <w:tcW w:w="80" w:type="dxa"/>
            <w:vAlign w:val="bottom"/>
            <w:tcBorders>
              <w:top w:val="single" w:sz="8" w:color="auto"/>
            </w:tcBorders>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120" w:type="dxa"/>
            <w:vAlign w:val="bottom"/>
            <w:tcBorders>
              <w:top w:val="single" w:sz="8" w:color="auto"/>
            </w:tcBorders>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5,248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17,571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13,561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4,010</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w w:val="96"/>
              </w:rPr>
              <w:t>29.6</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40" w:type="dxa"/>
            <w:vAlign w:val="bottom"/>
          </w:tcPr>
          <w:p>
            <w:pPr>
              <w:ind w:left="2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13,465</w:t>
            </w:r>
          </w:p>
        </w:tc>
        <w:tc>
          <w:tcPr>
            <w:tcW w:w="80" w:type="dxa"/>
            <w:vAlign w:val="bottom"/>
            <w:tcBorders>
              <w:top w:val="single" w:sz="8" w:color="auto"/>
              <w:bottom w:val="single" w:sz="8" w:color="auto"/>
            </w:tcBorders>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7,511</w:t>
            </w:r>
          </w:p>
        </w:tc>
        <w:tc>
          <w:tcPr>
            <w:tcW w:w="120" w:type="dxa"/>
            <w:vAlign w:val="bottom"/>
            <w:tcBorders>
              <w:top w:val="single" w:sz="8" w:color="auto"/>
              <w:bottom w:val="single" w:sz="8" w:color="auto"/>
            </w:tcBorders>
          </w:tcPr>
          <w:p>
            <w:pPr>
              <w:spacing w:after="0"/>
              <w:rPr>
                <w:sz w:val="22"/>
                <w:szCs w:val="22"/>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5,954</w:t>
            </w:r>
          </w:p>
        </w:tc>
        <w:tc>
          <w:tcPr>
            <w:tcW w:w="1140" w:type="dxa"/>
            <w:vAlign w:val="bottom"/>
            <w:gridSpan w:val="3"/>
          </w:tcPr>
          <w:p>
            <w:pPr>
              <w:ind w:left="600"/>
              <w:spacing w:after="0"/>
              <w:rPr>
                <w:sz w:val="20"/>
                <w:szCs w:val="20"/>
                <w:color w:val="auto"/>
              </w:rPr>
            </w:pPr>
            <w:r>
              <w:rPr>
                <w:rFonts w:ascii="Arial" w:cs="Arial" w:eastAsia="Arial" w:hAnsi="Arial"/>
                <w:sz w:val="18"/>
                <w:szCs w:val="18"/>
                <w:color w:val="auto"/>
                <w:w w:val="92"/>
              </w:rPr>
              <w:t>79.3 %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gridSpan w:val="3"/>
          </w:tcPr>
          <w:p>
            <w:pPr>
              <w:jc w:val="right"/>
              <w:ind w:right="462"/>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Revenues, net increased $21.7 million to $718.6 million for the three months ended September 30, 2019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558,992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560,321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(1,329)</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182,839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151,772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31,067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(23,234)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(15,218)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(8,016)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37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718,597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696,875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21,722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194,452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199,714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center"/>
              <w:ind w:left="114"/>
              <w:spacing w:after="0"/>
              <w:rPr>
                <w:sz w:val="20"/>
                <w:szCs w:val="20"/>
                <w:color w:val="auto"/>
              </w:rPr>
            </w:pPr>
            <w:r>
              <w:rPr>
                <w:rFonts w:ascii="Arial" w:cs="Arial" w:eastAsia="Arial" w:hAnsi="Arial"/>
                <w:sz w:val="18"/>
                <w:szCs w:val="18"/>
                <w:color w:val="auto"/>
                <w:w w:val="91"/>
              </w:rPr>
              <w:t>(5,262)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rPr>
              <w:t>364,540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ind w:left="160"/>
              <w:spacing w:after="0"/>
              <w:rPr>
                <w:sz w:val="20"/>
                <w:szCs w:val="20"/>
                <w:color w:val="auto"/>
              </w:rPr>
            </w:pPr>
            <w:r>
              <w:rPr>
                <w:rFonts w:ascii="Arial" w:cs="Arial" w:eastAsia="Arial" w:hAnsi="Arial"/>
                <w:sz w:val="18"/>
                <w:szCs w:val="18"/>
                <w:color w:val="auto"/>
              </w:rPr>
              <w:t>360,607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left="154"/>
              <w:spacing w:after="0"/>
              <w:rPr>
                <w:sz w:val="20"/>
                <w:szCs w:val="20"/>
                <w:color w:val="auto"/>
              </w:rPr>
            </w:pPr>
            <w:r>
              <w:rPr>
                <w:rFonts w:ascii="Arial" w:cs="Arial" w:eastAsia="Arial" w:hAnsi="Arial"/>
                <w:sz w:val="18"/>
                <w:szCs w:val="18"/>
                <w:color w:val="auto"/>
                <w:w w:val="88"/>
              </w:rPr>
              <w:t>3,933</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1.1</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89"/>
        </w:trPr>
        <w:tc>
          <w:tcPr>
            <w:tcW w:w="37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558,992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560,321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114"/>
              <w:spacing w:after="0"/>
              <w:rPr>
                <w:sz w:val="20"/>
                <w:szCs w:val="20"/>
                <w:color w:val="auto"/>
              </w:rPr>
            </w:pPr>
            <w:r>
              <w:rPr>
                <w:rFonts w:ascii="Arial" w:cs="Arial" w:eastAsia="Arial" w:hAnsi="Arial"/>
                <w:sz w:val="18"/>
                <w:szCs w:val="18"/>
                <w:color w:val="auto"/>
                <w:w w:val="91"/>
              </w:rPr>
              <w:t>(1,329)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decrease of $5.3 million in advertising revenues was due to a decrease of $12.3 million at AMC due to lower ratings, partially mitigated by pricing. The decrease at AMC was partially offset by increases at all of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78" w:lineRule="exact"/>
        <w:rPr>
          <w:rFonts w:ascii="Arial" w:cs="Arial" w:eastAsia="Arial" w:hAnsi="Arial"/>
          <w:sz w:val="18"/>
          <w:szCs w:val="18"/>
          <w:color w:val="auto"/>
        </w:rPr>
      </w:pPr>
    </w:p>
    <w:p>
      <w:pPr>
        <w:jc w:val="both"/>
        <w:ind w:left="1300" w:hanging="644"/>
        <w:spacing w:after="0" w:line="297" w:lineRule="auto"/>
        <w:tabs>
          <w:tab w:leader="none" w:pos="12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Distribution revenues increased $3.9 million due to an increase of $15.9 million in content licensing revenue, primarily at AMC, from digital and foreign distribution. Subscription revenues decreased $9.0 million as compared to the prior comparable period due to lower subscribers and the impact of an interpretation of a contractual provision in an affiliate agreement, partially offset by pricing.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18,872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20,128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(1,256)</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163,967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131,644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ind w:left="300"/>
              <w:spacing w:after="0"/>
              <w:rPr>
                <w:sz w:val="20"/>
                <w:szCs w:val="20"/>
                <w:color w:val="auto"/>
              </w:rPr>
            </w:pPr>
            <w:r>
              <w:rPr>
                <w:rFonts w:ascii="Arial" w:cs="Arial" w:eastAsia="Arial" w:hAnsi="Arial"/>
                <w:sz w:val="18"/>
                <w:szCs w:val="18"/>
                <w:color w:val="auto"/>
              </w:rPr>
              <w:t>32,323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1"/>
                <w:szCs w:val="2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37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182,839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151,772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31,067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Distribution revenues increased primarily due to a $31.1 million impact from the acquisition of RLJE, and a $7.1 million increase from our Shudder and Sundance Now subscription streaming services. Distribution revenue at AMCNI decreased $4.3 million, excluding the impact of foreign currency fluctuations, primarily due to the termination of distribution in certain territories. Foreign currency translation had an unfavorable impact to distribution revenues of $4.5 million.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Technical and operating expense (excluding depreciation and amortization) increased $8.6 million to $355.0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as compared to the three months ended September 30, 2018. The net change by segment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260,400</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256,797</w:t>
            </w:r>
          </w:p>
        </w:tc>
        <w:tc>
          <w:tcPr>
            <w:tcW w:w="82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3,603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115,250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17,205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(12,214)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64"/>
        </w:trPr>
        <w:tc>
          <w:tcPr>
            <w:tcW w:w="506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354,992</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346,398</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8,594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37"/>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7"/>
        </w:trPr>
        <w:tc>
          <w:tcPr>
            <w:tcW w:w="5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increase in technical and operating expense was due to an increase in program amortization of $22.3 million primarily attributable to the mix of original programming as compared to the prior comparable period, partially offset by a reduction in program amortization of $21.3 million attributable to the utilization of certain investment tax credits, which resulted in a net increase in program rights amortization expense of $1.0 million. In addition, other direct programming costs increased $2.6 million. Program rights amortization expense includes write-offs of $1.3 million for the three months ended September 30, 2019 as compared to program rights write-offs of $11.4 million for the three months ended September 30, 2018. Program write-offs are based on management's periodic assessment of programming usefulness.</w:t>
      </w:r>
    </w:p>
    <w:p>
      <w:pPr>
        <w:spacing w:after="0" w:line="85"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Technical and operating expense increased primarily due to a $18.4 million impact from the acquisition of RLJE. In addition, technical and operating expense increased $5.1 million at our Shudder and Sundance Now subscription streaming services. Technical and operating expense at AMCNI decreased $5.3 million, excluding the impact of foreign currency fluctuations, due to lower programming amortization. Foreign currency translation had a favorable impact to the change in technical and operating expense of $2.9 million.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Selling, general and administrative expense increased $3.1 million to $159.4 million for the three months ended September 30, 2019, as compared to the three months ended September 30, 2018.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101,866</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106,967</w:t>
            </w:r>
          </w:p>
        </w:tc>
        <w:tc>
          <w:tcPr>
            <w:tcW w:w="82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(5,101)</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57,527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49,290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8,237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5060" w:type="dxa"/>
            <w:vAlign w:val="bottom"/>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159,357</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156,242</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3,115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37"/>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7"/>
        </w:trPr>
        <w:tc>
          <w:tcPr>
            <w:tcW w:w="5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Selling, general and administrative expense decreased $5.1 million principally as a result of a decrease in advertising and marketing spend related to the mix of original programming.</w:t>
      </w:r>
    </w:p>
    <w:p>
      <w:pPr>
        <w:spacing w:after="0" w:line="62"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Selling, general and administrative expense increased $8.2 million primarily due to the impact from the acquisition of RLJE. Foreign currency translation had a favorable impact to the change in selling, general and administrative expense of $1.5 million.</w:t>
      </w:r>
    </w:p>
    <w:p>
      <w:pPr>
        <w:sectPr>
          <w:pgSz w:w="11900" w:h="16838" w:orient="portrait"/>
          <w:cols w:equalWidth="0" w:num="1">
            <w:col w:w="11420"/>
          </w:cols>
          <w:pgMar w:left="240" w:top="9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type w:val="continuous"/>
        </w:sectPr>
      </w:pPr>
    </w:p>
    <w:bookmarkStart w:id="44" w:name="page45"/>
    <w:bookmarkEnd w:id="44"/>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Depreciation and amortization expense increased $3.6 million to $25.6 million for the three months ended September 30, 2019, as compared to the three months ended September 30, 2018. The net change by segment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21"/>
                <w:szCs w:val="21"/>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17,571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13,561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4,010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25,619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22,011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3,608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increase in depreciation and amortization expense in the International and Other segment was primarily due to a $2.1 million impact from the acquisition of RLJE as well as an increase in depreciation expense of $1.6 million related to leasehold additions.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Restructuring and other related charges of $10.2 million for the three months ended September 30, 2019 related to the management re-organization described below.</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September 2019, management commenced a restructuring initiative of our management team. In connection with this re-organization, a number of roles were eliminated to improve the effectiveness of management while reducing the cost structure of the Company. As a result, we incurred restructuring charges of $10.2 million, of which $6.2 million was attributable to the National Networks segment and $4.0 million was attributable to the International and Other segment. We expect additional restructuring charges in the fourth quarter of 2019.</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182,479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188,107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91"/>
              </w:rPr>
              <w:t>(5,628)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(11,501)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(16,749)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center"/>
              <w:ind w:left="374"/>
              <w:spacing w:after="0"/>
              <w:rPr>
                <w:sz w:val="20"/>
                <w:szCs w:val="20"/>
                <w:color w:val="auto"/>
              </w:rPr>
            </w:pPr>
            <w:r>
              <w:rPr>
                <w:rFonts w:ascii="Arial" w:cs="Arial" w:eastAsia="Arial" w:hAnsi="Arial"/>
                <w:sz w:val="18"/>
                <w:szCs w:val="18"/>
                <w:color w:val="auto"/>
                <w:w w:val="93"/>
              </w:rPr>
              <w:t>5,248</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(31.3)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left="374"/>
              <w:spacing w:after="0"/>
              <w:rPr>
                <w:sz w:val="20"/>
                <w:szCs w:val="20"/>
                <w:color w:val="auto"/>
              </w:rPr>
            </w:pPr>
            <w:r>
              <w:rPr>
                <w:rFonts w:ascii="Arial" w:cs="Arial" w:eastAsia="Arial" w:hAnsi="Arial"/>
                <w:sz w:val="18"/>
                <w:szCs w:val="18"/>
                <w:color w:val="auto"/>
                <w:w w:val="93"/>
              </w:rPr>
              <w:t>4,219</w:t>
            </w:r>
          </w:p>
        </w:tc>
        <w:tc>
          <w:tcPr>
            <w:tcW w:w="16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(62.4)</w:t>
            </w:r>
          </w:p>
        </w:tc>
      </w:tr>
      <w:tr>
        <w:trPr>
          <w:trHeight w:val="264"/>
        </w:trPr>
        <w:tc>
          <w:tcPr>
            <w:tcW w:w="51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168,438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164,599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center"/>
              <w:ind w:left="374"/>
              <w:spacing w:after="0"/>
              <w:rPr>
                <w:sz w:val="20"/>
                <w:szCs w:val="20"/>
                <w:color w:val="auto"/>
              </w:rPr>
            </w:pPr>
            <w:r>
              <w:rPr>
                <w:rFonts w:ascii="Arial" w:cs="Arial" w:eastAsia="Arial" w:hAnsi="Arial"/>
                <w:sz w:val="18"/>
                <w:szCs w:val="18"/>
                <w:color w:val="auto"/>
                <w:w w:val="93"/>
              </w:rPr>
              <w:t>3,839</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operating income at the National Networks segment was primarily attributable to restructuring charges of $6.2 million, a decrease in revenue of $1.3 million and an increase in technical and operating expense of $3.6 million, partially offset by a decrease in selling, general and administrative expense of $5.1 million.</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operating losses at the International and Other segment was primarily attributable to an increase in operating income at AMCNI of $4.2 million, excluding the impact of foreign currency.</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168,438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164,599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ind w:left="372"/>
              <w:spacing w:after="0"/>
              <w:rPr>
                <w:sz w:val="20"/>
                <w:szCs w:val="20"/>
                <w:color w:val="auto"/>
              </w:rPr>
            </w:pPr>
            <w:r>
              <w:rPr>
                <w:rFonts w:ascii="Arial" w:cs="Arial" w:eastAsia="Arial" w:hAnsi="Arial"/>
                <w:sz w:val="18"/>
                <w:szCs w:val="18"/>
                <w:color w:val="auto"/>
                <w:w w:val="93"/>
              </w:rPr>
              <w:t>3,839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13,841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16,934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center"/>
              <w:ind w:left="352"/>
              <w:spacing w:after="0"/>
              <w:rPr>
                <w:sz w:val="20"/>
                <w:szCs w:val="20"/>
                <w:color w:val="auto"/>
              </w:rPr>
            </w:pPr>
            <w:r>
              <w:rPr>
                <w:rFonts w:ascii="Arial" w:cs="Arial" w:eastAsia="Arial" w:hAnsi="Arial"/>
                <w:sz w:val="18"/>
                <w:szCs w:val="18"/>
                <w:color w:val="auto"/>
                <w:w w:val="91"/>
              </w:rPr>
              <w:t>(3,093)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left="372"/>
              <w:spacing w:after="0"/>
              <w:rPr>
                <w:sz w:val="20"/>
                <w:szCs w:val="20"/>
                <w:color w:val="auto"/>
              </w:rPr>
            </w:pPr>
            <w:r>
              <w:rPr>
                <w:rFonts w:ascii="Arial" w:cs="Arial" w:eastAsia="Arial" w:hAnsi="Arial"/>
                <w:sz w:val="18"/>
                <w:szCs w:val="18"/>
                <w:color w:val="auto"/>
                <w:w w:val="93"/>
              </w:rPr>
              <w:t>7,052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Impairment and related charges</w:t>
            </w:r>
          </w:p>
        </w:tc>
        <w:tc>
          <w:tcPr>
            <w:tcW w:w="2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center"/>
              <w:ind w:left="352"/>
              <w:spacing w:after="0"/>
              <w:rPr>
                <w:sz w:val="20"/>
                <w:szCs w:val="20"/>
                <w:color w:val="auto"/>
              </w:rPr>
            </w:pPr>
            <w:r>
              <w:rPr>
                <w:rFonts w:ascii="Arial" w:cs="Arial" w:eastAsia="Arial" w:hAnsi="Arial"/>
                <w:sz w:val="18"/>
                <w:szCs w:val="18"/>
                <w:color w:val="auto"/>
                <w:w w:val="91"/>
              </w:rPr>
              <w:t>(4,486)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left="372"/>
              <w:spacing w:after="0"/>
              <w:rPr>
                <w:sz w:val="20"/>
                <w:szCs w:val="20"/>
                <w:color w:val="auto"/>
              </w:rPr>
            </w:pPr>
            <w:r>
              <w:rPr>
                <w:rFonts w:ascii="Arial" w:cs="Arial" w:eastAsia="Arial" w:hAnsi="Arial"/>
                <w:sz w:val="18"/>
                <w:szCs w:val="18"/>
                <w:color w:val="auto"/>
                <w:w w:val="93"/>
              </w:rPr>
              <w:t>3,608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24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center"/>
              <w:ind w:left="372"/>
              <w:spacing w:after="0"/>
              <w:rPr>
                <w:sz w:val="20"/>
                <w:szCs w:val="20"/>
                <w:color w:val="auto"/>
              </w:rPr>
            </w:pPr>
            <w:r>
              <w:rPr>
                <w:rFonts w:ascii="Arial" w:cs="Arial" w:eastAsia="Arial" w:hAnsi="Arial"/>
                <w:sz w:val="18"/>
                <w:szCs w:val="18"/>
                <w:color w:val="auto"/>
                <w:w w:val="93"/>
              </w:rPr>
              <w:t>1,246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219,335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211,169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ind w:left="372"/>
              <w:spacing w:after="0"/>
              <w:rPr>
                <w:sz w:val="20"/>
                <w:szCs w:val="20"/>
                <w:color w:val="auto"/>
              </w:rPr>
            </w:pPr>
            <w:r>
              <w:rPr>
                <w:rFonts w:ascii="Arial" w:cs="Arial" w:eastAsia="Arial" w:hAnsi="Arial"/>
                <w:sz w:val="18"/>
                <w:szCs w:val="18"/>
                <w:color w:val="auto"/>
                <w:w w:val="93"/>
              </w:rPr>
              <w:t>8,166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4"/>
                <w:szCs w:val="24"/>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5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73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5" w:name="page46"/>
    <w:bookmarkEnd w:id="45"/>
    <w:p>
      <w:pPr>
        <w:jc w:val="both"/>
        <w:ind w:firstLine="446"/>
        <w:spacing w:after="0" w:line="277" w:lineRule="auto"/>
        <w:rPr>
          <w:sz w:val="20"/>
          <w:szCs w:val="20"/>
          <w:color w:val="auto"/>
        </w:rPr>
      </w:pPr>
      <w:r>
        <w:rPr>
          <w:rFonts w:ascii="Arial" w:cs="Arial" w:eastAsia="Arial" w:hAnsi="Arial"/>
          <w:sz w:val="18"/>
          <w:szCs w:val="18"/>
          <w:color w:val="auto"/>
        </w:rPr>
        <w:t>AOI increased $8.2 million for the three months ended September 30, 2019 as compared to the three months ended September 30, 2018.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208,410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210,417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91"/>
              </w:rPr>
              <w:t>(2,007)</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40" w:type="dxa"/>
            <w:vAlign w:val="bottom"/>
          </w:tcPr>
          <w:p>
            <w:pPr>
              <w:spacing w:after="0"/>
              <w:rPr>
                <w:sz w:val="21"/>
                <w:szCs w:val="21"/>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13,465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7,511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center"/>
              <w:ind w:left="374"/>
              <w:spacing w:after="0"/>
              <w:rPr>
                <w:sz w:val="20"/>
                <w:szCs w:val="20"/>
                <w:color w:val="auto"/>
              </w:rPr>
            </w:pPr>
            <w:r>
              <w:rPr>
                <w:rFonts w:ascii="Arial" w:cs="Arial" w:eastAsia="Arial" w:hAnsi="Arial"/>
                <w:sz w:val="18"/>
                <w:szCs w:val="18"/>
                <w:color w:val="auto"/>
                <w:w w:val="93"/>
              </w:rPr>
              <w:t>5,954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center"/>
              <w:ind w:left="374"/>
              <w:spacing w:after="0"/>
              <w:rPr>
                <w:sz w:val="20"/>
                <w:szCs w:val="20"/>
                <w:color w:val="auto"/>
              </w:rPr>
            </w:pPr>
            <w:r>
              <w:rPr>
                <w:rFonts w:ascii="Arial" w:cs="Arial" w:eastAsia="Arial" w:hAnsi="Arial"/>
                <w:sz w:val="18"/>
                <w:szCs w:val="18"/>
                <w:color w:val="auto"/>
                <w:w w:val="93"/>
              </w:rPr>
              <w:t>4,219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auto"/>
              </w:rPr>
              <w:t>AOI</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219,335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211,169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center"/>
              <w:ind w:left="374"/>
              <w:spacing w:after="0"/>
              <w:rPr>
                <w:sz w:val="20"/>
                <w:szCs w:val="20"/>
                <w:color w:val="auto"/>
              </w:rPr>
            </w:pPr>
            <w:r>
              <w:rPr>
                <w:rFonts w:ascii="Arial" w:cs="Arial" w:eastAsia="Arial" w:hAnsi="Arial"/>
                <w:sz w:val="18"/>
                <w:szCs w:val="18"/>
                <w:color w:val="auto"/>
                <w:w w:val="93"/>
              </w:rPr>
              <w:t>8,166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Networks AOI decreased principally due to a decrease in operating income.</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International and Other AOI increased primarily due to an increase in operating income at AMCNI and an increase due to the impact of the acquisition of RLJE.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factors discussed above impacting the variability in revenues and operating expenses, we expect AOI to vary from quarter to quarter.</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interest expense, net of $2.0 million is primarily due to the impact of interest rate swap contracts as well as a decrease in interest income.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increase in miscellaneous expense, net of $30.3 million was primarily related to the absence of $36.7 million of gains associated with the increase in the fair value of our investment in RLJE recorded for the three months ended September 30, 2018. In addition, miscellaneous expense, net decreased $3.1 million associated with increased earnings from equity method investees and $1.5 million due to a favorable variance in foreign currency transactions gains and losses.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three months ended September 30, 2019, income tax expense was $8.7 million representing an effective tax rate of 7%. The effective tax rate differs from the federal statutory rate of 21% primarily due to a tax benefit of $13.6 million from foreign operations and a tax benefit of $11.5 million from a deferred tax adjustment to record the impact of an investment tax credit under the deferral method of accounting, partially offset by state and local income tax expense of $4.3 million and tax expense of $2.0 million resulting from a net increase in valuation allowances for foreign tax assets. The decrease in foreign operations is primarily due to a deferred tax benefit resulting from the reorganization of intellectual property amongst the Company's international subsidiaries.</w:t>
      </w:r>
    </w:p>
    <w:p>
      <w:pPr>
        <w:spacing w:after="0" w:line="85"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For the three months ended September 30, 2018, income tax expense was $43.7 million representing an effective tax rate of 27%. The effective tax rate differs from the federal statutory rate of 21% due primarily to tax expense from foreign operations of $5.6 million and state and local income tax expense of $3.4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88"/>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9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2,275,117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2,199,083</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76,034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6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6"/>
              </w:rPr>
              <w:t>Technical and operating (excluding depreciation</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7"/>
              </w:rPr>
              <w:t>1,080,763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1,043,572</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37,191</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and amortization)</w:t>
            </w: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505,233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494,067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11,166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75,568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64,034</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11,534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32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4,486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29,995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26,856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7"/>
              </w:rPr>
              <w:t>1,691,559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1,609,298</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82,261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583,558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589,785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(100,154)</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320"/>
              <w:spacing w:after="0"/>
              <w:rPr>
                <w:sz w:val="20"/>
                <w:szCs w:val="20"/>
                <w:color w:val="auto"/>
              </w:rPr>
            </w:pPr>
            <w:r>
              <w:rPr>
                <w:rFonts w:ascii="Arial" w:cs="Arial" w:eastAsia="Arial" w:hAnsi="Arial"/>
                <w:sz w:val="18"/>
                <w:szCs w:val="18"/>
                <w:color w:val="auto"/>
              </w:rPr>
              <w:t>Miscellaneous, net</w:t>
            </w:r>
          </w:p>
        </w:tc>
        <w:tc>
          <w:tcPr>
            <w:tcW w:w="2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(16,972)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30,989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(47,961)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(154.8)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(122,383)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(69,165)</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(53,218)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320"/>
              <w:spacing w:after="0"/>
              <w:rPr>
                <w:sz w:val="20"/>
                <w:szCs w:val="20"/>
                <w:color w:val="auto"/>
              </w:rPr>
            </w:pPr>
            <w:r>
              <w:rPr>
                <w:rFonts w:ascii="Arial" w:cs="Arial" w:eastAsia="Arial" w:hAnsi="Arial"/>
                <w:sz w:val="18"/>
                <w:szCs w:val="18"/>
                <w:color w:val="auto"/>
                <w:w w:val="95"/>
              </w:rPr>
              <w:t>Net income from operations before income taxes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461,175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520,620</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(59,445)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(53,807)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(133,092)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79,285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407,368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387,528</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19,840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(18,305)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Arial" w:cs="Arial" w:eastAsia="Arial" w:hAnsi="Arial"/>
                <w:sz w:val="18"/>
                <w:szCs w:val="18"/>
                <w:color w:val="auto"/>
              </w:rPr>
              <w:t>Net income attributable to AMC Networks'</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8"/>
                <w:szCs w:val="18"/>
                <w:color w:val="auto"/>
              </w:rPr>
              <w:t>389,063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374,308</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14,755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7" w:name="page48"/>
    <w:bookmarkEnd w:id="47"/>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121"/>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1,779,850</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1,820,638</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(40,788)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9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Technical and operating (excluding depreciation</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770,807</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791,910</w:t>
            </w:r>
          </w:p>
        </w:tc>
        <w:tc>
          <w:tcPr>
            <w:tcW w:w="11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(21,103)</w:t>
            </w:r>
          </w:p>
        </w:tc>
        <w:tc>
          <w:tcPr>
            <w:tcW w:w="1340" w:type="dxa"/>
            <w:vAlign w:val="bottom"/>
            <w:gridSpan w:val="2"/>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329,248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355,405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(26,157)</w:t>
            </w:r>
          </w:p>
        </w:tc>
        <w:tc>
          <w:tcPr>
            <w:tcW w:w="1340" w:type="dxa"/>
            <w:vAlign w:val="bottom"/>
            <w:gridSpan w:val="2"/>
          </w:tcPr>
          <w:p>
            <w:pPr>
              <w:jc w:val="right"/>
              <w:ind w:right="11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24,839</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25,358</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340" w:type="dxa"/>
            <w:vAlign w:val="bottom"/>
            <w:tcBorders>
              <w:bottom w:val="single" w:sz="8" w:color="CCEEFF"/>
            </w:tcBorders>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980" w:type="dxa"/>
            <w:vAlign w:val="bottom"/>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6,776</w:t>
            </w:r>
          </w:p>
        </w:tc>
        <w:tc>
          <w:tcPr>
            <w:tcW w:w="1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648,180</w:t>
            </w:r>
          </w:p>
        </w:tc>
        <w:tc>
          <w:tcPr>
            <w:tcW w:w="13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647,965</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41,774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42,647</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1340" w:type="dxa"/>
            <w:vAlign w:val="bottom"/>
            <w:gridSpan w:val="2"/>
          </w:tcPr>
          <w:p>
            <w:pPr>
              <w:jc w:val="right"/>
              <w:ind w:right="1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24,839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25,358</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(519)</w:t>
            </w:r>
          </w:p>
        </w:tc>
        <w:tc>
          <w:tcPr>
            <w:tcW w:w="1340" w:type="dxa"/>
            <w:vAlign w:val="bottom"/>
            <w:gridSpan w:val="2"/>
          </w:tcPr>
          <w:p>
            <w:pPr>
              <w:jc w:val="right"/>
              <w:ind w:right="1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721,569</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40.5 %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715,970</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39.3 %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5,599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2"/>
              </w:rPr>
              <w:t>Nine Months Ended September 30,</w:t>
            </w: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jc w:val="center"/>
              <w:ind w:left="54"/>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9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840" w:type="dxa"/>
            <w:vAlign w:val="bottom"/>
          </w:tcPr>
          <w:p>
            <w:pPr>
              <w:jc w:val="center"/>
              <w:ind w:left="54"/>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0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533,454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409,873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123,581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Technical and operating (excluding depreciation</w:t>
            </w: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335,244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269,739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65,505</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176,098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138,732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37,366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50,729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12,053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23,915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20,776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(52,532)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(44,899)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(7,633)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8,691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23,915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20,776</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50,729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38,676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12,053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4,434</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2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35,237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24,476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227.5 %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Revenues, net increased $76.0 million to $2,275.1 million for the nine months ended September 30, 2019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1,779,850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1,820,638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(40,788)</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533,454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409,873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123,581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(38,187)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(31,428)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368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2,275,117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2,199,083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76,034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7"/>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653,031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672,273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(19,242)</w:t>
            </w:r>
          </w:p>
        </w:tc>
        <w:tc>
          <w:tcPr>
            <w:tcW w:w="13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8"/>
              </w:rPr>
              <w:t>(2.9)%</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w w:val="99"/>
              </w:rPr>
              <w:t>1,126,819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w w:val="99"/>
              </w:rPr>
              <w:t>1,148,365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(21,546)</w:t>
            </w:r>
          </w:p>
        </w:tc>
        <w:tc>
          <w:tcPr>
            <w:tcW w:w="1340" w:type="dxa"/>
            <w:vAlign w:val="bottom"/>
            <w:gridSpan w:val="2"/>
          </w:tcPr>
          <w:p>
            <w:pPr>
              <w:ind w:left="800"/>
              <w:spacing w:after="0"/>
              <w:rPr>
                <w:sz w:val="20"/>
                <w:szCs w:val="20"/>
                <w:color w:val="auto"/>
              </w:rPr>
            </w:pPr>
            <w:r>
              <w:rPr>
                <w:rFonts w:ascii="Arial" w:cs="Arial" w:eastAsia="Arial" w:hAnsi="Arial"/>
                <w:sz w:val="18"/>
                <w:szCs w:val="18"/>
                <w:color w:val="auto"/>
              </w:rPr>
              <w:t>(1.9)</w:t>
            </w:r>
          </w:p>
        </w:tc>
      </w:tr>
      <w:tr>
        <w:trPr>
          <w:trHeight w:val="27"/>
        </w:trPr>
        <w:tc>
          <w:tcPr>
            <w:tcW w:w="3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9"/>
        </w:trPr>
        <w:tc>
          <w:tcPr>
            <w:tcW w:w="36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1,779,850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1,820,638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(40,788)</w:t>
            </w:r>
          </w:p>
        </w:tc>
        <w:tc>
          <w:tcPr>
            <w:tcW w:w="13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8"/>
              </w:rPr>
              <w:t>(2.2)%</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decrease of $19.2 million in advertising revenues was driven by a decrease of $45.8 million at AMC due to lower ratings, partially mitigated by pricing. The decrease at AMC was partially offset by increases at all of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78" w:lineRule="exact"/>
        <w:rPr>
          <w:rFonts w:ascii="Arial" w:cs="Arial" w:eastAsia="Arial" w:hAnsi="Arial"/>
          <w:sz w:val="18"/>
          <w:szCs w:val="18"/>
          <w:color w:val="auto"/>
        </w:rPr>
      </w:pPr>
    </w:p>
    <w:p>
      <w:pPr>
        <w:jc w:val="both"/>
        <w:ind w:left="1300" w:hanging="644"/>
        <w:spacing w:after="0" w:line="297" w:lineRule="auto"/>
        <w:tabs>
          <w:tab w:leader="none" w:pos="129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Distribution revenues decreased $21.5 million due to a decrease in content licensing revenues of $16.5 million derived from our original programming, primarily at AMC. Subscription revenues increased $5.1 million resulting from an increase in rates, partially offset by lower subscribers and the impact of an interpretation of a contractual provision in an affiliate agreement. Subscription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63,613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66,071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(2,458)</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469,841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343,802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126,039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21"/>
                <w:szCs w:val="2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37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533,454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409,873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123,581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decrease of $2.5 million in advertising revenues was due to the unfavorable impact of foreign currency translation of $4.6 million, partially offset by an increase in demand in certain international markets. Distribution revenues increased primarily due to a $134.9 million impact from the acquisitions of Levity and RLJE. In addition, distribution revenues increased $16.7 million from our Shudder and Sundance Now subscription streaming services. Distribution revenue at AMCNI decreased $10.4 million, excluding the impact of foreign currency fluctuations, primarily due to the termination of distribution in certain territories. Foreign currency translation had an unfavorable impact to distribution revenues of $13.6 million.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Technical and operating expense (excluding depreciation and amortization) increased $37.2 million to $1,080.8 million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as compared to the nine months ended September 30, 2018. The net change by segment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770,807</w:t>
            </w:r>
          </w:p>
        </w:tc>
        <w:tc>
          <w:tcPr>
            <w:tcW w:w="6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791,910</w:t>
            </w:r>
          </w:p>
        </w:tc>
        <w:tc>
          <w:tcPr>
            <w:tcW w:w="82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(21,103)</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335,244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269,739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65,505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(25,288)</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(7,211)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506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1,080,763</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1,043,572</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37,191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37"/>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7"/>
        </w:trPr>
        <w:tc>
          <w:tcPr>
            <w:tcW w:w="5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The decrease in technical and operating expense was due to a decrease of $24.2 million in other direct programming expense attributable to lower personnel and production related costs, partially offset by an increase in program amortization of $24.4 million primarily attributable to the mix of original programming as compared to the prior comparable period, partially offset by a reduction in program amortization of $21.3 million attributable to the utilization of certain investment tax credits, which resulted in a net increase in program rights amortization expense of $3.1 million. Program rights amortization expense includes write-offs of $14.7 million for the nine months ended September 30, 2019 as compared to program rights write-offs of $19.8 million for the nine months ended September 30, 2018. Programming write-offs are based on management's periodic assessment of programming usefulness.</w:t>
      </w:r>
    </w:p>
    <w:p>
      <w:pPr>
        <w:spacing w:after="0" w:line="5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Technical and operating expense increased due to a $80.7 million impact from the acquisitions of Levity and RLJE. In addition, technical and operating expense increased $12.1 million at our Shudder and Sundance Now subscription streaming services. Technical and operating expense at AMCNI decreased $16.2 million, excluding the impact of foreign currency fluctuations. Foreign currency translation had a favorable impact to the change in technical and operating expense of $11.5 million.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Selling, general and administrative expense increased $11.2 million to $505.2 million for the nine months ended September 30, 2019, as compared to the nine months ended September 30, 2018.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329,248</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355,405</w:t>
            </w:r>
          </w:p>
        </w:tc>
        <w:tc>
          <w:tcPr>
            <w:tcW w:w="82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(26,157)</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176,098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37,366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5060" w:type="dxa"/>
            <w:vAlign w:val="bottom"/>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505,233</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494,067</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11,166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37"/>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7"/>
        </w:trPr>
        <w:tc>
          <w:tcPr>
            <w:tcW w:w="5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Selling, general and administrative expense decreased $26.2 million principally as a result of a $22.9 million decrease in advertising and marketing spend related to the mix of original programming.</w:t>
      </w:r>
    </w:p>
    <w:p>
      <w:pPr>
        <w:spacing w:after="0" w:line="62"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Selling, general and administrative expense increased $37.4 million primarily due to a $50.2 million impact from the acquisitions of Levity and RLJE, partially offset by a decrease of $7.3 million at AMCNI, excluding the impact of foreign</w:t>
      </w:r>
    </w:p>
    <w:p>
      <w:pPr>
        <w:sectPr>
          <w:pgSz w:w="11900" w:h="16838" w:orient="portrait"/>
          <w:cols w:equalWidth="0" w:num="1">
            <w:col w:w="11420"/>
          </w:cols>
          <w:pgMar w:left="240" w:top="9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color w:val="auto"/>
        </w:rPr>
        <w:t>currency fluctuations. Foreign currency translation had a favorable impact to the change in selling, general and administrative expense of $5.8 million.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Depreciation and amortization expense increased $11.5 million to $75.6 million for the nine months ended September 30, 2019, as compared to the nine months ended September 30, 2018. The net change by segment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24,839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25,358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200" w:type="dxa"/>
            <w:vAlign w:val="bottom"/>
          </w:tcPr>
          <w:p>
            <w:pPr>
              <w:jc w:val="right"/>
              <w:ind w:right="77"/>
              <w:spacing w:after="0"/>
              <w:rPr>
                <w:sz w:val="20"/>
                <w:szCs w:val="20"/>
                <w:color w:val="auto"/>
              </w:rPr>
            </w:pPr>
            <w:r>
              <w:rPr>
                <w:rFonts w:ascii="Arial" w:cs="Arial" w:eastAsia="Arial" w:hAnsi="Arial"/>
                <w:sz w:val="18"/>
                <w:szCs w:val="18"/>
                <w:color w:val="auto"/>
              </w:rPr>
              <w:t>50,729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38,676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12,053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75,568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64,034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11,534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increase in depreciation and amortization expense in the International and Other segment was primarily due to a $8.2 million impact from the acquisitions of Levity and RLJE as well as an increase in depreciation expense of $5.1 million related to leasehold additions.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Restructuring and other related charges of $30.0 million for the nine months ended September 30, 2019 related to the management and direct to consumer organizational changes described below. In connection with each of the restructuring initiatives, a number of roles were eliminated to address redundancy at the management level and improve the effectiveness of management while reducing the cost structure of the Company.</w:t>
      </w:r>
    </w:p>
    <w:p>
      <w:pPr>
        <w:spacing w:after="0" w:line="5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September 2019, management commenced a restructuring initiative of our management team. As a result, we incurred restructuring charges of $10.2 million, of which $6.2 million was attributable to the National Networks segment and $4.0 million was attributable to the International and Other segment. We expect additional restructuring charges in the fourth quarter of 2019.</w:t>
      </w:r>
    </w:p>
    <w:p>
      <w:pPr>
        <w:spacing w:after="0" w:line="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May 2019, management commenced a restructuring initiative of our owned subscription streaming services. The restructuring combined our owned subscription streaming services under one management team. As a result, we incurred restructuring charges of $1.3 million related to severance and other personnel related costs.</w:t>
      </w:r>
    </w:p>
    <w:p>
      <w:pPr>
        <w:spacing w:after="0" w:line="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management changes in the direct to consumer business, we implemented changes to our strategy for our owned subscription streaming services, including programming that will no longer be made available. As a result, we incurred other charges of $13.0 million related to the write-off of programming associated with the direct to consumer reorganization and change in strategy.</w:t>
      </w:r>
    </w:p>
    <w:p>
      <w:pPr>
        <w:spacing w:after="0" w:line="7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connection with the restructuring activities previously announced in 2018, we incurred additional severance and other personnel related costs of $5.5 million for the nine months ended September 30, 2019.</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648,180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647,965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200" w:type="dxa"/>
            <w:vAlign w:val="bottom"/>
          </w:tcPr>
          <w:p>
            <w:pPr>
              <w:ind w:left="460"/>
              <w:spacing w:after="0"/>
              <w:rPr>
                <w:sz w:val="20"/>
                <w:szCs w:val="20"/>
                <w:color w:val="auto"/>
              </w:rPr>
            </w:pPr>
            <w:r>
              <w:rPr>
                <w:rFonts w:ascii="Arial" w:cs="Arial" w:eastAsia="Arial" w:hAnsi="Arial"/>
                <w:sz w:val="18"/>
                <w:szCs w:val="18"/>
                <w:color w:val="auto"/>
              </w:rPr>
              <w:t>(52,532)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(44,899)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(7,633)</w:t>
            </w:r>
          </w:p>
        </w:tc>
        <w:tc>
          <w:tcPr>
            <w:tcW w:w="1640" w:type="dxa"/>
            <w:vAlign w:val="bottom"/>
            <w:gridSpan w:val="2"/>
          </w:tcPr>
          <w:p>
            <w:pPr>
              <w:jc w:val="right"/>
              <w:ind w:right="156"/>
              <w:spacing w:after="0"/>
              <w:rPr>
                <w:sz w:val="20"/>
                <w:szCs w:val="20"/>
                <w:color w:val="auto"/>
              </w:rPr>
            </w:pPr>
            <w:r>
              <w:rPr>
                <w:rFonts w:ascii="Arial" w:cs="Arial" w:eastAsia="Arial" w:hAnsi="Arial"/>
                <w:sz w:val="18"/>
                <w:szCs w:val="18"/>
                <w:color w:val="auto"/>
              </w:rPr>
              <w:t>17.0</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(12,090)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r>
      <w:tr>
        <w:trPr>
          <w:trHeight w:val="264"/>
        </w:trPr>
        <w:tc>
          <w:tcPr>
            <w:tcW w:w="5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583,558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589,785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(6,227)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Operating income at the National Networks segment was flat as compared to the prior comparable period primarily due to a decrease in revenues mitigated by a decrease in operating expenses.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operating losses at the International and Other segment was primarily attributable an increase in restructuring and other related charges of $20.8 million, primarily associated with the direct to consumer reorganization, partially offset by an increase in operating income at AMCNI of $14.7 million, excluding the impact of foreign currency.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583,558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589,785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(6,227)</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50,465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52,006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(1,541)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26,856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Impairment and related charges</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4,486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11,534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Majority-owned equity investees AOI</w:t>
            </w:r>
          </w:p>
        </w:tc>
        <w:tc>
          <w:tcPr>
            <w:tcW w:w="26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4,434</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744,020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713,450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30,570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AOI increased $30.6 million for the nine months ended September 30, 2019 as compared to the nine months ended September 30, 2018.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7"/>
                <w:szCs w:val="17"/>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721,569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715,970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5,599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35,237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10,761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24,476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495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auto"/>
              </w:rPr>
              <w:t>AOI</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744,020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713,450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30,570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National Networks AOI increased principally due to an increase in restructuring and other related charges of $6.8 million.</w:t>
      </w:r>
    </w:p>
    <w:p>
      <w:pPr>
        <w:spacing w:after="0" w:line="117"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International and Other AOI increased primarily due to an increase of $14.9 million at AMCNI, excluding the impact of foreign currency, an increase of $4.4 million related to the AOI of majority-owned equity method investees, and an increase due to the impact of the acquisitions of Levity and RLJE.</w:t>
      </w:r>
    </w:p>
    <w:p>
      <w:pPr>
        <w:spacing w:after="0" w:line="16" w:lineRule="exact"/>
        <w:rPr>
          <w:sz w:val="20"/>
          <w:szCs w:val="20"/>
          <w:color w:val="auto"/>
        </w:rPr>
      </w:pPr>
    </w:p>
    <w:p>
      <w:pPr>
        <w:ind w:left="460" w:right="120"/>
        <w:spacing w:after="0" w:line="375" w:lineRule="auto"/>
        <w:rPr>
          <w:sz w:val="20"/>
          <w:szCs w:val="20"/>
          <w:color w:val="auto"/>
        </w:rPr>
      </w:pPr>
      <w:r>
        <w:rPr>
          <w:rFonts w:ascii="Arial" w:cs="Arial" w:eastAsia="Arial" w:hAnsi="Arial"/>
          <w:sz w:val="18"/>
          <w:szCs w:val="18"/>
          <w:color w:val="auto"/>
        </w:rPr>
        <w:t xml:space="preserve">As a result of the factors discussed above impacting the variability in revenues and operating expenses, we expect AOI to vary from quarter to quarter. </w:t>
      </w:r>
      <w:r>
        <w:rPr>
          <w:rFonts w:ascii="Arial" w:cs="Arial" w:eastAsia="Arial" w:hAnsi="Arial"/>
          <w:sz w:val="18"/>
          <w:szCs w:val="18"/>
          <w:b w:val="1"/>
          <w:bCs w:val="1"/>
          <w:color w:val="auto"/>
        </w:rPr>
        <w:t>Interest expense, net</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interest expense, net of $5.3 million is driven by a $4.8 million increase in interest expense driven by a higher variable interest rate on our term loan as well as a decrease in interest income of $1.9 million.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The increase in miscellaneous expense, net of $48.0 million for the nine months ended September 30, 2019 as compared to the nine months ended September 30, 2018 was primarily driven by the absence of $50.7 million of gains associated with the increase in fair value of our investment in RLJE recorded for the nine months ended September 30, 2018. Miscellaneous expense, net also decreased $6.6 million associated with increased earnings from equity method investees and $4.1 million due to a favorable variance in foreign currency transactions gains and losses, partially offset by an increase related to impairment charges for the partial write-down of certain of our non-marketable equity securities and a note receivable.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For the nine months ended September 30, 2019, income tax expense was $53.8 million representing an effective tax rate of 12%. The effective tax rate differs from the federal statutory rate of 21% primarily due to a tax benefit of $21.5 million resulting from a net decrease in valuation allowances for foreign tax assets, a tax benefit of $15.6 million from foreign operations, a tax benefit of $11.5 million from a deferred tax adjustment to record the impact of an investment tax credit under the deferral method of accounting, and a tax benefit of $5.6 million relating to uncertain tax positions (including accrued interest), partially offset by state and local income tax expense of $11.6 million. The decrease in the valuation allowance is primarily due to the expected utilization of foreign net operating loss carryforwards and the benefit of foreign operations is due to a deferred tax benefit resulting from the reorganization of intellectual property amongst the Company's international subsidiaries. The tax benefit relating to uncertain tax positions is primarily due to an audit settlement and the filing of state income tax returns under a voluntary disclosure agreement.</w:t>
      </w:r>
    </w:p>
    <w:p>
      <w:pPr>
        <w:spacing w:after="0" w:line="8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the nine months ended September 30, 2018, income tax expense was $133.1 million, representing an effective tax rate of 26%. The effective tax rate differs from the federal statutory rate of 21%, due primarily to tax expense of $15.8 million for an increase in valuation allowances for foreign taxes and U.S. foreign tax credits; state and local income tax expense of $9.5</w:t>
      </w:r>
    </w:p>
    <w:p>
      <w:pPr>
        <w:sectPr>
          <w:pgSz w:w="11900" w:h="16838" w:orient="portrait"/>
          <w:cols w:equalWidth="0" w:num="1">
            <w:col w:w="11420"/>
          </w:cols>
          <w:pgMar w:left="240" w:top="999"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type w:val="continuous"/>
        </w:sectPr>
      </w:pPr>
    </w:p>
    <w:bookmarkStart w:id="52" w:name="page53"/>
    <w:bookmarkEnd w:id="52"/>
    <w:p>
      <w:pPr>
        <w:jc w:val="both"/>
        <w:ind w:right="20"/>
        <w:spacing w:after="0" w:line="264" w:lineRule="auto"/>
        <w:rPr>
          <w:sz w:val="20"/>
          <w:szCs w:val="20"/>
          <w:color w:val="auto"/>
        </w:rPr>
      </w:pPr>
      <w:r>
        <w:rPr>
          <w:rFonts w:ascii="Arial" w:cs="Arial" w:eastAsia="Arial" w:hAnsi="Arial"/>
          <w:sz w:val="18"/>
          <w:szCs w:val="18"/>
          <w:color w:val="auto"/>
        </w:rPr>
        <w:t>million; a tax benefit of $8.3 million for the one-time rate change on deferred tax assets and liabilities that resulted from the extension of certain television production cost deductions included in the Bipartisan Budget Act of 2018 (enacted February 9, 2018); and tax benefit from foreign subsidiary earnings of $0.6 million.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64"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three months ended September 30, 2019, the Company repurchased 0.2 million shares of its Class A common stock at an average purchase price of approximately $52.56 per share. As of September 30, 2019, the Company has $488.8 million of authorization remaining for repurchase under the Stock Repurchase Program.</w:t>
      </w:r>
    </w:p>
    <w:p>
      <w:pPr>
        <w:spacing w:after="0" w:line="80"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We continue to increase our investment in original programming, the funding of which generally occurs six to nine months in advance of a program's airing. We expect this increased investment to continue in 2019.</w:t>
      </w:r>
    </w:p>
    <w:p>
      <w:pPr>
        <w:spacing w:after="0" w:line="5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of September 30, 2019, our consolidated cash and cash equivalents balance includes approximately $116.1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8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2018 Form 10-K.</w:t>
      </w:r>
    </w:p>
    <w:p>
      <w:pPr>
        <w:spacing w:after="0" w:line="6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revolving credit facility was not drawn upon at September 30, 2019. The total undrawn revolver commitment is available to be drawn for our general corporate purposes.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September 30,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nine months ended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49"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37465</wp:posOffset>
            </wp:positionV>
            <wp:extent cx="23152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400,397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471,812</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(59,864)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(185,885)</w:t>
            </w:r>
          </w:p>
        </w:tc>
      </w:tr>
      <w:tr>
        <w:trPr>
          <w:trHeight w:val="27"/>
        </w:trPr>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(292,028)</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222,850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(6,101)</w:t>
            </w: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Net cash provided by operating activities amounted to $400.4 million for the nine months ended September 30, 2019 as compared to $471.8 million for the nine months ended September 30, 2018. Net cash provided by operating activities for the nine months ended September 30, 2019 primarily resulted from $1,214.9 million of net income before amortization of program rights, depreciation and amortization, and other non-cash items, which was partially offset by payments for program rights of $676.7 million, an increase in prepaid expense and other assets of $121.4 million primarily related to an increase in long-term receivables and a decrease in accounts payable, accrued expenses and other liabilities of $22.5 million primarily related to lower employee related liabilities. Changes in all other assets and liabilities resulted in a decrease of $8.5 million.</w:t>
      </w:r>
    </w:p>
    <w:p>
      <w:pPr>
        <w:spacing w:after="0" w:line="70"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Net cash provided by operating activities amounted to $471.8 million for the nine months ended September 30, 2018 as compared to $273.6 million for the nine months ended September 30, 2017. Net cash provided by operating activities for the nine months ended September 30, 2018 primarily resulted from $1,214.3 million of net income before amortization of program rights, depreciation and amortization, and other non-cash items, which was partially offset by payments for program rights of $671.1 million, an increase in prepaid expense and other assets of $27.8 million primarily related to an increase in long-term receivables, a decrease in accounts payable, accrued expenses and other liabilities of $36.6 million primarily related to lower employee related liabilities. Changes in all other assets and liabilities resulted in a decrease of $7.0 million.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Net cash used in investing activities for the nine months ended September 30, 2019 and 2018 was $59.9 million and $185.9 million, respectively. For the nine months ended September 30, 2019, cash used in investing activities included capital expenditures of $69.1 million, partially offset by a return of capital from investees of $9.2 million. For the nine months ended September 30, 2018, cash used in investing activities included investments of $90.1 million, capital expenditures of $60.8 million, and payments for acquisitions, net of cash acquired of $35.6 million.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Net cash used in financing activities amounted to $117.7 million for the nine months ended September 30, 2019 and primarily consisted of purchases of our common stock of $70.6 million, taxes paid in lieu of shares issued for equity-based compensation of $23.0 million, distributions to noncontrolling interests of $13.5 million, and net payments on debt and finance leases of $15.2 million, partially offset by proceeds from stock option exercises of $4.6 million.</w:t>
      </w:r>
    </w:p>
    <w:p>
      <w:pPr>
        <w:spacing w:after="0" w:line="79" w:lineRule="exact"/>
        <w:rPr>
          <w:sz w:val="20"/>
          <w:szCs w:val="20"/>
          <w:color w:val="auto"/>
        </w:rPr>
      </w:pPr>
    </w:p>
    <w:p>
      <w:pPr>
        <w:jc w:val="both"/>
        <w:ind w:right="20" w:firstLine="446"/>
        <w:spacing w:after="0" w:line="259" w:lineRule="auto"/>
        <w:rPr>
          <w:sz w:val="20"/>
          <w:szCs w:val="20"/>
          <w:color w:val="auto"/>
        </w:rPr>
      </w:pPr>
      <w:r>
        <w:rPr>
          <w:rFonts w:ascii="Arial" w:cs="Arial" w:eastAsia="Arial" w:hAnsi="Arial"/>
          <w:sz w:val="18"/>
          <w:szCs w:val="18"/>
          <w:color w:val="auto"/>
        </w:rPr>
        <w:t>Net cash used in financing activities amounted to $292.0 million for the nine months ended September 30, 2018 and primarily consisted of purchases of our common stock of $267.4 million under our Stock Repurchase, taxes paid in lieu of shares issued for equity-based compensation of $15.7 million, distributions to noncontrolling interests of $9.3 million, and principal payments on capital leases of $3.9 million, partially offset by proceeds from stock option exercises of $4.3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of September 30, 2019, our contractual obligations not reflected on the condensed consolidated balance sheet decreased $259.2 million, as compared to December 31, 2018, to $864.6 million. The decrease relates to the adoption of the new lease standard requiring the recognition of operating leases on the balance sheet rather than disclosed as contractual obligations.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2018 Form 10-K. Other than the adoption of the new lease standard as described in Note 10 to the accompanying condensed consolidated financial statements of the Company included herein, there have been no significant changes in our significant accounting policies since December 31, 2018.</w:t>
      </w:r>
    </w:p>
    <w:p>
      <w:pPr>
        <w:spacing w:after="0" w:line="5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discuss our critical accounting estimates in Item 7, "Management's Discussion and Analysis of Financial Condition and Results of Operations," in the same 2018 Form 10-K. There have been no significant changes in our critical accounting estimates since December 31, 2018.</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Based on the level of interest rates prevailing at September 30, 2019, the carrying value of our fixed rate debt of $2.37 billion was less than its fair value of $2.46 billion by approximately $88.7 million. The fair value of these financial instruments is estimated based on reference to quoted market prices for these or comparable securities. A hypothetical 100 basis point decrease in interest rates prevailing at September 30, 2019 would increase the estimated fair value of our fixed rate debt by approximately $55.2 million to approximately $2.5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64"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As of September 30, 2019, we had $3.1 billion of debt outstanding (excluding finance leases), of which $0.7 billion is outstanding under our loan facility and is subject to variable interest rates (before consideration of the interest rate swaps contracts described below).</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As of September 30, 2019, we had interest rate swap contracts outstanding with notional amounts aggregating $100.0 million. The aggregate fair value of interest rate swap contracts at September 30, 2019 was a net liability of $2.4 million. As a result of these transactions, the interest rate paid on approximately 80% of our debt (excluding finance leases) as of September 30, 2019 is effectively fixed (76% being fixed rate obligations and 4% effectively fixed through utilization of these interest rate swap contracts).</w:t>
      </w:r>
    </w:p>
    <w:p>
      <w:pPr>
        <w:spacing w:after="0" w:line="79"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 hypothetical 100 basis point increase in interest rates prevailing at September 30, 2019 would not have a material impact on our annual interest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a $1.2 million gain and $0.5 million loss net, for the three and nine months ended September 30, 2019, respectively, related to foreign currency transactions. Such amounts are included in miscellaneous, net in the condensed consolidated statement of income.</w:t>
      </w:r>
    </w:p>
    <w:p>
      <w:pPr>
        <w:spacing w:after="0" w:line="7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55" w:name="page56"/>
    <w:bookmarkEnd w:id="55"/>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September 30, 2019,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During the three months ended September 30, 2019,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Since our 2018 Form 10-K, there have been no material developments in legal proceedings in which we are involved. See Note 14, Commitments and Contingencies to the condensed consolidated financial statements included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September 30,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2"/>
              </w:rPr>
              <w:t>Shares (or Units) that May Yet</w:t>
            </w:r>
          </w:p>
        </w:tc>
      </w:tr>
      <w:tr>
        <w:trPr>
          <w:trHeight w:val="203"/>
        </w:trPr>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Paid per Share</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0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(or Units) Purchased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(or Unit)</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r>
      <w:tr>
        <w:trPr>
          <w:trHeight w:val="33"/>
        </w:trPr>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1, 2019 to July 31, 2019</w:t>
            </w: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172,265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172,265</w:t>
            </w:r>
          </w:p>
        </w:tc>
        <w:tc>
          <w:tcPr>
            <w:tcW w:w="2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491,944,957</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August 1, 2019 to August 31, 2019</w:t>
            </w:r>
          </w:p>
        </w:tc>
        <w:tc>
          <w:tcPr>
            <w:tcW w:w="1580" w:type="dxa"/>
            <w:vAlign w:val="bottom"/>
          </w:tcPr>
          <w:p>
            <w:pPr>
              <w:jc w:val="right"/>
              <w:ind w:right="74"/>
              <w:spacing w:after="0"/>
              <w:rPr>
                <w:sz w:val="20"/>
                <w:szCs w:val="20"/>
                <w:color w:val="auto"/>
              </w:rPr>
            </w:pPr>
            <w:r>
              <w:rPr>
                <w:rFonts w:ascii="Arial" w:cs="Arial" w:eastAsia="Arial" w:hAnsi="Arial"/>
                <w:sz w:val="18"/>
                <w:szCs w:val="18"/>
                <w:color w:val="auto"/>
              </w:rPr>
              <w:t>59,045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1"/>
                <w:szCs w:val="21"/>
                <w:color w:val="auto"/>
              </w:rPr>
            </w:pPr>
          </w:p>
        </w:tc>
        <w:tc>
          <w:tcPr>
            <w:tcW w:w="1900" w:type="dxa"/>
            <w:vAlign w:val="bottom"/>
          </w:tcPr>
          <w:p>
            <w:pPr>
              <w:jc w:val="right"/>
              <w:ind w:right="55"/>
              <w:spacing w:after="0"/>
              <w:rPr>
                <w:sz w:val="20"/>
                <w:szCs w:val="20"/>
                <w:color w:val="auto"/>
              </w:rPr>
            </w:pPr>
            <w:r>
              <w:rPr>
                <w:rFonts w:ascii="Arial" w:cs="Arial" w:eastAsia="Arial" w:hAnsi="Arial"/>
                <w:sz w:val="18"/>
                <w:szCs w:val="18"/>
                <w:color w:val="auto"/>
              </w:rPr>
              <w:t>59,045</w:t>
            </w:r>
          </w:p>
        </w:tc>
        <w:tc>
          <w:tcPr>
            <w:tcW w:w="2380" w:type="dxa"/>
            <w:vAlign w:val="bottom"/>
            <w:gridSpan w:val="2"/>
          </w:tcPr>
          <w:p>
            <w:pPr>
              <w:jc w:val="right"/>
              <w:ind w:right="59"/>
              <w:spacing w:after="0"/>
              <w:rPr>
                <w:sz w:val="20"/>
                <w:szCs w:val="20"/>
                <w:color w:val="auto"/>
              </w:rPr>
            </w:pPr>
            <w:r>
              <w:rPr>
                <w:rFonts w:ascii="Arial" w:cs="Arial" w:eastAsia="Arial" w:hAnsi="Arial"/>
                <w:sz w:val="18"/>
                <w:szCs w:val="18"/>
                <w:color w:val="auto"/>
              </w:rPr>
              <w:t>488,811,793</w:t>
            </w:r>
          </w:p>
        </w:tc>
      </w:tr>
      <w:tr>
        <w:trPr>
          <w:trHeight w:val="27"/>
        </w:trPr>
        <w:tc>
          <w:tcPr>
            <w:tcW w:w="3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1, 2019 to September 30, 2019</w:t>
            </w: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488,811,793</w:t>
            </w:r>
          </w:p>
        </w:tc>
      </w:tr>
      <w:tr>
        <w:trPr>
          <w:trHeight w:val="264"/>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231,310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231,310</w:t>
            </w:r>
          </w:p>
        </w:tc>
        <w:tc>
          <w:tcPr>
            <w:tcW w:w="120" w:type="dxa"/>
            <w:vAlign w:val="bottom"/>
          </w:tcPr>
          <w:p>
            <w:pPr>
              <w:spacing w:after="0"/>
              <w:rPr>
                <w:sz w:val="22"/>
                <w:szCs w:val="22"/>
                <w:color w:val="auto"/>
              </w:rPr>
            </w:pPr>
          </w:p>
        </w:tc>
        <w:tc>
          <w:tcPr>
            <w:tcW w:w="2260" w:type="dxa"/>
            <w:vAlign w:val="bottom"/>
            <w:tcBorders>
              <w:top w:val="single" w:sz="8" w:color="auto"/>
            </w:tcBorders>
          </w:tcPr>
          <w:p>
            <w:pPr>
              <w:spacing w:after="0"/>
              <w:rPr>
                <w:sz w:val="22"/>
                <w:szCs w:val="22"/>
                <w:color w:val="auto"/>
              </w:rPr>
            </w:pPr>
          </w:p>
        </w:tc>
      </w:tr>
      <w:tr>
        <w:trPr>
          <w:trHeight w:val="21"/>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Index to Exhibits.</w:t>
      </w:r>
    </w:p>
    <w:p>
      <w:pPr>
        <w:sectPr>
          <w:pgSz w:w="11900" w:h="16838" w:orient="portrait"/>
          <w:cols w:equalWidth="0" w:num="1">
            <w:col w:w="11420"/>
          </w:cols>
          <w:pgMar w:left="240" w:top="999" w:right="2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77" w:lineRule="exact"/>
        <w:rPr>
          <w:sz w:val="20"/>
          <w:szCs w:val="20"/>
          <w:color w:val="auto"/>
        </w:rPr>
      </w:pPr>
    </w:p>
    <w:p>
      <w:pPr>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Certifications of Chief Executive Officer and Chief Financial Officer pursuant to Section 906 of the Sarbanes-Oxley Act of 2002, 18 U.S.C.</w:t>
        </w:r>
      </w:hyperlink>
    </w:p>
    <w:p>
      <w:pPr>
        <w:spacing w:after="0" w:line="8" w:lineRule="exact"/>
        <w:rPr>
          <w:sz w:val="20"/>
          <w:szCs w:val="20"/>
          <w:color w:val="auto"/>
        </w:rPr>
      </w:pPr>
    </w:p>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Section 1350.</w:t>
        </w:r>
      </w:hyperlink>
    </w:p>
    <w:p>
      <w:pPr>
        <w:spacing w:after="0" w:line="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Inline XBRL document.</w:t>
      </w:r>
    </w:p>
    <w:p>
      <w:pPr>
        <w:spacing w:after="0" w:line="62" w:lineRule="exact"/>
        <w:rPr>
          <w:sz w:val="20"/>
          <w:szCs w:val="20"/>
          <w:color w:val="auto"/>
        </w:rPr>
      </w:pPr>
    </w:p>
    <w:p>
      <w:pPr>
        <w:sectPr>
          <w:pgSz w:w="11900" w:h="16838" w:orient="portrait"/>
          <w:cols w:equalWidth="0" w:num="2">
            <w:col w:w="640" w:space="520"/>
            <w:col w:w="10260"/>
          </w:cols>
          <w:pgMar w:left="240" w:top="999" w:right="2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76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760" w:type="dxa"/>
            <w:vAlign w:val="bottom"/>
          </w:tcPr>
          <w:p>
            <w:pPr>
              <w:ind w:left="2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76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76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760" w:type="dxa"/>
            <w:vAlign w:val="bottom"/>
          </w:tcPr>
          <w:p>
            <w:pPr>
              <w:ind w:left="2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94" w:lineRule="exact"/>
        <w:rPr>
          <w:sz w:val="20"/>
          <w:szCs w:val="20"/>
          <w:color w:val="auto"/>
        </w:rPr>
      </w:pPr>
    </w:p>
    <w:p>
      <w:pPr>
        <w:ind w:left="1160" w:hanging="1134"/>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AMC Networks Inc.</w:t>
      </w:r>
    </w:p>
    <w:p>
      <w:pPr>
        <w:spacing w:after="0" w:line="212" w:lineRule="exact"/>
        <w:rPr>
          <w:sz w:val="20"/>
          <w:szCs w:val="20"/>
          <w:color w:val="auto"/>
        </w:rPr>
      </w:pPr>
    </w:p>
    <w:p>
      <w:pPr>
        <w:ind w:left="200"/>
        <w:spacing w:after="0"/>
        <w:tabs>
          <w:tab w:leader="none" w:pos="5460"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31750</wp:posOffset>
            </wp:positionV>
            <wp:extent cx="3576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93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20" w:val="left"/>
          <w:tab w:leader="none" w:pos="7220" w:val="left"/>
        </w:tabs>
        <w:rPr>
          <w:sz w:val="20"/>
          <w:szCs w:val="20"/>
          <w:color w:val="auto"/>
        </w:rPr>
      </w:pPr>
      <w:r>
        <w:rPr>
          <w:rFonts w:ascii="Arial" w:cs="Arial" w:eastAsia="Arial" w:hAnsi="Arial"/>
          <w:sz w:val="18"/>
          <w:szCs w:val="18"/>
          <w:color w:val="auto"/>
        </w:rPr>
        <w:t>Date:</w:t>
        <w:tab/>
        <w:t>October 31, 2019</w:t>
      </w:r>
      <w:r>
        <w:rPr>
          <w:sz w:val="20"/>
          <w:szCs w:val="20"/>
          <w:color w:val="auto"/>
        </w:rPr>
        <w:tab/>
      </w:r>
      <w:r>
        <w:rPr>
          <w:rFonts w:ascii="Arial" w:cs="Arial" w:eastAsia="Arial" w:hAnsi="Arial"/>
          <w:sz w:val="16"/>
          <w:szCs w:val="16"/>
          <w:color w:val="auto"/>
        </w:rPr>
        <w:t>By: /s/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441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00" w:val="left"/>
          <w:tab w:leader="none" w:pos="7200" w:val="left"/>
        </w:tabs>
        <w:rPr>
          <w:sz w:val="20"/>
          <w:szCs w:val="20"/>
          <w:color w:val="auto"/>
        </w:rPr>
      </w:pPr>
      <w:r>
        <w:rPr>
          <w:rFonts w:ascii="Arial" w:cs="Arial" w:eastAsia="Arial" w:hAnsi="Arial"/>
          <w:sz w:val="18"/>
          <w:szCs w:val="18"/>
          <w:color w:val="auto"/>
        </w:rPr>
        <w:t>Date:</w:t>
        <w:tab/>
        <w:t>October 31, 2019</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31750</wp:posOffset>
            </wp:positionV>
            <wp:extent cx="24523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September 30, 2019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95" w:lineRule="exact"/>
        <w:rPr>
          <w:sz w:val="20"/>
          <w:szCs w:val="20"/>
          <w:color w:val="auto"/>
        </w:rPr>
      </w:pPr>
    </w:p>
    <w:p>
      <w:pPr>
        <w:ind w:left="20"/>
        <w:spacing w:after="0"/>
        <w:tabs>
          <w:tab w:leader="none" w:pos="620" w:val="left"/>
          <w:tab w:leader="none" w:pos="7200" w:val="left"/>
        </w:tabs>
        <w:rPr>
          <w:sz w:val="20"/>
          <w:szCs w:val="20"/>
          <w:color w:val="auto"/>
        </w:rPr>
      </w:pPr>
      <w:r>
        <w:rPr>
          <w:rFonts w:ascii="Arial" w:cs="Arial" w:eastAsia="Arial" w:hAnsi="Arial"/>
          <w:sz w:val="18"/>
          <w:szCs w:val="18"/>
          <w:color w:val="auto"/>
        </w:rPr>
        <w:t>Date:</w:t>
        <w:tab/>
        <w:t>October 31, 2019</w:t>
      </w:r>
      <w:r>
        <w:rPr>
          <w:sz w:val="20"/>
          <w:szCs w:val="20"/>
          <w:color w:val="auto"/>
        </w:rPr>
        <w:tab/>
      </w:r>
      <w:r>
        <w:rPr>
          <w:rFonts w:ascii="Arial" w:cs="Arial" w:eastAsia="Arial" w:hAnsi="Arial"/>
          <w:sz w:val="16"/>
          <w:szCs w:val="16"/>
          <w:color w:val="auto"/>
        </w:rPr>
        <w:t>By: /s/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31750</wp:posOffset>
            </wp:positionV>
            <wp:extent cx="24441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200" w:val="left"/>
        </w:tabs>
        <w:rPr>
          <w:sz w:val="20"/>
          <w:szCs w:val="20"/>
          <w:color w:val="auto"/>
        </w:rPr>
      </w:pPr>
      <w:r>
        <w:rPr>
          <w:rFonts w:ascii="Arial" w:cs="Arial" w:eastAsia="Arial" w:hAnsi="Arial"/>
          <w:sz w:val="18"/>
          <w:szCs w:val="18"/>
          <w:color w:val="auto"/>
        </w:rPr>
        <w:t>Date:</w:t>
        <w:tab/>
        <w:t>October 31, 2019</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31750</wp:posOffset>
            </wp:positionV>
            <wp:extent cx="24523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2019-12-28T03:18:34Z</dcterms:created>
  <dcterms:modified xsi:type="dcterms:W3CDTF">2019-12-28T03:18:34Z</dcterms:modified>
</cp:coreProperties>
</file>