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91440</wp:posOffset>
            </wp:positionV>
            <wp:extent cx="3291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62230</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7"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44"/>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686"/>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3300" w:type="dxa"/>
            <w:vAlign w:val="bottom"/>
            <w:gridSpan w:val="2"/>
          </w:tcPr>
          <w:p>
            <w:pPr>
              <w:jc w:val="center"/>
              <w:ind w:left="12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35"/>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243840</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8"/>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3"/>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April 30, 2021:</w:t>
            </w:r>
          </w:p>
        </w:tc>
        <w:tc>
          <w:tcPr>
            <w:tcW w:w="3800" w:type="dxa"/>
            <w:vAlign w:val="bottom"/>
          </w:tcPr>
          <w:p>
            <w:pPr>
              <w:spacing w:after="0"/>
              <w:rPr>
                <w:sz w:val="24"/>
                <w:szCs w:val="24"/>
                <w:color w:val="auto"/>
              </w:rPr>
            </w:pPr>
          </w:p>
        </w:tc>
      </w:tr>
      <w:tr>
        <w:trPr>
          <w:trHeight w:val="283"/>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30,731,275</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796"/>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2. Management’s Discussion and Analysis of Financial Condition and Results of Operations</w:t>
              </w:r>
            </w:hyperlink>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 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Item 4.</w:t>
              </w:r>
            </w:hyperlink>
          </w:p>
        </w:tc>
        <w:tc>
          <w:tcPr>
            <w:tcW w:w="180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Item 1.</w:t>
              </w:r>
            </w:hyperlink>
          </w:p>
        </w:tc>
        <w:tc>
          <w:tcPr>
            <w:tcW w:w="136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Item 2.</w:t>
              </w:r>
            </w:hyperlink>
          </w:p>
        </w:tc>
        <w:tc>
          <w:tcPr>
            <w:tcW w:w="438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Item 6.</w:t>
              </w:r>
            </w:hyperlink>
          </w:p>
        </w:tc>
        <w:tc>
          <w:tcPr>
            <w:tcW w:w="9700" w:type="dxa"/>
            <w:vAlign w:val="bottom"/>
            <w:gridSpan w:val="15"/>
          </w:tcPr>
          <w:p>
            <w:pPr>
              <w:ind w:left="20"/>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7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SIGNATURES</w:t>
              </w:r>
            </w:hyperlink>
          </w:p>
        </w:tc>
        <w:tc>
          <w:tcPr>
            <w:tcW w:w="76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ind w:right="-19"/>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99"/>
        </w:trPr>
        <w:tc>
          <w:tcPr>
            <w:tcW w:w="750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993,123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888,526</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trade (less allowance for doubtful accounts of $8,780 and $11,234)</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813,587</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Arial" w:cs="Arial" w:eastAsia="Arial" w:hAnsi="Arial"/>
                <w:sz w:val="16"/>
                <w:szCs w:val="16"/>
                <w:color w:val="auto"/>
              </w:rPr>
              <w:t>Current portion of program rights,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15,833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13,480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223,173</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1,956,218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1,938,766</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$268,770 and $261,082</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256,045</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1,381,884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1,269,131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410,672</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682,632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686,407</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25,046</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120,293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146,522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513,749</w:t>
            </w:r>
          </w:p>
        </w:tc>
        <w:tc>
          <w:tcPr>
            <w:tcW w:w="0" w:type="dxa"/>
            <w:vAlign w:val="bottom"/>
          </w:tcPr>
          <w:p>
            <w:pPr>
              <w:spacing w:after="0"/>
              <w:rPr>
                <w:sz w:val="1"/>
                <w:szCs w:val="1"/>
                <w:color w:val="auto"/>
              </w:rPr>
            </w:pPr>
          </w:p>
        </w:tc>
      </w:tr>
      <w:tr>
        <w:trPr>
          <w:trHeight w:val="212"/>
        </w:trPr>
        <w:tc>
          <w:tcPr>
            <w:tcW w:w="750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5,245,682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120,530</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268,264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320,005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program rights obligations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259,449</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71,048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Current portion of lease obligations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32,435</w:t>
            </w:r>
          </w:p>
        </w:tc>
        <w:tc>
          <w:tcPr>
            <w:tcW w:w="0" w:type="dxa"/>
            <w:vAlign w:val="bottom"/>
          </w:tcPr>
          <w:p>
            <w:pPr>
              <w:spacing w:after="0"/>
              <w:rPr>
                <w:sz w:val="1"/>
                <w:szCs w:val="1"/>
                <w:color w:val="auto"/>
              </w:rPr>
            </w:pPr>
          </w:p>
        </w:tc>
      </w:tr>
      <w:tr>
        <w:trPr>
          <w:trHeight w:val="213"/>
        </w:trPr>
        <w:tc>
          <w:tcPr>
            <w:tcW w:w="7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878,467</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210,428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182,511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2,774,307</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159,816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194,324</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132,009</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125,970</w:t>
            </w:r>
          </w:p>
        </w:tc>
        <w:tc>
          <w:tcPr>
            <w:tcW w:w="0" w:type="dxa"/>
            <w:vAlign w:val="bottom"/>
          </w:tcPr>
          <w:p>
            <w:pPr>
              <w:spacing w:after="0"/>
              <w:rPr>
                <w:sz w:val="1"/>
                <w:szCs w:val="1"/>
                <w:color w:val="auto"/>
              </w:rPr>
            </w:pPr>
          </w:p>
        </w:tc>
      </w:tr>
      <w:tr>
        <w:trPr>
          <w:trHeight w:val="213"/>
        </w:trPr>
        <w:tc>
          <w:tcPr>
            <w:tcW w:w="7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4,230,653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4,287,588</w:t>
            </w:r>
          </w:p>
        </w:tc>
        <w:tc>
          <w:tcPr>
            <w:tcW w:w="0" w:type="dxa"/>
            <w:vAlign w:val="bottom"/>
          </w:tcPr>
          <w:p>
            <w:pPr>
              <w:spacing w:after="0"/>
              <w:rPr>
                <w:sz w:val="1"/>
                <w:szCs w:val="1"/>
                <w:color w:val="auto"/>
              </w:rPr>
            </w:pP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315,649</w:t>
            </w:r>
          </w:p>
        </w:tc>
        <w:tc>
          <w:tcPr>
            <w:tcW w:w="0" w:type="dxa"/>
            <w:vAlign w:val="bottom"/>
          </w:tcPr>
          <w:p>
            <w:pPr>
              <w:spacing w:after="0"/>
              <w:rPr>
                <w:sz w:val="1"/>
                <w:szCs w:val="1"/>
                <w:color w:val="auto"/>
              </w:rPr>
            </w:pP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Class A Common Stock, $0.01 par value, 360,000 shares authorized, 65,324 and 64,568 shares issued and 30,731</w:t>
            </w:r>
          </w:p>
        </w:tc>
        <w:tc>
          <w:tcPr>
            <w:tcW w:w="2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29,975 shares outstanding, respectively</w:t>
            </w:r>
          </w:p>
        </w:tc>
        <w:tc>
          <w:tcPr>
            <w:tcW w:w="24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w w:val="98"/>
              </w:rPr>
              <w:t>Class B Common Stock, $0.01 par value, 90,000 shares authorized, 11,484 shares issued and outstanding</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314,331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323,425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1,847,451</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(1,419,882)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(134,950)</w:t>
            </w:r>
          </w:p>
        </w:tc>
        <w:tc>
          <w:tcPr>
            <w:tcW w:w="0" w:type="dxa"/>
            <w:vAlign w:val="bottom"/>
          </w:tcPr>
          <w:p>
            <w:pPr>
              <w:spacing w:after="0"/>
              <w:rPr>
                <w:sz w:val="1"/>
                <w:szCs w:val="1"/>
                <w:color w:val="auto"/>
              </w:rPr>
            </w:pPr>
          </w:p>
        </w:tc>
      </w:tr>
      <w:tr>
        <w:trPr>
          <w:trHeight w:val="206"/>
        </w:trPr>
        <w:tc>
          <w:tcPr>
            <w:tcW w:w="7500" w:type="dxa"/>
            <w:vAlign w:val="bottom"/>
          </w:tcPr>
          <w:p>
            <w:pPr>
              <w:ind w:left="660"/>
              <w:spacing w:after="0"/>
              <w:rPr>
                <w:sz w:val="20"/>
                <w:szCs w:val="20"/>
                <w:color w:val="auto"/>
              </w:rPr>
            </w:pPr>
            <w:r>
              <w:rPr>
                <w:rFonts w:ascii="Arial" w:cs="Arial" w:eastAsia="Arial" w:hAnsi="Arial"/>
                <w:sz w:val="16"/>
                <w:szCs w:val="16"/>
                <w:color w:val="auto"/>
              </w:rPr>
              <w:t>Total AMC Networks stockholders' equity</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673,452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616,805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26,296</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721,561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643,101</w:t>
            </w:r>
          </w:p>
        </w:tc>
        <w:tc>
          <w:tcPr>
            <w:tcW w:w="0" w:type="dxa"/>
            <w:vAlign w:val="bottom"/>
          </w:tcPr>
          <w:p>
            <w:pPr>
              <w:spacing w:after="0"/>
              <w:rPr>
                <w:sz w:val="1"/>
                <w:szCs w:val="1"/>
                <w:color w:val="auto"/>
              </w:rPr>
            </w:pPr>
          </w:p>
        </w:tc>
      </w:tr>
      <w:tr>
        <w:trPr>
          <w:trHeight w:val="238"/>
        </w:trPr>
        <w:tc>
          <w:tcPr>
            <w:tcW w:w="75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5,245,682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5,246,338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734,375</w:t>
            </w:r>
          </w:p>
        </w:tc>
      </w:tr>
      <w:tr>
        <w:trPr>
          <w:trHeight w:val="209"/>
        </w:trPr>
        <w:tc>
          <w:tcPr>
            <w:tcW w:w="8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280,572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344,060</w:t>
            </w: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191,535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184,649</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16,055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r>
      <w:tr>
        <w:trPr>
          <w:trHeight w:val="223"/>
        </w:trPr>
        <w:tc>
          <w:tcPr>
            <w:tcW w:w="8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522,033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561,405</w:t>
            </w:r>
          </w:p>
        </w:tc>
      </w:tr>
      <w:tr>
        <w:trPr>
          <w:trHeight w:val="223"/>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172,970</w:t>
            </w:r>
          </w:p>
        </w:tc>
      </w:tr>
      <w:tr>
        <w:trPr>
          <w:trHeight w:val="209"/>
        </w:trPr>
        <w:tc>
          <w:tcPr>
            <w:tcW w:w="83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(37,564)</w:t>
            </w:r>
          </w:p>
        </w:tc>
      </w:tr>
      <w:tr>
        <w:trPr>
          <w:trHeight w:val="229"/>
        </w:trPr>
        <w:tc>
          <w:tcPr>
            <w:tcW w:w="8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4,555</w:t>
            </w:r>
          </w:p>
        </w:tc>
      </w:tr>
      <w:tr>
        <w:trPr>
          <w:trHeight w:val="23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r>
      <w:tr>
        <w:trPr>
          <w:trHeight w:val="229"/>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(29,939)</w:t>
            </w:r>
          </w:p>
        </w:tc>
      </w:tr>
      <w:tr>
        <w:trPr>
          <w:trHeight w:val="223"/>
        </w:trPr>
        <w:tc>
          <w:tcPr>
            <w:tcW w:w="8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(65,856)</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120,640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107,114</w:t>
            </w:r>
          </w:p>
        </w:tc>
      </w:tr>
      <w:tr>
        <w:trPr>
          <w:trHeight w:val="229"/>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(33,588)</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73,526</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68,667</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8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162"/>
        </w:trPr>
        <w:tc>
          <w:tcPr>
            <w:tcW w:w="8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43,171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56,061</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w:t>
            </w:r>
          </w:p>
        </w:tc>
      </w:tr>
      <w:tr>
        <w:trPr>
          <w:trHeight w:val="229"/>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Unrealized gain (loss) on interest rate swaps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w:t>
            </w:r>
          </w:p>
        </w:tc>
      </w:tr>
      <w:tr>
        <w:trPr>
          <w:trHeight w:val="229"/>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(28,653)</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44,873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41,175</w:t>
            </w: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72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72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$ 323,425</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1,847,451</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87,021</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interests</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Contribution from noncontrolling member</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13,446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(34,640)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(34,633)</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$ 314,331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1,934,472</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(156,237)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673,452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2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$ 286,491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1,609,428</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(1,063,181)</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(167,711)</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665,781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25,724</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68,667</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68,667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68,667</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Adoption of ASU 2016-13, credit losses</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(29,814)</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15,512</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(85,957)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(85,957)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(85,957)</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(8,858)</w:t>
            </w:r>
          </w:p>
        </w:tc>
        <w:tc>
          <w:tcPr>
            <w:tcW w:w="0" w:type="dxa"/>
            <w:vAlign w:val="bottom"/>
          </w:tcPr>
          <w:p>
            <w:pPr>
              <w:spacing w:after="0"/>
              <w:rPr>
                <w:sz w:val="1"/>
                <w:szCs w:val="1"/>
                <w:color w:val="auto"/>
              </w:rPr>
            </w:pPr>
          </w:p>
        </w:tc>
      </w:tr>
      <w:tr>
        <w:trPr>
          <w:trHeight w:val="179"/>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$ 282,153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1,676,139</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(1,149,138)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(196,364)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613,548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23,848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94,725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73,526</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26,730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15,512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and write-off of program rights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150,987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223,982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7,848</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29"/>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15,900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Loss on investments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17,532</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Program rights and obligations,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(221,627)</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carriage fees,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(15,484)</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(20,372)</w:t>
            </w:r>
          </w:p>
        </w:tc>
      </w:tr>
      <w:tr>
        <w:trPr>
          <w:trHeight w:val="206"/>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107,563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198,408</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(12,916)</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investment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Cash paid on distribution of business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(209,375)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(8,858)</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(85,957)</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(3,081)</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(303,052)</w:t>
            </w:r>
          </w:p>
        </w:tc>
      </w:tr>
      <w:tr>
        <w:trPr>
          <w:trHeight w:val="207"/>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109,635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(106,310)</w:t>
            </w:r>
          </w:p>
        </w:tc>
      </w:tr>
      <w:tr>
        <w:trPr>
          <w:trHeight w:val="213"/>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(5,731)</w:t>
            </w:r>
          </w:p>
        </w:tc>
      </w:tr>
      <w:tr>
        <w:trPr>
          <w:trHeight w:val="206"/>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816,170</w:t>
            </w:r>
          </w:p>
        </w:tc>
      </w:tr>
      <w:tr>
        <w:trPr>
          <w:trHeight w:val="238"/>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993,123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704,129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the Company changed its presentation of operating segments, reflecting a reorganized operating structure focused on a multi-platform distribution approach to content monetization. The Company's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(formerly Levity), our production services business. See Note 4 relating to the spin-off of the Levity comedy venues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2020 contained in the Company's Annual Report on Form 10-K ("2020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COVID-19 pandemic and measures to prevent its spread continue to affect our businesses in a number of ways, including adverse advertising sales impacts and delays in the creation and availability of our programming.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Effective January 1, 2021, the Company adopted Financial Accounting Standard Board (“FASB”) 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Topic 740 - Income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the standard did not have a material effect on its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2021,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1,019,853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1,081,070</w:t>
            </w:r>
          </w:p>
        </w:tc>
      </w:tr>
      <w:tr>
        <w:trPr>
          <w:trHeight w:val="229"/>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r>
      <w:tr>
        <w:trPr>
          <w:trHeight w:val="229"/>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71,048</w:t>
            </w: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three months ended March 31, 2021 relating to the contract liability at December 31, 2020 was $7.7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361"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20320</wp:posOffset>
            </wp:positionV>
            <wp:extent cx="18516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6"/>
        </w:trPr>
        <w:tc>
          <w:tcPr>
            <w:tcW w:w="8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55,477</w:t>
            </w: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Effect of dilution:</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Restricted stock units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48"/>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Approximately 0.5 million and 1.3 million restricted stock units outstanding as of March 31, 2021 and March 31, 2020, respectively, have been excluded from diluted weighted average common shares outstanding since a performance condition for these awards had not been met in each of the respective periods. As of March 31, 2021 and March 31, 2020, 0.4 million and 0.4 million, respectively, of restricted stock units and stock options have been excluded from diluted weighted average common shares outstanding, as their impact would have been anti-dilutive.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March 31, 2021, the Company did not repurchase any shares of its Class A Common Stock. As of March 31, 2021, the Company had $135.3 million of authorization remaining for repurchase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$8.6 million for the three months ended March 31, 2021, consisted of $4.1 million of severance costs associated with the restructuring plan announced in November 2020 and $4.5 million at AMCNI related to the termination of distribution in certain international territories.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$6.0 million for the three months ended March 31, 2020, primarily related to restructuring costs associated with the termination of distribution in certain territories, as well as severance and other personnel related costs associated with previously announced restructuring activities.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99"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20320</wp:posOffset>
            </wp:positionV>
            <wp:extent cx="2691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740" w:type="dxa"/>
            <w:vAlign w:val="bottom"/>
          </w:tcPr>
          <w:p>
            <w:pPr>
              <w:jc w:val="right"/>
              <w:ind w:right="859"/>
              <w:spacing w:after="0"/>
              <w:rPr>
                <w:sz w:val="20"/>
                <w:szCs w:val="20"/>
                <w:color w:val="auto"/>
              </w:rPr>
            </w:pPr>
            <w:r>
              <w:rPr>
                <w:rFonts w:ascii="Arial" w:cs="Arial" w:eastAsia="Arial" w:hAnsi="Arial"/>
                <w:sz w:val="16"/>
                <w:szCs w:val="16"/>
                <w:b w:val="1"/>
                <w:bCs w:val="1"/>
                <w:color w:val="auto"/>
              </w:rPr>
              <w:t>2021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Domestic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 &amp;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 Inter-segment eliminations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restructuring and other related charges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accrued restructuring costs:</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228"/>
        </w:trPr>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29"/>
        </w:trPr>
        <w:tc>
          <w:tcPr>
            <w:tcW w:w="8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4,490</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3,977</w:t>
            </w:r>
          </w:p>
        </w:tc>
      </w:tr>
      <w:tr>
        <w:trPr>
          <w:trHeight w:val="230"/>
        </w:trPr>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Severance and</w:t>
            </w:r>
          </w:p>
        </w:tc>
        <w:tc>
          <w:tcPr>
            <w:tcW w:w="1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1"/>
              </w:rPr>
              <w:t>employee-related</w:t>
            </w:r>
          </w:p>
        </w:tc>
        <w:tc>
          <w:tcPr>
            <w:tcW w:w="18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Other exit costs</w:t>
            </w:r>
          </w:p>
        </w:tc>
        <w:tc>
          <w:tcPr>
            <w:tcW w:w="840" w:type="dxa"/>
            <w:vAlign w:val="bottom"/>
            <w:vMerge w:val="restart"/>
          </w:tcPr>
          <w:p>
            <w:pPr>
              <w:ind w:left="500"/>
              <w:spacing w:after="0"/>
              <w:rPr>
                <w:sz w:val="20"/>
                <w:szCs w:val="20"/>
                <w:color w:val="auto"/>
              </w:rPr>
            </w:pPr>
            <w:r>
              <w:rPr>
                <w:rFonts w:ascii="Arial" w:cs="Arial" w:eastAsia="Arial" w:hAnsi="Arial"/>
                <w:sz w:val="16"/>
                <w:szCs w:val="16"/>
                <w:b w:val="1"/>
                <w:bCs w:val="1"/>
                <w:color w:val="auto"/>
                <w:w w:val="83"/>
              </w:rPr>
              <w:t>Total</w:t>
            </w:r>
          </w:p>
        </w:tc>
        <w:tc>
          <w:tcPr>
            <w:tcW w:w="0" w:type="dxa"/>
            <w:vAlign w:val="bottom"/>
          </w:tcPr>
          <w:p>
            <w:pPr>
              <w:spacing w:after="0"/>
              <w:rPr>
                <w:sz w:val="1"/>
                <w:szCs w:val="1"/>
                <w:color w:val="auto"/>
              </w:rPr>
            </w:pPr>
          </w:p>
        </w:tc>
      </w:tr>
      <w:tr>
        <w:trPr>
          <w:trHeight w:val="210"/>
        </w:trPr>
        <w:tc>
          <w:tcPr>
            <w:tcW w:w="1460" w:type="dxa"/>
            <w:vAlign w:val="bottom"/>
          </w:tcPr>
          <w:p>
            <w:pPr>
              <w:jc w:val="center"/>
              <w:ind w:right="179"/>
              <w:spacing w:after="0"/>
              <w:rPr>
                <w:sz w:val="20"/>
                <w:szCs w:val="20"/>
                <w:color w:val="auto"/>
              </w:rPr>
            </w:pPr>
            <w:r>
              <w:rPr>
                <w:rFonts w:ascii="Arial" w:cs="Arial" w:eastAsia="Arial" w:hAnsi="Arial"/>
                <w:sz w:val="16"/>
                <w:szCs w:val="16"/>
                <w:b w:val="1"/>
                <w:bCs w:val="1"/>
                <w:color w:val="auto"/>
                <w:w w:val="76"/>
              </w:rPr>
              <w:t>costs</w:t>
            </w:r>
          </w:p>
        </w:tc>
        <w:tc>
          <w:tcPr>
            <w:tcW w:w="1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60" w:space="720"/>
            <w:col w:w="47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25,571</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8,625</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(4,457)</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w:t>
            </w:r>
          </w:p>
        </w:tc>
      </w:tr>
      <w:tr>
        <w:trPr>
          <w:trHeight w:val="20"/>
        </w:trPr>
        <w:tc>
          <w:tcPr>
            <w:tcW w:w="6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restructuring costs of $7.4 million are included in accrued liabilities in the condensed consolidated balance sheet at March 31,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Program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capitalized produced and licensed content by predominant monetization strategy is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200" w:type="dxa"/>
            <w:vAlign w:val="bottom"/>
          </w:tcPr>
          <w:p>
            <w:pPr>
              <w:spacing w:after="0"/>
              <w:rPr>
                <w:sz w:val="14"/>
                <w:szCs w:val="14"/>
                <w:color w:val="auto"/>
              </w:rPr>
            </w:pPr>
          </w:p>
        </w:tc>
        <w:tc>
          <w:tcPr>
            <w:tcW w:w="1700" w:type="dxa"/>
            <w:vAlign w:val="bottom"/>
            <w:gridSpan w:val="2"/>
          </w:tcPr>
          <w:p>
            <w:pPr>
              <w:ind w:left="20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6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252,306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23,015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275,321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552,430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195,814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195,814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204,508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640,779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845,287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676,991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1,397,717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1,397,717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including write-offs, of owned and licensed program rights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w w:val="93"/>
              </w:rPr>
              <w:t>Three Months Ended March 31, 2021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80"/>
              <w:spacing w:after="0" w:line="162" w:lineRule="exact"/>
              <w:rPr>
                <w:sz w:val="20"/>
                <w:szCs w:val="20"/>
                <w:color w:val="auto"/>
              </w:rPr>
            </w:pPr>
            <w:r>
              <w:rPr>
                <w:rFonts w:ascii="Arial" w:cs="Arial" w:eastAsia="Arial" w:hAnsi="Arial"/>
                <w:sz w:val="16"/>
                <w:szCs w:val="16"/>
                <w:color w:val="auto"/>
                <w:w w:val="93"/>
              </w:rPr>
              <w:t>Predominantly</w:t>
            </w:r>
          </w:p>
        </w:tc>
        <w:tc>
          <w:tcPr>
            <w:tcW w:w="100" w:type="dxa"/>
            <w:vAlign w:val="bottom"/>
          </w:tcPr>
          <w:p>
            <w:pPr>
              <w:spacing w:after="0"/>
              <w:rPr>
                <w:sz w:val="14"/>
                <w:szCs w:val="14"/>
                <w:color w:val="auto"/>
              </w:rPr>
            </w:pPr>
          </w:p>
        </w:tc>
        <w:tc>
          <w:tcPr>
            <w:tcW w:w="168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1"/>
              </w:rPr>
              <w:t>Predominantly</w:t>
            </w:r>
          </w:p>
        </w:tc>
        <w:tc>
          <w:tcPr>
            <w:tcW w:w="500" w:type="dxa"/>
            <w:vAlign w:val="bottom"/>
          </w:tcPr>
          <w:p>
            <w:pPr>
              <w:spacing w:after="0"/>
              <w:rPr>
                <w:sz w:val="14"/>
                <w:szCs w:val="14"/>
                <w:color w:val="auto"/>
              </w:rPr>
            </w:pPr>
          </w:p>
        </w:tc>
        <w:tc>
          <w:tcPr>
            <w:tcW w:w="1140" w:type="dxa"/>
            <w:vAlign w:val="bottom"/>
            <w:vMerge w:val="restart"/>
          </w:tcPr>
          <w:p>
            <w:pPr>
              <w:jc w:val="right"/>
              <w:ind w:right="5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gridSpan w:val="3"/>
          </w:tcPr>
          <w:p>
            <w:pPr>
              <w:jc w:val="center"/>
              <w:ind w:right="160"/>
              <w:spacing w:after="0"/>
              <w:rPr>
                <w:sz w:val="20"/>
                <w:szCs w:val="20"/>
                <w:color w:val="auto"/>
              </w:rPr>
            </w:pPr>
            <w:r>
              <w:rPr>
                <w:rFonts w:ascii="Arial" w:cs="Arial" w:eastAsia="Arial" w:hAnsi="Arial"/>
                <w:sz w:val="16"/>
                <w:szCs w:val="16"/>
                <w:color w:val="auto"/>
                <w:w w:val="96"/>
              </w:rPr>
              <w:t>Monetized Individually</w:t>
            </w:r>
          </w:p>
        </w:tc>
        <w:tc>
          <w:tcPr>
            <w:tcW w:w="10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Monetized as a Group</w:t>
            </w:r>
          </w:p>
        </w:tc>
        <w:tc>
          <w:tcPr>
            <w:tcW w:w="5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8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Owned original program rights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33,906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4,566</w:t>
            </w:r>
          </w:p>
        </w:tc>
        <w:tc>
          <w:tcPr>
            <w:tcW w:w="16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38,472</w:t>
            </w:r>
          </w:p>
        </w:tc>
        <w:tc>
          <w:tcPr>
            <w:tcW w:w="0" w:type="dxa"/>
            <w:vAlign w:val="bottom"/>
          </w:tcPr>
          <w:p>
            <w:pPr>
              <w:spacing w:after="0"/>
              <w:rPr>
                <w:sz w:val="1"/>
                <w:szCs w:val="1"/>
                <w:color w:val="auto"/>
              </w:rPr>
            </w:pPr>
          </w:p>
        </w:tc>
      </w:tr>
      <w:tr>
        <w:trPr>
          <w:trHeight w:val="21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25,020</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87,495</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112,515</w:t>
            </w:r>
          </w:p>
        </w:tc>
        <w:tc>
          <w:tcPr>
            <w:tcW w:w="0" w:type="dxa"/>
            <w:vAlign w:val="bottom"/>
          </w:tcPr>
          <w:p>
            <w:pPr>
              <w:spacing w:after="0"/>
              <w:rPr>
                <w:sz w:val="1"/>
                <w:szCs w:val="1"/>
                <w:color w:val="auto"/>
              </w:rPr>
            </w:pPr>
          </w:p>
        </w:tc>
      </w:tr>
      <w:tr>
        <w:trPr>
          <w:trHeight w:val="207"/>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Program rights amortization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58,926</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92,061</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150,987</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w w:val="94"/>
              </w:rPr>
              <w:t>Three Months Ended March 31, 2020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80"/>
              <w:spacing w:after="0" w:line="162" w:lineRule="exact"/>
              <w:rPr>
                <w:sz w:val="20"/>
                <w:szCs w:val="20"/>
                <w:color w:val="auto"/>
              </w:rPr>
            </w:pPr>
            <w:r>
              <w:rPr>
                <w:rFonts w:ascii="Arial" w:cs="Arial" w:eastAsia="Arial" w:hAnsi="Arial"/>
                <w:sz w:val="16"/>
                <w:szCs w:val="16"/>
                <w:color w:val="auto"/>
                <w:w w:val="91"/>
              </w:rPr>
              <w:t>Predominantly</w:t>
            </w:r>
          </w:p>
        </w:tc>
        <w:tc>
          <w:tcPr>
            <w:tcW w:w="220" w:type="dxa"/>
            <w:vAlign w:val="bottom"/>
          </w:tcPr>
          <w:p>
            <w:pPr>
              <w:spacing w:after="0"/>
              <w:rPr>
                <w:sz w:val="14"/>
                <w:szCs w:val="14"/>
                <w:color w:val="auto"/>
              </w:rPr>
            </w:pPr>
          </w:p>
        </w:tc>
        <w:tc>
          <w:tcPr>
            <w:tcW w:w="1560" w:type="dxa"/>
            <w:vAlign w:val="bottom"/>
            <w:gridSpan w:val="2"/>
          </w:tcPr>
          <w:p>
            <w:pPr>
              <w:jc w:val="center"/>
              <w:ind w:right="360"/>
              <w:spacing w:after="0" w:line="162" w:lineRule="exact"/>
              <w:rPr>
                <w:sz w:val="20"/>
                <w:szCs w:val="20"/>
                <w:color w:val="auto"/>
              </w:rPr>
            </w:pPr>
            <w:r>
              <w:rPr>
                <w:rFonts w:ascii="Arial" w:cs="Arial" w:eastAsia="Arial" w:hAnsi="Arial"/>
                <w:sz w:val="16"/>
                <w:szCs w:val="16"/>
                <w:color w:val="auto"/>
                <w:w w:val="93"/>
              </w:rPr>
              <w:t>Predominantly</w:t>
            </w:r>
          </w:p>
        </w:tc>
        <w:tc>
          <w:tcPr>
            <w:tcW w:w="500" w:type="dxa"/>
            <w:vAlign w:val="bottom"/>
          </w:tcPr>
          <w:p>
            <w:pPr>
              <w:spacing w:after="0"/>
              <w:rPr>
                <w:sz w:val="14"/>
                <w:szCs w:val="14"/>
                <w:color w:val="auto"/>
              </w:rPr>
            </w:pPr>
          </w:p>
        </w:tc>
        <w:tc>
          <w:tcPr>
            <w:tcW w:w="1140" w:type="dxa"/>
            <w:vAlign w:val="bottom"/>
            <w:vMerge w:val="restart"/>
          </w:tcPr>
          <w:p>
            <w:pPr>
              <w:jc w:val="right"/>
              <w:ind w:right="5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gridSpan w:val="3"/>
          </w:tcPr>
          <w:p>
            <w:pPr>
              <w:jc w:val="center"/>
              <w:ind w:right="140"/>
              <w:spacing w:after="0"/>
              <w:rPr>
                <w:sz w:val="20"/>
                <w:szCs w:val="20"/>
                <w:color w:val="auto"/>
              </w:rPr>
            </w:pPr>
            <w:r>
              <w:rPr>
                <w:rFonts w:ascii="Arial" w:cs="Arial" w:eastAsia="Arial" w:hAnsi="Arial"/>
                <w:sz w:val="16"/>
                <w:szCs w:val="16"/>
                <w:color w:val="auto"/>
                <w:w w:val="96"/>
              </w:rPr>
              <w:t>Monetized Individually</w:t>
            </w:r>
          </w:p>
        </w:tc>
        <w:tc>
          <w:tcPr>
            <w:tcW w:w="178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Monetized as a Group</w:t>
            </w:r>
          </w:p>
        </w:tc>
        <w:tc>
          <w:tcPr>
            <w:tcW w:w="5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8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Owned original program rights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105,561</w:t>
            </w:r>
          </w:p>
        </w:tc>
        <w:tc>
          <w:tcPr>
            <w:tcW w:w="1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105,561</w:t>
            </w:r>
          </w:p>
        </w:tc>
        <w:tc>
          <w:tcPr>
            <w:tcW w:w="0" w:type="dxa"/>
            <w:vAlign w:val="bottom"/>
          </w:tcPr>
          <w:p>
            <w:pPr>
              <w:spacing w:after="0"/>
              <w:rPr>
                <w:sz w:val="1"/>
                <w:szCs w:val="1"/>
                <w:color w:val="auto"/>
              </w:rPr>
            </w:pPr>
          </w:p>
        </w:tc>
      </w:tr>
      <w:tr>
        <w:trPr>
          <w:trHeight w:val="21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97,069</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118,421</w:t>
            </w:r>
          </w:p>
        </w:tc>
        <w:tc>
          <w:tcPr>
            <w:tcW w:w="0" w:type="dxa"/>
            <w:vAlign w:val="bottom"/>
          </w:tcPr>
          <w:p>
            <w:pPr>
              <w:spacing w:after="0"/>
              <w:rPr>
                <w:sz w:val="1"/>
                <w:szCs w:val="1"/>
                <w:color w:val="auto"/>
              </w:rPr>
            </w:pPr>
          </w:p>
        </w:tc>
      </w:tr>
      <w:tr>
        <w:trPr>
          <w:trHeight w:val="20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Program rights amortization</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126,913</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97,069</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223,982</w:t>
            </w: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There were no program rights write-offs included in technical and operating expense for the three months ended March 31, 2021 and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holds several investments and loans in non-consolidated entities which are included in Other assets in the condensed consolidated balance sheet. Equity method investments were $95.3 million at March 31, 2021 and $69.5 million at December 31, 2020. In February 2021, the Company invested $25.5 million for an interest in a Toronto-based production company and studio, which is accounted for as an equity method investment.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 Investments in marketable equity securities were $11.2 million at March 31, 2021 and $62.4 million at December 31, 2020. In January 2021, the Company sold the remaining portion of one of its marketable securities with a carrying value of $51.0 million as of December 31, 2020, resulting in a realized loss of $5.4 million. There were no unrealized gains or losses on marketable equity securities for the three months ended March 31, 2021. For the three months ended March 31, 2020, unrealized losses on marketable equity securities were $1.1 million, included in miscellaneous, net in the condensed consolidated statement of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condensed consolidated statement of income.</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Investments in non-marketable equity securities were $36.0 million at March 31, 2021 and $35.8 million at December 31, 2020. For the three months ended March 31, 2020, the Company recognized impairment charges of $20.0 million related to the write-down of certain non-marketable equity securities, included in miscellaneous,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Domestic Operations</w:t>
            </w:r>
          </w:p>
        </w:tc>
        <w:tc>
          <w:tcPr>
            <w:tcW w:w="260" w:type="dxa"/>
            <w:vAlign w:val="bottom"/>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6"/>
                <w:szCs w:val="16"/>
                <w:color w:val="auto"/>
              </w:rPr>
            </w:pPr>
          </w:p>
        </w:tc>
        <w:tc>
          <w:tcPr>
            <w:tcW w:w="1380" w:type="dxa"/>
            <w:vAlign w:val="bottom"/>
            <w:vMerge w:val="restart"/>
          </w:tcPr>
          <w:p>
            <w:pPr>
              <w:jc w:val="right"/>
              <w:ind w:right="6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352,905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686,407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Goodwill written off related to spin-off of a business unit</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682,632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2021 and December 31, 2020, accumulated impairment charges in the International and Other segment totaled $123.1 million.</w:t>
      </w:r>
    </w:p>
    <w:p>
      <w:pPr>
        <w:spacing w:after="0" w:line="12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$0.3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621,136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(335,631)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285,505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370,019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792,220</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(402,301)</w:t>
            </w:r>
          </w:p>
        </w:tc>
        <w:tc>
          <w:tcPr>
            <w:tcW w:w="10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389,919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1"/>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2020</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624,699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(330,350)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294,349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390,772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(396,735)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three months ended March 31, 2021 and 2020 was $9.5 million and $12.1 million, respectively. Estimated aggregate amortization expense for intangible assets subject to amortization for each of the following five years is: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7"/>
              </w:rPr>
              <w:t>AMC NETWORKS INC. AND SUBSIDIARIES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0" w:type="dxa"/>
            <w:vAlign w:val="bottom"/>
            <w:gridSpan w:val="7"/>
          </w:tcPr>
          <w:p>
            <w:pPr>
              <w:jc w:val="center"/>
              <w:ind w:right="20"/>
              <w:spacing w:after="0"/>
              <w:rPr>
                <w:sz w:val="20"/>
                <w:szCs w:val="20"/>
                <w:color w:val="auto"/>
              </w:rPr>
            </w:pPr>
            <w:r>
              <w:rPr>
                <w:rFonts w:ascii="Arial" w:cs="Arial" w:eastAsia="Arial" w:hAnsi="Arial"/>
                <w:sz w:val="18"/>
                <w:szCs w:val="18"/>
                <w:color w:val="auto"/>
                <w:w w:val="95"/>
              </w:rPr>
              <w:t>NOTES TO CONDENSED CONSOLIDATED FINANCIAL STATEMENTS - (Continued)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(unaudited)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7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37,433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87"/>
              </w:rPr>
              <w:t>37,161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7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37,073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7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Arial" w:cs="Arial" w:eastAsia="Arial" w:hAnsi="Arial"/>
                <w:sz w:val="18"/>
                <w:szCs w:val="18"/>
                <w:color w:val="auto"/>
                <w:w w:val="87"/>
              </w:rPr>
              <w:t>37,004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78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35,203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Note 9. Accrued Liabilities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700" w:type="dxa"/>
            <w:vAlign w:val="bottom"/>
            <w:gridSpan w:val="2"/>
          </w:tcPr>
          <w:p>
            <w:pPr>
              <w:ind w:left="440"/>
              <w:spacing w:after="0"/>
              <w:rPr>
                <w:sz w:val="20"/>
                <w:szCs w:val="20"/>
                <w:color w:val="auto"/>
              </w:rPr>
            </w:pPr>
            <w:r>
              <w:rPr>
                <w:rFonts w:ascii="Arial" w:cs="Arial" w:eastAsia="Arial" w:hAnsi="Arial"/>
                <w:sz w:val="18"/>
                <w:szCs w:val="18"/>
                <w:color w:val="auto"/>
                <w:w w:val="98"/>
              </w:rPr>
              <w:t>Accrued liabilities consist of the following:</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1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3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Participations and residuals</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87,839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6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268,264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720" w:type="dxa"/>
            <w:vAlign w:val="bottom"/>
            <w:gridSpan w:val="3"/>
            <w:vMerge w:val="continue"/>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80" w:type="dxa"/>
            <w:vAlign w:val="bottom"/>
            <w:gridSpan w:val="5"/>
          </w:tcPr>
          <w:p>
            <w:pPr>
              <w:ind w:left="440"/>
              <w:spacing w:after="0"/>
              <w:rPr>
                <w:sz w:val="20"/>
                <w:szCs w:val="20"/>
                <w:color w:val="auto"/>
              </w:rPr>
            </w:pPr>
            <w:r>
              <w:rPr>
                <w:rFonts w:ascii="Arial" w:cs="Arial" w:eastAsia="Arial" w:hAnsi="Arial"/>
                <w:sz w:val="18"/>
                <w:szCs w:val="18"/>
                <w:color w:val="auto"/>
              </w:rPr>
              <w:t>The Company's long-term debt consists of the following: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ind w:left="1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spacing w:after="0" w:line="226"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6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38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4.75% Notes due December 2022</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5.00% Notes due April 2024</w:t>
            </w: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4.75% Notes due August 2025</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4.25% Notes due February 2029</w:t>
            </w:r>
          </w:p>
        </w:tc>
        <w:tc>
          <w:tcPr>
            <w:tcW w:w="36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deferred financing costs</w:t>
            </w:r>
          </w:p>
        </w:tc>
        <w:tc>
          <w:tcPr>
            <w:tcW w:w="3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1"/>
              </w:rPr>
              <w:t>(7,356)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2,833,542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3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3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40" w:hanging="409"/>
        <w:spacing w:after="0" w:line="277"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2021. Total undrawn revolver commitments are available to be drawn for general corporate purposes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Amended and Restated Credit Agreement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February 8, 2021, AMC Networks entered into Amendment No. 1 (“Amendment No. 1”) to the Second Amended and Restated Credit Agreement, dated as of July 28, 2017 (as amended by Amendment No. 1, the "Credit Agreement"), among AMC Networks and its subsidiary, AMC Network Entertainment LLC, as the Initial Borrowers, certain of AMC Networks' subsidiaries, as restricted subsidiaries, JPMorgan Chase Bank, N.A., as Administrative Agent, Collateral Agent and L/C Issuer, Bank of America, as an L/C Issuer, and the lenders party thereto.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8, 2021, AMC Networks issued, and certain of AMC Networks’ subsidiaries (hereinafter, the “Guarantors”) guaranteed, $1.0 billion aggregate principal amount of 4.25% senior notes due February 15, 2029 (the “4.25% Notes due 2029”)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 In connection with the redemptions, the Company incurred a loss on extinguishment of debt for the quarter ended March 31, 2021 of $22.1 million representing the redemption premium on the 5.00% senior notes due 2024, and the write-off of a portion of the unamortized discount and deferred financing costs related to both issuances.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2020</w:t>
            </w:r>
          </w:p>
        </w:tc>
      </w:tr>
      <w:tr>
        <w:trPr>
          <w:trHeight w:val="185"/>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120,293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146,522</w:t>
            </w: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32,435</w:t>
            </w:r>
          </w:p>
        </w:tc>
      </w:tr>
      <w:tr>
        <w:trPr>
          <w:trHeight w:val="210"/>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166,452</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194,324</w:t>
            </w:r>
          </w:p>
        </w:tc>
      </w:tr>
      <w:tr>
        <w:trPr>
          <w:trHeight w:val="3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320" w:type="dxa"/>
            <w:vAlign w:val="bottom"/>
            <w:tcBorders>
              <w:top w:val="single" w:sz="8" w:color="auto"/>
              <w:bottom w:val="single" w:sz="8" w:color="auto"/>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3"/>
              </w:rPr>
              <w:t>At March 31, 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1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147,523</w:t>
            </w: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11,193</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center"/>
              <w:ind w:right="719"/>
              <w:spacing w:after="0"/>
              <w:rPr>
                <w:sz w:val="20"/>
                <w:szCs w:val="20"/>
                <w:color w:val="auto"/>
              </w:rPr>
            </w:pPr>
            <w:r>
              <w:rPr>
                <w:rFonts w:ascii="Arial" w:cs="Arial" w:eastAsia="Arial" w:hAnsi="Arial"/>
                <w:sz w:val="16"/>
                <w:szCs w:val="16"/>
                <w:b w:val="1"/>
                <w:bCs w:val="1"/>
                <w:color w:val="auto"/>
                <w:w w:val="91"/>
              </w:rPr>
              <w:t>At December 31, 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107,494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107,494</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62,442</w:t>
            </w:r>
          </w:p>
        </w:tc>
      </w:tr>
      <w:tr>
        <w:trPr>
          <w:trHeight w:val="229"/>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2,403</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March 31, 2021 and December 31, 2020, the Company did not have any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intangible assets and property and equipment. All of our nonrecurring valuations use significant unobservable inputs and therefore fall under Level III of the fair value hierarchy.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2021</w:t>
            </w:r>
          </w:p>
        </w:tc>
        <w:tc>
          <w:tcPr>
            <w:tcW w:w="136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Arial" w:cs="Arial" w:eastAsia="Arial" w:hAnsi="Arial"/>
                <w:sz w:val="16"/>
                <w:szCs w:val="16"/>
                <w:b w:val="1"/>
                <w:bCs w:val="1"/>
                <w:color w:val="auto"/>
                <w:w w:val="96"/>
              </w:rPr>
              <w:t>Estimated</w:t>
            </w: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Arial" w:cs="Arial" w:eastAsia="Arial" w:hAnsi="Arial"/>
                <w:sz w:val="16"/>
                <w:szCs w:val="16"/>
                <w:b w:val="1"/>
                <w:bCs w:val="1"/>
                <w:color w:val="auto"/>
                <w:w w:val="99"/>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662,584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670,363</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406,620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790,605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818,864</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2,833,542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2,868,347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December 31, 2020</w:t>
            </w: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669,878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665,719</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400,500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991,074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1,015,000</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826,160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2,849,307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2,907,379</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2021,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4160" w:type="dxa"/>
            <w:vAlign w:val="bottom"/>
            <w:gridSpan w:val="2"/>
          </w:tcPr>
          <w:p>
            <w:pPr>
              <w:ind w:left="166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2021</w:t>
            </w: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160" w:type="dxa"/>
            <w:vAlign w:val="bottom"/>
            <w:gridSpan w:val="2"/>
          </w:tcPr>
          <w:p>
            <w:pPr>
              <w:ind w:left="1860"/>
              <w:spacing w:after="0"/>
              <w:rPr>
                <w:sz w:val="20"/>
                <w:szCs w:val="20"/>
                <w:color w:val="auto"/>
              </w:rPr>
            </w:pPr>
            <w:r>
              <w:rPr>
                <w:rFonts w:ascii="Arial" w:cs="Arial" w:eastAsia="Arial" w:hAnsi="Arial"/>
                <w:sz w:val="16"/>
                <w:szCs w:val="16"/>
                <w:b w:val="1"/>
                <w:bCs w:val="1"/>
                <w:color w:val="auto"/>
              </w:rPr>
              <w:t>Location</w:t>
            </w: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4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16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917"/>
        </w:trPr>
        <w:tc>
          <w:tcPr>
            <w:tcW w:w="4240" w:type="dxa"/>
            <w:vAlign w:val="bottom"/>
          </w:tcPr>
          <w:p>
            <w:pPr>
              <w:spacing w:after="0"/>
              <w:rPr>
                <w:sz w:val="24"/>
                <w:szCs w:val="24"/>
                <w:color w:val="auto"/>
              </w:rPr>
            </w:pPr>
          </w:p>
        </w:tc>
        <w:tc>
          <w:tcPr>
            <w:tcW w:w="4060" w:type="dxa"/>
            <w:vAlign w:val="bottom"/>
          </w:tcPr>
          <w:p>
            <w:pPr>
              <w:ind w:left="1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vMerge w:val="restart"/>
          </w:tcPr>
          <w:p>
            <w:pPr>
              <w:jc w:val="center"/>
              <w:ind w:right="195"/>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16"/>
                <w:szCs w:val="16"/>
                <w:color w:val="auto"/>
              </w:rPr>
            </w:pP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00" w:type="dxa"/>
            <w:vAlign w:val="bottom"/>
          </w:tcPr>
          <w:p>
            <w:pPr>
              <w:spacing w:after="0"/>
              <w:rPr>
                <w:sz w:val="16"/>
                <w:szCs w:val="16"/>
                <w:color w:val="auto"/>
              </w:rPr>
            </w:pPr>
          </w:p>
        </w:tc>
        <w:tc>
          <w:tcPr>
            <w:tcW w:w="2920" w:type="dxa"/>
            <w:vAlign w:val="bottom"/>
            <w:gridSpan w:val="4"/>
          </w:tcPr>
          <w:p>
            <w:pPr>
              <w:jc w:val="center"/>
              <w:ind w:right="255"/>
              <w:spacing w:after="0"/>
              <w:rPr>
                <w:sz w:val="20"/>
                <w:szCs w:val="20"/>
                <w:color w:val="auto"/>
              </w:rPr>
            </w:pPr>
            <w:r>
              <w:rPr>
                <w:rFonts w:ascii="Arial" w:cs="Arial" w:eastAsia="Arial" w:hAnsi="Arial"/>
                <w:sz w:val="16"/>
                <w:szCs w:val="16"/>
                <w:b w:val="1"/>
                <w:bCs w:val="1"/>
                <w:color w:val="auto"/>
                <w:w w:val="90"/>
              </w:rPr>
              <w:t>Gain or (Loss) Reclassified</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4"/>
          </w:tcPr>
          <w:p>
            <w:pPr>
              <w:jc w:val="center"/>
              <w:ind w:right="195"/>
              <w:spacing w:after="0" w:line="162" w:lineRule="exact"/>
              <w:rPr>
                <w:sz w:val="20"/>
                <w:szCs w:val="20"/>
                <w:color w:val="auto"/>
              </w:rPr>
            </w:pPr>
            <w:r>
              <w:rPr>
                <w:rFonts w:ascii="Arial" w:cs="Arial" w:eastAsia="Arial" w:hAnsi="Arial"/>
                <w:sz w:val="16"/>
                <w:szCs w:val="16"/>
                <w:b w:val="1"/>
                <w:bCs w:val="1"/>
                <w:color w:val="auto"/>
                <w:w w:val="94"/>
              </w:rPr>
              <w:t>from Accumulated OCI</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4"/>
          </w:tcPr>
          <w:p>
            <w:pPr>
              <w:jc w:val="center"/>
              <w:ind w:right="155"/>
              <w:spacing w:after="0"/>
              <w:rPr>
                <w:sz w:val="20"/>
                <w:szCs w:val="20"/>
                <w:color w:val="auto"/>
              </w:rPr>
            </w:pPr>
            <w:r>
              <w:rPr>
                <w:rFonts w:ascii="Arial" w:cs="Arial" w:eastAsia="Arial" w:hAnsi="Arial"/>
                <w:sz w:val="16"/>
                <w:szCs w:val="16"/>
                <w:b w:val="1"/>
                <w:bCs w:val="1"/>
                <w:color w:val="auto"/>
                <w:w w:val="91"/>
              </w:rPr>
              <w:t>Recognized in OCI</w:t>
            </w:r>
          </w:p>
        </w:tc>
        <w:tc>
          <w:tcPr>
            <w:tcW w:w="12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300" w:type="dxa"/>
            <w:vAlign w:val="bottom"/>
          </w:tcPr>
          <w:p>
            <w:pPr>
              <w:spacing w:after="0"/>
              <w:rPr>
                <w:sz w:val="18"/>
                <w:szCs w:val="18"/>
                <w:color w:val="auto"/>
              </w:rPr>
            </w:pPr>
          </w:p>
        </w:tc>
        <w:tc>
          <w:tcPr>
            <w:tcW w:w="19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into Earnings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900" w:type="dxa"/>
            <w:vAlign w:val="bottom"/>
            <w:tcBorders>
              <w:top w:val="single" w:sz="8" w:color="auto"/>
              <w:bottom w:val="single" w:sz="8" w:color="auto"/>
            </w:tcBorders>
            <w:gridSpan w:val="4"/>
          </w:tcPr>
          <w:p>
            <w:pPr>
              <w:jc w:val="center"/>
              <w:ind w:right="195"/>
              <w:spacing w:after="0"/>
              <w:rPr>
                <w:sz w:val="20"/>
                <w:szCs w:val="20"/>
                <w:color w:val="auto"/>
              </w:rPr>
            </w:pPr>
            <w:r>
              <w:rPr>
                <w:rFonts w:ascii="Arial" w:cs="Arial" w:eastAsia="Arial" w:hAnsi="Arial"/>
                <w:sz w:val="16"/>
                <w:szCs w:val="16"/>
                <w:b w:val="1"/>
                <w:bCs w:val="1"/>
                <w:color w:val="auto"/>
                <w:w w:val="93"/>
              </w:rPr>
              <w:t>Three Months Ended March 31,</w:t>
            </w:r>
          </w:p>
        </w:tc>
        <w:tc>
          <w:tcPr>
            <w:tcW w:w="120" w:type="dxa"/>
            <w:vAlign w:val="bottom"/>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920" w:type="dxa"/>
            <w:vAlign w:val="bottom"/>
            <w:tcBorders>
              <w:top w:val="single" w:sz="8" w:color="auto"/>
              <w:bottom w:val="single" w:sz="8" w:color="auto"/>
            </w:tcBorders>
            <w:gridSpan w:val="4"/>
          </w:tcPr>
          <w:p>
            <w:pPr>
              <w:jc w:val="center"/>
              <w:ind w:right="215"/>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Derivatives in cash flow hedging</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20" w:type="dxa"/>
            <w:vAlign w:val="bottom"/>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Location of Gain or (Loss) Recognized in Earnings</w:t>
            </w:r>
          </w:p>
        </w:tc>
        <w:tc>
          <w:tcPr>
            <w:tcW w:w="32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Amount of Gain or (Loss) Recognized in</w:t>
            </w:r>
          </w:p>
        </w:tc>
      </w:tr>
      <w:tr>
        <w:trPr>
          <w:trHeight w:val="213"/>
        </w:trPr>
        <w:tc>
          <w:tcPr>
            <w:tcW w:w="422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on Derivatives</w:t>
            </w:r>
          </w:p>
        </w:tc>
        <w:tc>
          <w:tcPr>
            <w:tcW w:w="2820" w:type="dxa"/>
            <w:vAlign w:val="bottom"/>
            <w:gridSpan w:val="4"/>
          </w:tcPr>
          <w:p>
            <w:pPr>
              <w:jc w:val="center"/>
              <w:ind w:left="337"/>
              <w:spacing w:after="0"/>
              <w:rPr>
                <w:sz w:val="20"/>
                <w:szCs w:val="20"/>
                <w:color w:val="auto"/>
              </w:rPr>
            </w:pPr>
            <w:r>
              <w:rPr>
                <w:rFonts w:ascii="Arial" w:cs="Arial" w:eastAsia="Arial" w:hAnsi="Arial"/>
                <w:sz w:val="16"/>
                <w:szCs w:val="16"/>
                <w:b w:val="1"/>
                <w:bCs w:val="1"/>
                <w:color w:val="auto"/>
                <w:w w:val="92"/>
              </w:rPr>
              <w:t>Earnings on Derivatives</w:t>
            </w:r>
          </w:p>
        </w:tc>
        <w:tc>
          <w:tcPr>
            <w:tcW w:w="420" w:type="dxa"/>
            <w:vAlign w:val="bottom"/>
          </w:tcPr>
          <w:p>
            <w:pPr>
              <w:spacing w:after="0"/>
              <w:rPr>
                <w:sz w:val="18"/>
                <w:szCs w:val="18"/>
                <w:color w:val="auto"/>
              </w:rPr>
            </w:pPr>
          </w:p>
        </w:tc>
      </w:tr>
      <w:tr>
        <w:trPr>
          <w:trHeight w:val="290"/>
        </w:trPr>
        <w:tc>
          <w:tcPr>
            <w:tcW w:w="4220" w:type="dxa"/>
            <w:vAlign w:val="bottom"/>
          </w:tcPr>
          <w:p>
            <w:pPr>
              <w:spacing w:after="0"/>
              <w:rPr>
                <w:sz w:val="24"/>
                <w:szCs w:val="24"/>
                <w:color w:val="auto"/>
              </w:rPr>
            </w:pPr>
          </w:p>
        </w:tc>
        <w:tc>
          <w:tcPr>
            <w:tcW w:w="3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top w:val="single" w:sz="8" w:color="auto"/>
              <w:bottom w:val="single" w:sz="8" w:color="auto"/>
            </w:tcBorders>
            <w:gridSpan w:val="4"/>
          </w:tcPr>
          <w:p>
            <w:pPr>
              <w:jc w:val="center"/>
              <w:ind w:left="337"/>
              <w:spacing w:after="0"/>
              <w:rPr>
                <w:sz w:val="20"/>
                <w:szCs w:val="20"/>
                <w:color w:val="auto"/>
              </w:rPr>
            </w:pPr>
            <w:r>
              <w:rPr>
                <w:rFonts w:ascii="Arial" w:cs="Arial" w:eastAsia="Arial" w:hAnsi="Arial"/>
                <w:sz w:val="16"/>
                <w:szCs w:val="16"/>
                <w:b w:val="1"/>
                <w:bCs w:val="1"/>
                <w:color w:val="auto"/>
                <w:w w:val="94"/>
              </w:rPr>
              <w:t>Three Months Ended March 31,</w:t>
            </w:r>
          </w:p>
        </w:tc>
        <w:tc>
          <w:tcPr>
            <w:tcW w:w="420" w:type="dxa"/>
            <w:vAlign w:val="bottom"/>
            <w:tcBorders>
              <w:top w:val="single" w:sz="8" w:color="auto"/>
              <w:bottom w:val="single" w:sz="8" w:color="auto"/>
            </w:tcBorders>
          </w:tcPr>
          <w:p>
            <w:pPr>
              <w:spacing w:after="0"/>
              <w:rPr>
                <w:sz w:val="24"/>
                <w:szCs w:val="24"/>
                <w:color w:val="auto"/>
              </w:rPr>
            </w:pPr>
          </w:p>
        </w:tc>
      </w:tr>
      <w:tr>
        <w:trPr>
          <w:trHeight w:val="23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0"/>
                <w:szCs w:val="20"/>
                <w:color w:val="auto"/>
              </w:rPr>
            </w:pPr>
          </w:p>
        </w:tc>
      </w:tr>
      <w:tr>
        <w:trPr>
          <w:trHeight w:val="251"/>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For the three months ended March 31, 2021, income tax expense was $25.9 million, representing an effective tax rate of 21%. The items resulting in variances from the federal statutory rate primarily consist of state income tax expense of $3.4 million, tax expense of $2.5 million from nondeductible executive compensation, and tax expense from foreign operations of $1.4 million, partially offset by tax benefit of $1.3 million from foreign derived intangible income and $5.4 million for excess tax benefits related to stock compensation.</w:t>
      </w:r>
    </w:p>
    <w:p>
      <w:pPr>
        <w:spacing w:after="0" w:line="80"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For the three months ended March 31, 2020, income tax expense was $33.6 million, representing an effective tax rate of 31%. The effective tax rate differs from the federal statutory rate of 21% due primarily to tax expense of $4.6 million for excess tax deficiencies related to stock compensation, tax expense from foreign operations of $4.0 million, state income tax expense of $3.0 million and $2.7 million for an increase in valuation allowances for foreign taxes and U.S. foreign tax credits, partially offset by tax benefit of $2.8 million relating to uncertain tax positions (including accrued interest) due to an audit settlement.</w:t>
      </w:r>
    </w:p>
    <w:p>
      <w:pPr>
        <w:spacing w:after="0" w:line="1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March 31, 2021, the Company had foreign tax credit carry forwards of approximately $32.4 million, expiring on various dates from 2021 through 2031. These carryforwards have been reduced by a valuation allowance of $32.4 million as it is more likely than not that these carry forwards will not be realized. For the three months ended March 31, 2021, $0.3 million relating to amortization of tax deductible second component goodwill was realized as a reduction in tax liability (as determined on a 'with-and-without' approach).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2021, the Company's contractual obligations not reflected on the Company's condensed consolidated balance sheet increased $30.6 million, as compared to December 31, 2020, to $1,042.5 million. The increase primarily relates to additional commitments for program rights and marketing commitments.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December 17, 2013, Frank Darabont ("Darabont"), Ferenc, Inc., Darkwoods Productions, Inc., and Creative Artists Agency, LLC (together, the "Plaintiffs"), filed a complaint in New York Supreme Court in connection with Darabont's rendering services as a writer, director and producer of the television series entitled The Walking Dead and the agreement between the parties related thereto.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On December 10, 2018, the Court denied Plaintiffs' motion for partial summary judgment and granted in part Defendants' motion for summary judgment, dismissing four of Plaintiffs' causes of action.</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January 18, 2018, Plaintiffs filed a second action in New York Supreme Court in connection with Darabont’s services on The Walking Dead television series and agreements between the parties related thereto. The claims in the action allegedly arise from Plaintiffs' audit of their participation statements covering the accounting period from inception of The Walking Dead through September 30, 2014. Plaintiffs seek no less than $20 million in damages on claims for breach of contract, breach of the covenant of good faith and fair dealing, and declaratory relief. On August 30, 2018, Plaintiffs filed an Amended Complaint.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was denied on April 13, 2020. On December 31, 2020, the court granted the Company’s motion for re-argument and issued a revised summary judgment decision that granted in part and denied in part the Company’s motion for summary judgment. Following an appeal by the Company and oral argument, on April 13, 2021, The New York Appellate Division, First Department dismissed Plaintiffs’ claim for breach of the implied covenant of good faith and fair dealing.</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continued impact of the COVID-19 pandemic on the New York State courts, the joint trial, originally scheduled to begin on June 1, 2020, was delayed and was scheduled to begin on April 26, 2021. On March 23, 2021 the trial court entered a stipulation and order adjourning the trial to April 4, 2022, with the understanding that the parties will use their best efforts to hold the trial earlier if the court’s and the parties’ calendars and health and safety conditions permit. The Company believes that the remaining asserted claims are without merit, denies the allegations and will continue to defend the case vigorously. At this time, no determination can be made as to the ultimate outcome of this litigation or the potential liability, if any, on the part of the Company.</w:t>
      </w:r>
    </w:p>
    <w:p>
      <w:pPr>
        <w:spacing w:after="0" w:line="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The Walking Dead, as well as Fear the Walking Dead and/or Talking Dead,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The California Plaintiffs seek compensatory and punitive damages and restitution. On August 8, 2019, the judge in the California Action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October 30, 2020, the judge in the California Action set a tentative trial date of September 8, 2021 with regard to claims not addressed in the first phase trial. On January 20, 2021, the California Plaintiffs filed a second amended complaint, eliminating eight named defendants and their claims under Cal. Bus. &amp; Prof. Code § 17200. On May 5, 2021, the California Plaintiffs filed a third amended complaint, repleading in part their claims for alleged breach of the covenant of good faith and fair dealing, inducing breach of contract, and certain breach of contract claims. The parties have resumed discovery in preparation for the September 2021 trial. The Company believes that the remaining asserted claims are without merit and will vigorously defend against them. At this time, no determination can be made as to the ultimate outcome of this litigation or the potential liability, if any, on the part of the Company.</w:t>
      </w:r>
    </w:p>
    <w:p>
      <w:pPr>
        <w:spacing w:after="0" w:line="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2021, AMC Networks granted 535,278 restricted stock units (RSUs) to certain executive officers and employees under the AMC Networks Inc. Amended and Restated 2016 Employee Stock Plan. The RSUs vest ratably over a three-year period and the vesting criteria for 178,764 RSUs include the achievement of certain performance targets by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the three months ended March 31, 2021, 617,051 RSUs and 368,296 performance restricted stock units (PRSUs) of AMC Networks Class A Common Stock previously issued to employees of the Company vested. On the vesting date, 263,671 RSUs and 168,712 PRSUs were surrendered to the Company to cover the required statutory tax withholding obligations and 353,380 RSU and 199,584 PRSU new shares of AMC Networks Class A Common Stock were issued. The units surrendered to satisfy the employees' statutory minimum tax withholding obligations for the applicable income and other employment tax had an aggregate value of $34.6 million, which has been reflected as a financing activity in the condensed consolidated statement of cash flows for the three months ended March 31, 2021.</w:t>
      </w:r>
    </w:p>
    <w:p>
      <w:pPr>
        <w:spacing w:after="0" w:line="8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Share-based compensation expense included in selling, general and administrative expense was $13.4 million and $15.5 million for the three months ended March 31, 2021 and March 31, 2020, respectively.</w:t>
      </w:r>
    </w:p>
    <w:p>
      <w:pPr>
        <w:spacing w:after="0" w:line="62"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March 31, 2021, there was $58.8 million of total unrecognized share-based compensation cost related to outstanding unvested share-based awards. The unrecognized compensation cost is expected to be recognized over a weighted-average remaining period of approximately 2.0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Three Months Ended March</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31, 2021</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6,570</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9220" w:type="dxa"/>
            <w:vAlign w:val="bottom"/>
          </w:tcPr>
          <w:p>
            <w:pPr>
              <w:ind w:left="360"/>
              <w:spacing w:after="0"/>
              <w:rPr>
                <w:sz w:val="20"/>
                <w:szCs w:val="20"/>
                <w:color w:val="auto"/>
              </w:rPr>
            </w:pPr>
            <w:r>
              <w:rPr>
                <w:rFonts w:ascii="Arial" w:cs="Arial" w:eastAsia="Arial" w:hAnsi="Arial"/>
                <w:sz w:val="18"/>
                <w:szCs w:val="18"/>
                <w:color w:val="auto"/>
              </w:rPr>
              <w:t>Distribution related to spin-off transaction</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293,468</w:t>
            </w:r>
          </w:p>
        </w:tc>
      </w:tr>
      <w:tr>
        <w:trPr>
          <w:trHeight w:val="21"/>
        </w:trPr>
        <w:tc>
          <w:tcPr>
            <w:tcW w:w="9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condensed consolidated balance sheet.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$1.2 million and $1.2 million for the three months ended March 31, 2021 and 2020, respectively. Amounts charged to the Company, included in selling, general and administrative expenses, pursuant to transactions with its related parties amounted to $0.5 million and $0.1 million for the three months ended March 31,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Treasury stock not yet settled</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10,988</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additions</w:t>
            </w:r>
          </w:p>
        </w:tc>
        <w:tc>
          <w:tcPr>
            <w:tcW w:w="24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14,271</w:t>
            </w: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2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27,873</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199,142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220,713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471,028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6"/>
        </w:trPr>
        <w:tc>
          <w:tcPr>
            <w:tcW w:w="4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2020</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213,226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232,590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501,785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734,375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222,454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overhead costs include such costs as executive salaries and benefits, costs of maintaining corporate headquarters, facilities and common support functions (such as human resources, legal, finance, strategic planning and information technology).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20320</wp:posOffset>
            </wp:positionV>
            <wp:extent cx="205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Domestic Operations</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
        </w:trPr>
        <w:tc>
          <w:tcPr>
            <w:tcW w:w="7520" w:type="dxa"/>
            <w:vAlign w:val="bottom"/>
            <w:vMerge w:val="restart"/>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5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ind w:left="20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6"/>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577,148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624,993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32,557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5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March 31, 2021</w:t>
            </w:r>
          </w:p>
        </w:tc>
        <w:tc>
          <w:tcPr>
            <w:tcW w:w="140" w:type="dxa"/>
            <w:vAlign w:val="bottom"/>
          </w:tcPr>
          <w:p>
            <w:pPr>
              <w:spacing w:after="0"/>
              <w:rPr>
                <w:sz w:val="24"/>
                <w:szCs w:val="24"/>
                <w:color w:val="auto"/>
              </w:rPr>
            </w:pPr>
          </w:p>
        </w:tc>
        <w:tc>
          <w:tcPr>
            <w:tcW w:w="168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4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209,374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right="1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w:t>
      </w:r>
    </w:p>
    <w:p>
      <w:pPr>
        <w:spacing w:after="0" w:line="63" w:lineRule="exact"/>
        <w:rPr>
          <w:rFonts w:ascii="Arial" w:cs="Arial" w:eastAsia="Arial" w:hAnsi="Arial"/>
          <w:sz w:val="18"/>
          <w:szCs w:val="18"/>
          <w:color w:val="auto"/>
        </w:rPr>
      </w:pPr>
    </w:p>
    <w:p>
      <w:pPr>
        <w:ind w:left="820" w:right="6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Brexit;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right="2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left="820" w:right="6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2020 Annual Report on Form 10-K (the "2020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2020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2020. Our discussion is presented on both a consolidated and operating segment basis. Our two operating segments are: (i) Domestic Operations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2021,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three months ended March 31, 2021 and 2020. The discussion of our financial condition and liquidity includes summaries of (i) our primary sources of liquidity and (ii) our contractual obligations that existed at March 31, 2021 as compared to December 31, 2020.</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Changes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first quarter of 2021, we changed our presentation of operating segments, reflecting a reorganized operating structure focused on a multi-platform distribution approach to content monetization. Our streaming services and IFC Films, previously included in the International and Other segment, are now included within Domestic Operations (formerly referred to as the National Networks segment). In addition, certain corporate overhead costs will no longer be allocated to the operating segments. Operating segment information for the prior period has been recast to reflect these changes. The new reporting structure consists of the following two operating segments:</w:t>
      </w:r>
    </w:p>
    <w:p>
      <w:pPr>
        <w:spacing w:after="0" w:line="80" w:lineRule="exact"/>
        <w:rPr>
          <w:sz w:val="20"/>
          <w:szCs w:val="20"/>
          <w:color w:val="auto"/>
        </w:rPr>
      </w:pPr>
    </w:p>
    <w:p>
      <w:pPr>
        <w:jc w:val="both"/>
        <w:ind w:left="660" w:hanging="328"/>
        <w:spacing w:after="0" w:line="273"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Domestic Operations: </w:t>
      </w:r>
      <w:r>
        <w:rPr>
          <w:rFonts w:ascii="Arial" w:cs="Arial" w:eastAsia="Arial" w:hAnsi="Arial"/>
          <w:sz w:val="17"/>
          <w:szCs w:val="17"/>
          <w:color w:val="auto"/>
        </w:rPr>
        <w:t>Includes activities of our five national programming networks, our streaming services, AMC Studios operation, IFC Films</w:t>
      </w:r>
      <w:r>
        <w:rPr>
          <w:rFonts w:ascii="Arial" w:cs="Arial" w:eastAsia="Arial" w:hAnsi="Arial"/>
          <w:sz w:val="17"/>
          <w:szCs w:val="17"/>
          <w:i w:val="1"/>
          <w:iCs w:val="1"/>
          <w:color w:val="auto"/>
        </w:rPr>
        <w:t xml:space="preserve"> </w:t>
      </w:r>
      <w:r>
        <w:rPr>
          <w:rFonts w:ascii="Arial" w:cs="Arial" w:eastAsia="Arial" w:hAnsi="Arial"/>
          <w:sz w:val="17"/>
          <w:szCs w:val="17"/>
          <w:color w:val="auto"/>
        </w:rPr>
        <w:t>and AMC Broadcasting &amp; Technology. Our national programming networks are AMC, WE tv, BBC AMERICA, IFC, and SundanceTV. Our streaming services consist of our targeted subscription streaming services (Acorn TV, Shudder, Sundance Now, and ALLBLK), AMC+ and other streaming initiatives. Our AMC Studios operation produces original programming for our programming networks and also licenses such programming worldwide. IFC Films is our film distribution business and AMC Networks Broadcasting &amp; Technology is our technical services business, which primarily services most of the national programming networks.</w:t>
      </w:r>
    </w:p>
    <w:p>
      <w:pPr>
        <w:spacing w:after="0" w:line="69" w:lineRule="exact"/>
        <w:rPr>
          <w:rFonts w:ascii="Arial" w:cs="Arial" w:eastAsia="Arial" w:hAnsi="Arial"/>
          <w:sz w:val="17"/>
          <w:szCs w:val="17"/>
          <w:i w:val="1"/>
          <w:iCs w:val="1"/>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Includes AMC Networks International ("AMCNI"), our international programming businesses consisting of a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of channels around the world and 25/7 Media (formerly Levity), our production services business. See Note 4 to the unaudited condensed consolidated financial statements for additional information relating to the spin-off of the Levity comedy venues business.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44"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91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9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573,969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611,893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92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9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242,533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241,033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and other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9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91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7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3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37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AOI</w:t>
            </w:r>
          </w:p>
        </w:tc>
        <w:tc>
          <w:tcPr>
            <w:tcW w:w="37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222,454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740" w:type="dxa"/>
            <w:vAlign w:val="bottom"/>
            <w:vMerge w:val="restart"/>
          </w:tcPr>
          <w:p>
            <w:pPr>
              <w:jc w:val="right"/>
              <w:ind w:right="2130"/>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2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b w:val="1"/>
          <w:bCs w:val="1"/>
          <w:i w:val="1"/>
          <w:iCs w:val="1"/>
          <w:color w:val="auto"/>
        </w:rPr>
        <w:t>Domestic Operations</w:t>
      </w:r>
    </w:p>
    <w:p>
      <w:pPr>
        <w:spacing w:after="0" w:line="117"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In our Domestic Operations segment, we earn revenue principally from: (i) the distribution of our programming, through our programming networks and owned subscription streaming services, (ii) the sale of advertising, and (iii) the licensing of our original programming to distributors, including the distribution of programming of IFC Films. Distribution revenue primarily includes subscription fees paid by distributors to carry our programming networks and streaming services, and content licensing revenue from the licensing of original programming for digital, foreign and home video distribution.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paid on a monthly basis. Content licensing revenue from the licensing of original programming for digital and foreign distribution is recognized upon availability or distribution by the licensee.</w:t>
      </w:r>
    </w:p>
    <w:p>
      <w:pPr>
        <w:spacing w:after="0" w:line="6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Domestic Operations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 (formerly Levity).</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three months ended March 31, 2021, distribution revenues represented 82%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8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COVID-19 pandemic and measures to prevent its spread continue to affect our businesses in a number of ways, including adverse advertising sales impacts and delays in the creation and availability of our programming. The Company cannot reasonably predict the ultimate impact of the COVID-19 pandemic, including the extent of any adverse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availability,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center"/>
              <w:ind w:right="113"/>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12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1"/>
                <w:szCs w:val="11"/>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Technical and operating (excluding depreciation</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280,572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344,060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(63,488)</w:t>
            </w:r>
          </w:p>
        </w:tc>
        <w:tc>
          <w:tcPr>
            <w:tcW w:w="118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6,886</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(39,372)</w:t>
            </w:r>
          </w:p>
        </w:tc>
        <w:tc>
          <w:tcPr>
            <w:tcW w:w="118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11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16,788</w:t>
            </w:r>
          </w:p>
        </w:tc>
        <w:tc>
          <w:tcPr>
            <w:tcW w:w="118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56"/>
        </w:trPr>
        <w:tc>
          <w:tcPr>
            <w:tcW w:w="388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Net income from operations before income</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120,640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107,114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180" w:type="dxa"/>
            <w:vAlign w:val="bottom"/>
            <w:gridSpan w:val="2"/>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w:t>
            </w:r>
          </w:p>
        </w:tc>
        <w:tc>
          <w:tcPr>
            <w:tcW w:w="1180" w:type="dxa"/>
            <w:vAlign w:val="bottom"/>
            <w:tcBorders>
              <w:bottom w:val="single" w:sz="8" w:color="CCEEFF"/>
            </w:tcBorders>
            <w:gridSpan w:val="2"/>
          </w:tcPr>
          <w:p>
            <w:pPr>
              <w:jc w:val="right"/>
              <w:ind w:right="9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1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Net income attributable to noncontrolling interests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180" w:type="dxa"/>
            <w:vAlign w:val="bottom"/>
            <w:tcBorders>
              <w:bottom w:val="single" w:sz="8" w:color="CCEEFF"/>
            </w:tcBorders>
            <w:gridSpan w:val="2"/>
          </w:tcPr>
          <w:p>
            <w:pPr>
              <w:jc w:val="right"/>
              <w:ind w:right="135"/>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55"/>
        </w:trPr>
        <w:tc>
          <w:tcPr>
            <w:tcW w:w="38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87,021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68,667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18,354</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b w:val="1"/>
          <w:bCs w:val="1"/>
          <w:color w:val="auto"/>
        </w:rPr>
        <w:t>Domestic Operations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6"/>
              </w:rPr>
              <w:t>Three Months Ended March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5"/>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1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1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2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211,961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263,348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1380" w:type="dxa"/>
            <w:vAlign w:val="bottom"/>
            <w:gridSpan w:val="2"/>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18,237</w:t>
            </w:r>
          </w:p>
        </w:tc>
        <w:tc>
          <w:tcPr>
            <w:tcW w:w="1380" w:type="dxa"/>
            <w:vAlign w:val="bottom"/>
            <w:gridSpan w:val="2"/>
          </w:tcPr>
          <w:p>
            <w:pPr>
              <w:jc w:val="right"/>
              <w:ind w:right="135"/>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ind w:right="1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2,915</w:t>
            </w:r>
          </w:p>
        </w:tc>
        <w:tc>
          <w:tcPr>
            <w:tcW w:w="1380" w:type="dxa"/>
            <w:vAlign w:val="bottom"/>
            <w:gridSpan w:val="2"/>
          </w:tcPr>
          <w:p>
            <w:pPr>
              <w:jc w:val="right"/>
              <w:ind w:right="135"/>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3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AOI</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 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54"/>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1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1"/>
                <w:szCs w:val="11"/>
                <w:color w:val="auto"/>
              </w:rPr>
            </w:pPr>
          </w:p>
        </w:tc>
        <w:tc>
          <w:tcPr>
            <w:tcW w:w="11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w:t>
            </w:r>
          </w:p>
        </w:tc>
        <w:tc>
          <w:tcPr>
            <w:tcW w:w="2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80,136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380" w:type="dxa"/>
            <w:vAlign w:val="bottom"/>
            <w:gridSpan w:val="2"/>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(4,932)</w:t>
            </w:r>
          </w:p>
        </w:tc>
        <w:tc>
          <w:tcPr>
            <w:tcW w:w="1380" w:type="dxa"/>
            <w:vAlign w:val="bottom"/>
            <w:gridSpan w:val="2"/>
          </w:tcPr>
          <w:p>
            <w:pPr>
              <w:jc w:val="right"/>
              <w:ind w:right="94"/>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38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3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38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(3,947)</w:t>
            </w:r>
          </w:p>
        </w:tc>
        <w:tc>
          <w:tcPr>
            <w:tcW w:w="1380" w:type="dxa"/>
            <w:vAlign w:val="bottom"/>
            <w:gridSpan w:val="2"/>
          </w:tcPr>
          <w:p>
            <w:pPr>
              <w:jc w:val="right"/>
              <w:ind w:right="94"/>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38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Revenues, net decreased $42.6 million to $691.7 million for the three months ended March 31, 2021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The net change by segment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573,969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611,893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4"/>
              </w:rPr>
              <w:t>(6.2)%</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121,167</w:t>
            </w:r>
          </w:p>
        </w:tc>
        <w:tc>
          <w:tcPr>
            <w:tcW w:w="1360" w:type="dxa"/>
            <w:vAlign w:val="bottom"/>
            <w:gridSpan w:val="2"/>
          </w:tcPr>
          <w:p>
            <w:pPr>
              <w:jc w:val="right"/>
              <w:ind w:right="14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124,828</w:t>
            </w:r>
          </w:p>
        </w:tc>
        <w:tc>
          <w:tcPr>
            <w:tcW w:w="1360" w:type="dxa"/>
            <w:vAlign w:val="bottom"/>
            <w:gridSpan w:val="2"/>
          </w:tcPr>
          <w:p>
            <w:pPr>
              <w:jc w:val="right"/>
              <w:ind w:right="139"/>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(3,661)</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(2.9)</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3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44.7</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(42,634)</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w w:val="94"/>
              </w:rPr>
              <w:t>(5.8)%</w:t>
            </w:r>
          </w:p>
        </w:tc>
      </w:tr>
      <w:tr>
        <w:trPr>
          <w:trHeight w:val="21"/>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Domestic Operations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199,142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213,226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4"/>
              </w:rPr>
              <w:t>(6.6)%</w:t>
            </w:r>
          </w:p>
        </w:tc>
      </w:tr>
      <w:tr>
        <w:trPr>
          <w:trHeight w:val="22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374,827</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398,667</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(23,840)</w:t>
            </w:r>
          </w:p>
        </w:tc>
        <w:tc>
          <w:tcPr>
            <w:tcW w:w="138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(6.0)</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611,893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94"/>
              </w:rPr>
              <w:t>(6.2)%</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of $14.1 million in advertising revenues was primarily attributable to a reduction in the number of episodes of our original programming and lower ratings, partially offset by higher pricing.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73" w:lineRule="auto"/>
        <w:tabs>
          <w:tab w:leader="none" w:pos="1295"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Distribution revenues decreased $23.8 million due to a 54% decrease in content licensing revenues related to the timing and availability of the number of original programs we distributed as compared to the prior comparable period as a result of COVID-19 pandemic production delays, partially offset by a 14% increase in subscription revenues due to an increase in subscribers to our streaming services. Subscription revenues may vary based on the impact of renewals of affiliation agreements and streaming service subscription trends, and content licensing revenues vary based on the timing of availability of our programming to distributors. Because of these factors, we expect distribution revenues to vary from quarter to quarter.</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center"/>
              <w:ind w:left="315"/>
              <w:spacing w:after="0"/>
              <w:rPr>
                <w:sz w:val="20"/>
                <w:szCs w:val="20"/>
                <w:color w:val="auto"/>
              </w:rPr>
            </w:pPr>
            <w:r>
              <w:rPr>
                <w:rFonts w:ascii="Arial" w:cs="Arial" w:eastAsia="Arial" w:hAnsi="Arial"/>
                <w:sz w:val="18"/>
                <w:szCs w:val="18"/>
                <w:color w:val="auto"/>
                <w:w w:val="88"/>
              </w:rPr>
              <w:t>2,207</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29"/>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Distribution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99,596</w:t>
            </w:r>
          </w:p>
        </w:tc>
        <w:tc>
          <w:tcPr>
            <w:tcW w:w="136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105,464</w:t>
            </w:r>
          </w:p>
        </w:tc>
        <w:tc>
          <w:tcPr>
            <w:tcW w:w="136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w w:val="91"/>
              </w:rPr>
              <w:t>(5,868)</w:t>
            </w:r>
          </w:p>
        </w:tc>
        <w:tc>
          <w:tcPr>
            <w:tcW w:w="138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(5.6)</w:t>
            </w: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1"/>
              </w:rPr>
              <w:t>(3,661)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advertising revenues is primarily related to a favorable impact of foreign currency translation. Distribution revenues decreased at 25/7 Media related to the temporary closure of comedy venues (until the spin-off in March 2021) as a result of the COVID-19 pandemic, and a decrease at AMCNI, partially offset by a favorable impact of foreign currency fluctuations.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Technical and operating expense (excluding depreciation and amortization) decreased $63.5 million to $280.6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as compared to the three months ended March 31, 2020. The net change by segment was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211,961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263,348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76,309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80,136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(3,827)</w:t>
            </w:r>
          </w:p>
        </w:tc>
        <w:tc>
          <w:tcPr>
            <w:tcW w:w="1640" w:type="dxa"/>
            <w:vAlign w:val="bottom"/>
            <w:gridSpan w:val="2"/>
          </w:tcPr>
          <w:p>
            <w:pPr>
              <w:jc w:val="right"/>
              <w:ind w:right="96"/>
              <w:spacing w:after="0"/>
              <w:rPr>
                <w:sz w:val="20"/>
                <w:szCs w:val="20"/>
                <w:color w:val="auto"/>
              </w:rPr>
            </w:pPr>
            <w:r>
              <w:rPr>
                <w:rFonts w:ascii="Arial" w:cs="Arial" w:eastAsia="Arial" w:hAnsi="Arial"/>
                <w:sz w:val="18"/>
                <w:szCs w:val="18"/>
                <w:color w:val="auto"/>
              </w:rPr>
              <w:t>(4.8)</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(7,698)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n/m</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280,572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344,060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decrease in technical and operating expense of $51.4 million was due to a decrease in program amortization primarily attributable to the mix of original programming as compared to the prior comparable period. There were no significant program write-offs in either period. Programming write-offs are based on management's periodic assessment of programming usefulness.</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decrease in technical and operating expense of $3.8 million million was primarily due to a decrease at 25/7 Media related to the timing of productions.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$6.9 million to $191.5 million for the three months ended March 31, 2021, as compared to the three months ended March 31,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8"/>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129,749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111,512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22,526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27,458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(4,932)</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(18.0)</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39,260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45,679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6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(14.1)</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191,535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184,649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Domestic Operations</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Selling, general and administrative expense increased $18.2 million principally due to higher advertising and subscriber acquisition expenses related to our streaming services.</w:t>
      </w:r>
    </w:p>
    <w:p>
      <w:pPr>
        <w:spacing w:after="0" w:line="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promotions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Selling, general and administrative expense decreased $4.9 million primarily due to a decrease in administrative expense at 25/7 Media related to the temporary closure of comedy venues (until the spin-off in March 2021) as a result of the COVID-19 pandemic.</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 Inter-segment eliminations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corporate charges is due primarily to lower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decreased $1.5 million to $25.2 million for the three months ended March 31, 2021, as compared to the three months ended March 31, 2020. The net change by segment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(3,947)</w:t>
            </w:r>
          </w:p>
        </w:tc>
        <w:tc>
          <w:tcPr>
            <w:tcW w:w="1680" w:type="dxa"/>
            <w:vAlign w:val="bottom"/>
            <w:gridSpan w:val="2"/>
          </w:tcPr>
          <w:p>
            <w:pPr>
              <w:jc w:val="right"/>
              <w:ind w:right="99"/>
              <w:spacing w:after="0"/>
              <w:rPr>
                <w:sz w:val="20"/>
                <w:szCs w:val="20"/>
                <w:color w:val="auto"/>
              </w:rPr>
            </w:pPr>
            <w:r>
              <w:rPr>
                <w:rFonts w:ascii="Arial" w:cs="Arial" w:eastAsia="Arial" w:hAnsi="Arial"/>
                <w:sz w:val="18"/>
                <w:szCs w:val="18"/>
                <w:color w:val="auto"/>
              </w:rPr>
              <w:t>(44.4)</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0.6</w:t>
            </w:r>
          </w:p>
        </w:tc>
      </w:tr>
      <w:tr>
        <w:trPr>
          <w:trHeight w:val="223"/>
        </w:trPr>
        <w:tc>
          <w:tcPr>
            <w:tcW w:w="5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increase in depreciation and amortization expense in the Domestic Operations segment was primarily due to depreciation of equipment at our AMC Networks Broadcasting and Technology facilities. The decrease in depreciation and amortization expense in the International and Other segment was primarily due to the lower carrying values of long-lived assets resulting from the impairment charge recognized in June 2020.</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and other charges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$8.6 million for the three months ended March 31, 2021 consisted of $4.1 million of severance costs associated with the restructuring plan announced in November 2020 and $4.5 million at AMCNI related to the termination of distribution in certain international territories.</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$6.0 million for the three months ended March 31, 2020 primarily consisted of charges at AMCNI of $4.0 million related to costs associated with termination of distribution in certain territories, as well as $2.0 million related to severance and other personnel related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(8,141)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4"/>
              </w:rPr>
              <w:t>(7,523)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12,402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4"/>
              </w:rPr>
              <w:t>(3,262)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decrease in operating income at the Domestic Operations segment was primarily attributable to a decrease in revenue of $37.9 million and an increase in selling, general and administrative expense of $18.2 million, partially offset by a decrease in technical and operating expense of $51.4 million.</w:t>
      </w:r>
    </w:p>
    <w:p>
      <w:pPr>
        <w:spacing w:after="0" w:line="16"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decrease in operating income at the International and Other segment was primarily attributable to impairment and other charges of $16.1 million, partially offset by decreases in technical and operating expense of $3.8 million, and selling, general and administrative expense of $4.9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(2,066)</w:t>
            </w:r>
          </w:p>
        </w:tc>
        <w:tc>
          <w:tcPr>
            <w:tcW w:w="1680" w:type="dxa"/>
            <w:vAlign w:val="bottom"/>
            <w:gridSpan w:val="2"/>
          </w:tcPr>
          <w:p>
            <w:pPr>
              <w:jc w:val="right"/>
              <w:ind w:right="95"/>
              <w:spacing w:after="0"/>
              <w:rPr>
                <w:sz w:val="20"/>
                <w:szCs w:val="20"/>
                <w:color w:val="auto"/>
              </w:rPr>
            </w:pPr>
            <w:r>
              <w:rPr>
                <w:rFonts w:ascii="Arial" w:cs="Arial" w:eastAsia="Arial" w:hAnsi="Arial"/>
                <w:sz w:val="18"/>
                <w:szCs w:val="18"/>
                <w:color w:val="auto"/>
              </w:rPr>
              <w:t>(13.3)</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6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(5.6)</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Impairment and other charges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6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44.6</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3,359</w:t>
            </w:r>
          </w:p>
        </w:tc>
        <w:tc>
          <w:tcPr>
            <w:tcW w:w="1680" w:type="dxa"/>
            <w:vAlign w:val="bottom"/>
            <w:gridSpan w:val="2"/>
          </w:tcPr>
          <w:p>
            <w:pPr>
              <w:jc w:val="right"/>
              <w:ind w:right="135"/>
              <w:spacing w:after="0"/>
              <w:rPr>
                <w:sz w:val="20"/>
                <w:szCs w:val="20"/>
                <w:color w:val="auto"/>
              </w:rPr>
            </w:pPr>
            <w:r>
              <w:rPr>
                <w:rFonts w:ascii="Arial" w:cs="Arial" w:eastAsia="Arial" w:hAnsi="Arial"/>
                <w:sz w:val="18"/>
                <w:szCs w:val="18"/>
                <w:color w:val="auto"/>
              </w:rPr>
              <w:t>263.2</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computing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AOI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7.0 %</w:t>
            </w:r>
          </w:p>
        </w:tc>
      </w:tr>
      <w:tr>
        <w:trPr>
          <w:trHeight w:val="21"/>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AOI increased $15.5 million for the three months ended March 31, 2021 as compared to the three months ended March 31, 2020.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5,720</w:t>
            </w:r>
          </w:p>
        </w:tc>
        <w:tc>
          <w:tcPr>
            <w:tcW w:w="1680" w:type="dxa"/>
            <w:vAlign w:val="bottom"/>
            <w:gridSpan w:val="2"/>
          </w:tcPr>
          <w:p>
            <w:pPr>
              <w:jc w:val="right"/>
              <w:ind w:right="136"/>
              <w:spacing w:after="0"/>
              <w:rPr>
                <w:sz w:val="20"/>
                <w:szCs w:val="20"/>
                <w:color w:val="auto"/>
              </w:rPr>
            </w:pPr>
            <w:r>
              <w:rPr>
                <w:rFonts w:ascii="Arial" w:cs="Arial" w:eastAsia="Arial" w:hAnsi="Arial"/>
                <w:sz w:val="18"/>
                <w:szCs w:val="18"/>
                <w:color w:val="auto"/>
              </w:rPr>
              <w:t>32.1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AOI</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222,454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AOI at the Domestic Operations segment was consistent with the prior comparable period as the decrease in operating income was offset by decreases in stock-based compensation and depreciation and amortization. The increase in AOI at the International and Other segment reflects the decrease in selling, general and administrative expenses.</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decrease in interest expense, net of $0.6 million is primarily due to lower average interest rates on our outstanding senior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December 2022. The loss on extinguishment of debt for the three months ended March 31,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decrease in miscellaneous expense, net of $35.3 million for the three months ended March 31, 2021 as compared to the three months ended March 31, 2020 was primarily related to an impairment charge in 2020 related to a non-marketable equity security, and favorable variance in the foreign currency remeasurement of monetary assets and liabilities (principally intercompany loans) that are denominated in currencies other than the underlying functional currency of the applicable entity.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For the three months ended March 31, 2021, income tax expense was $25.9 million, representing an effective tax rate of 21%. The items resulting in variances from the federal statutory rate of 21% primarily consist of state income tax expense, tax expense from nondeductible executive compensation, and tax expense from foreign operations partially offset by a tax benefit from foreign derived intangible income and excess tax benefits related to stock compensation.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486"/>
        <w:spacing w:after="0" w:line="262" w:lineRule="auto"/>
        <w:rPr>
          <w:sz w:val="20"/>
          <w:szCs w:val="20"/>
          <w:color w:val="auto"/>
        </w:rPr>
      </w:pPr>
      <w:r>
        <w:rPr>
          <w:rFonts w:ascii="Arial" w:cs="Arial" w:eastAsia="Arial" w:hAnsi="Arial"/>
          <w:sz w:val="17"/>
          <w:szCs w:val="17"/>
          <w:color w:val="auto"/>
        </w:rPr>
        <w:t>For the three months ended March 31, 2020, income tax expense was $33.6 million, representing an effective tax rate of 31%. The effective tax rate differs from the federal statutory rate of 21% due primarily to tax expense for excess tax deficiencies related to stock compensation, tax expense from foreign operations, state income tax expense and an increase in valuation allowances for foreign taxes and U.S. foreign tax credits, partially offset by a tax benefit relating to uncertain tax positions (including accrued interest) due to an audit settlement.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February 8, 2021, the Company issued $1.0 billion in aggregate principal amount of 4.25% senior notes due February 2029 (the “4.25% Notes due 2029”) and received net proceeds of $982.3 million, after deducting underwriting discounts and commissions and expenses. The Company used such proceeds to redeem (i) the remaining $400 million principal amount of the Company’s 4.75% senior notes due December 2022 and (ii) $600 million principal amount of the Company’s 5.00% senior notes due April 2024 on February 26, 2021 (the "Redemption Date"). The 4.75% senior notes due December 2022 were redeemed at a redemption price of 100.000% of the principal amount of such notes and the 5.00% senior notes due April 2024 were redeemed at a redemption price of 102.500% of the principal amount of such notes, in each case, plus accrued and unpaid interest to, but excluding, the Redemption Date.</w:t>
      </w:r>
    </w:p>
    <w:p>
      <w:pPr>
        <w:spacing w:after="0" w:line="8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February 8, 2021, the Company entered into Amendment No. 1 (“Amendment No. 1”) to its existing credit agreement (the "Credit Agreement"). Amendment No. 1 extends the maturity dates of the $675 million term loan A facility and $500 million revolving credit facility under the Credit Agreement to February 8, 2026, and makes certain other amendments to the covenants and other provisions of the Credit Agreement.</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Board of Directors has authorized a program to repurchase up to $1.5 billion of our outstanding shares of common stock (the "Stock Repurchase Program"). The Stock Repurchase Program has no pre-established closing date and may be suspended or discontinued at any time. For the three months ended March 31, 2021, we did not repurchase any of our Class A common stock. As of March 31, 2021, we had $135.3 million of authorization remaining for repurchase under the Stock Repurchase Program.</w:t>
      </w:r>
    </w:p>
    <w:p>
      <w:pPr>
        <w:spacing w:after="0" w:line="7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w:t>
      </w:r>
    </w:p>
    <w:p>
      <w:pPr>
        <w:spacing w:after="0" w:line="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2021, our consolidated cash and cash equivalents balance includes approximately $231.0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2020 Form 10-K.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revolving credit facility was not drawn upon at March 31, 2021.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March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76"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(303,052)</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109,635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(106,310)</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Net cash provided by operating activities amounted to $107.6 million for the three months ended March 31, 2021 as compared to $198.4 million for the three months ended March 31, 2020. Net cash provided by operating activities for the three months ended March 31, 2021 primarily resulted from $330.0 million of net income before amortization of program rights, depreciation and amortization, and other non-cash items, which was partially offset by payments for program rights of $238.0 million and a decrease in accounts payable, accrued expenses and other liabilities of $67.7 million primarily related to lower employee related and participations and residuals liabilities. In addition, net cash provided by operating activities increased as a result of a decrease in accounts receivable of $37.0 million, a decrease in prepaid expense and other assets of $29.4 million primarily related to a decrease in long-term receivables and an increase of $11.1 million in income taxes payable. Changes in all other assets and liabilities resulted in a increase of $5.7 million.</w:t>
      </w:r>
    </w:p>
    <w:p>
      <w:pPr>
        <w:spacing w:after="0" w:line="5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Net cash provided by operating activities for the three months ended March 31, 2020 primarily resulted from $401.3 million of net income before amortization of program rights, depreciation and amortization, and other non-cash items, which was partially offset by payments for program rights of $221.6 million, a decrease in accounts payable, accrued expenses and other liabilities of $20.4 million primarily related to lower employee related liabilities and an increase in deferred carriage fees payable of $15.5 million. In addition, net cash provided by operating activities increased as a result of a decrease in prepaid expense and other assets of $17.5 million primarily related to a decrease in long-term receivables. Changes in all other assets and liabilities resulted in an increase of $9.9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Net cash provided by (used in) investing activities for the three months ended March 31, 2021 and 2020 was $56.0 million and $(1.7) million, respectively. For the three months ended March 31, 2021, cash provided by investing activities included proceeds received from the sale of an investment of $95.4 million, partially offset by the acquisition of equity securities of $25.7 million and capital expenditures of $8.5 million. All other changes in investing activities resulted in an decrease of $5.2 million. For the three months ended March 31, 2020, cash used in investing activities included capital expenditures of $12.9 million, partially offset by partial proceeds received from the sale of an investment of $10.0 million and a principal payment received from a loan to an investee.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$53.9 million for the three months ended March 31, 2021 and primarily consisted of principal payments, net of proceeds, on long-term debt (including the redemption of $400 million of 4.75% Notes due December 2022 and $600 million of 5.00% Notes due April 2024) of $30.5 million, taxes paid in lieu of shares issued for equity-based compensation of $34.6 million, distributions to noncontrolling interests of $2.5 million, and payments on finance leases of $1.1 million, partially offset by proceeds from the exercise of stock options of $12.1 million and contributions from noncontrolling interests of $2.7 million.</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Net cash used in financing activities amounted to $303.1 million for the three months ended March 31, 2020 and primarily consisted of principal payments, net of proceeds, on long-term debt (including the redemption of $200 million of 4.75% Notes due 2022) of $204.4 million, purchases of our common stock of $86.0 million, taxes paid in lieu of shares issued for equity-based compensation of $8.9 million and distributions to noncontrolling interests of $3.1 million.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March 31, 2021, our contractual obligations not reflected on the condensed consolidated balance sheet increased $30.6 million, as compared to December 31, 2020, to $1,042.5 million. The increase primarily relates to additional commitments for program rights and marketing commitments.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Debt of AMC Networks as of March 31, 2021 included $400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Three Months Ended March 31, 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Three Months Ended March 31, 2020</w:t>
            </w:r>
          </w:p>
        </w:tc>
        <w:tc>
          <w:tcPr>
            <w:tcW w:w="0" w:type="dxa"/>
            <w:vAlign w:val="bottom"/>
          </w:tcPr>
          <w:p>
            <w:pPr>
              <w:spacing w:after="0"/>
              <w:rPr>
                <w:sz w:val="1"/>
                <w:szCs w:val="1"/>
                <w:color w:val="auto"/>
              </w:rPr>
            </w:pPr>
          </w:p>
        </w:tc>
      </w:tr>
      <w:tr>
        <w:trPr>
          <w:trHeight w:val="412"/>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2"/>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531,300</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316,637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367,014</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164,286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vMerge w:val="continue"/>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108,267</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167,422</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98,338</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140,519</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Pr>
          <w:p>
            <w:pPr>
              <w:spacing w:after="0"/>
              <w:rPr>
                <w:sz w:val="20"/>
                <w:szCs w:val="20"/>
                <w:color w:val="auto"/>
              </w:rPr>
            </w:pPr>
          </w:p>
        </w:tc>
        <w:tc>
          <w:tcPr>
            <w:tcW w:w="3880" w:type="dxa"/>
            <w:vAlign w:val="bottom"/>
            <w:gridSpan w:val="5"/>
          </w:tcPr>
          <w:p>
            <w:pPr>
              <w:ind w:left="124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20"/>
                <w:szCs w:val="20"/>
                <w:color w:val="auto"/>
              </w:rPr>
            </w:pPr>
          </w:p>
        </w:tc>
        <w:tc>
          <w:tcPr>
            <w:tcW w:w="3720" w:type="dxa"/>
            <w:vAlign w:val="bottom"/>
            <w:gridSpan w:val="4"/>
          </w:tcPr>
          <w:p>
            <w:pPr>
              <w:jc w:val="right"/>
              <w:ind w:right="1211"/>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9,669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25,749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74,649</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1,291,630</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3,799,020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3,257,847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3,729,996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3,151,581</w:t>
            </w:r>
          </w:p>
        </w:tc>
      </w:tr>
      <w:tr>
        <w:trPr>
          <w:trHeight w:val="270"/>
        </w:trPr>
        <w:tc>
          <w:tcPr>
            <w:tcW w:w="3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140,092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518,178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124,886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545,105</w:t>
            </w: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3,001,757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2020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2020.</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2020 Form 10-K. There have been no significant changes in our critical accounting estimates since December 31, 2020.</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March 31, 2021, the carrying value of our fixed rate debt of $2.17 billion was less than its fair value of $2.20 billion by approximately $27.0 million. The fair value of these financial instruments is estimated based on reference to quoted market prices for these or comparable securities. A hypothetical 100 basis point decrease in interest rates prevailing at March 31, 2021 would increase the estimated fair value of our fixed rate debt by approximately $89.0 million to approximately $2.30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March 31, 2021, we had $2.8 billion of debt outstanding (excluding finance leases), of which $0.7 billion is outstanding under our loan facility and is subject to variable interest rates (before consideration of the interest rate swaps contracts described below).</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2021, we had interest rate swap contracts outstanding with notional amounts aggregating $100 million. The aggregate fair value of interest rate swap contracts at March 31, 2021 was a net liability of $1.8 million. As a result of these transactions, the interest rate paid on approximately 80% of our debt (excluding finance leases) as of March 31, 2021 is effectively fixed (76% being fixed rate obligations and 4% effectively fixed through utilization of these interest rate swap contracts).</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hypothetical 100 basis point increase in interest rates prevailing at March 31, 2021 would not have a material impact on our annual interest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$9.5 million gain for the three months ended March 31, 2021 related to foreign currency transactions. Such amounts are included in miscellaneous, net in the condensed consolidated statement of income.</w:t>
      </w:r>
    </w:p>
    <w:p>
      <w:pPr>
        <w:spacing w:after="0" w:line="5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color w:val="auto"/>
        </w:rPr>
        <w:t>a negative impact on our comprehensive income (loss) and equity with respect to our holdings solely as a result of changes in foreign currency exchange rates.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2021,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March 31, 2021,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three months ended March 31, 2021, the Company did not repurchase any of its Class A common stock. As of March 31, 2021,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4.9</w:t>
            </w:r>
          </w:p>
        </w:tc>
        <w:tc>
          <w:tcPr>
            <w:tcW w:w="9940" w:type="dxa"/>
            <w:vAlign w:val="bottom"/>
            <w:gridSpan w:val="8"/>
          </w:tcPr>
          <w:p>
            <w:pPr>
              <w:spacing w:after="0"/>
              <w:rPr>
                <w:rFonts w:ascii="Arial" w:cs="Arial" w:eastAsia="Arial" w:hAnsi="Arial"/>
                <w:sz w:val="18"/>
                <w:szCs w:val="18"/>
                <w:color w:val="0000FF"/>
                <w:w w:val="93"/>
              </w:rPr>
            </w:pPr>
            <w:hyperlink r:id="rId64">
              <w:r>
                <w:rPr>
                  <w:rFonts w:ascii="Arial" w:cs="Arial" w:eastAsia="Arial" w:hAnsi="Arial"/>
                  <w:sz w:val="18"/>
                  <w:szCs w:val="18"/>
                  <w:color w:val="0000FF"/>
                  <w:w w:val="93"/>
                </w:rPr>
                <w:t>Third Supplemental Indenture, dated as of February 8, 2021, to the Indenture, dated as of March 30, 2016, among AMC Networks, as</w:t>
              </w:r>
            </w:hyperlink>
          </w:p>
        </w:tc>
      </w:tr>
      <w:tr>
        <w:trPr>
          <w:trHeight w:val="155"/>
        </w:trPr>
        <w:tc>
          <w:tcPr>
            <w:tcW w:w="1100" w:type="dxa"/>
            <w:vAlign w:val="bottom"/>
          </w:tcPr>
          <w:p>
            <w:pPr>
              <w:spacing w:after="0"/>
              <w:rPr>
                <w:sz w:val="13"/>
                <w:szCs w:val="13"/>
                <w:color w:val="auto"/>
              </w:rPr>
            </w:pPr>
          </w:p>
        </w:tc>
        <w:tc>
          <w:tcPr>
            <w:tcW w:w="9620" w:type="dxa"/>
            <w:vAlign w:val="bottom"/>
            <w:tcBorders>
              <w:top w:val="single" w:sz="8" w:color="0000FF"/>
            </w:tcBorders>
            <w:gridSpan w:val="4"/>
          </w:tcPr>
          <w:p>
            <w:pPr>
              <w:spacing w:after="0" w:line="15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issuer, the Guarantors and U.S. Bank National Association, as Trustee, and Form of Notes (incorporated by reference to Exhibit 4.2 to</w:t>
              </w:r>
            </w:hyperlink>
          </w:p>
        </w:tc>
        <w:tc>
          <w:tcPr>
            <w:tcW w:w="320" w:type="dxa"/>
            <w:vAlign w:val="bottom"/>
            <w:gridSpan w:val="4"/>
          </w:tcPr>
          <w:p>
            <w:pPr>
              <w:jc w:val="right"/>
              <w:ind w:right="20"/>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the</w:t>
              </w:r>
            </w:hyperlink>
          </w:p>
        </w:tc>
      </w:tr>
      <w:tr>
        <w:trPr>
          <w:trHeight w:val="156"/>
        </w:trPr>
        <w:tc>
          <w:tcPr>
            <w:tcW w:w="1100" w:type="dxa"/>
            <w:vAlign w:val="bottom"/>
          </w:tcPr>
          <w:p>
            <w:pPr>
              <w:spacing w:after="0"/>
              <w:rPr>
                <w:sz w:val="13"/>
                <w:szCs w:val="13"/>
                <w:color w:val="auto"/>
              </w:rPr>
            </w:pPr>
          </w:p>
        </w:tc>
        <w:tc>
          <w:tcPr>
            <w:tcW w:w="4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Company's Current Report on Form 8-K filed on February 8, 2021)</w:t>
              </w:r>
            </w:hyperlink>
          </w:p>
        </w:tc>
        <w:tc>
          <w:tcPr>
            <w:tcW w:w="50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gridSpan w:val="8"/>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Employment Agreement dated January 12, 2021, between AMC Networks Inc. and Christina Spade (incorporated by reference to Exhibit</w:t>
              </w:r>
            </w:hyperlink>
          </w:p>
        </w:tc>
      </w:tr>
      <w:tr>
        <w:trPr>
          <w:trHeight w:val="156"/>
        </w:trPr>
        <w:tc>
          <w:tcPr>
            <w:tcW w:w="110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15</w:t>
              </w:r>
              <w:r>
                <w:rPr>
                  <w:rFonts w:ascii="Arial" w:cs="Arial" w:eastAsia="Arial" w:hAnsi="Arial"/>
                  <w:sz w:val="18"/>
                  <w:szCs w:val="18"/>
                  <w:color w:val="0000FF"/>
                  <w:w w:val="91"/>
                </w:rPr>
                <w:t xml:space="preserve"> to the Company's Annual Report on Form 10-K filed on February 26, 2021)</w:t>
              </w:r>
            </w:hyperlink>
          </w:p>
        </w:tc>
        <w:tc>
          <w:tcPr>
            <w:tcW w:w="398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gridSpan w:val="8"/>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Amendment No. 1, dated as of February 8, 2021, to the Second Amended and Restated Credit Agreement, dated as of July 28, 2017, in</w:t>
              </w:r>
            </w:hyperlink>
          </w:p>
        </w:tc>
      </w:tr>
      <w:tr>
        <w:trPr>
          <w:trHeight w:val="156"/>
        </w:trPr>
        <w:tc>
          <w:tcPr>
            <w:tcW w:w="1100" w:type="dxa"/>
            <w:vAlign w:val="bottom"/>
          </w:tcPr>
          <w:p>
            <w:pPr>
              <w:spacing w:after="0"/>
              <w:rPr>
                <w:sz w:val="13"/>
                <w:szCs w:val="13"/>
                <w:color w:val="auto"/>
              </w:rPr>
            </w:pPr>
          </w:p>
        </w:tc>
        <w:tc>
          <w:tcPr>
            <w:tcW w:w="9720" w:type="dxa"/>
            <w:vAlign w:val="bottom"/>
            <w:tcBorders>
              <w:top w:val="single" w:sz="8" w:color="0000FF"/>
            </w:tcBorders>
            <w:gridSpan w:val="5"/>
          </w:tcPr>
          <w:p>
            <w:pPr>
              <w:spacing w:after="0" w:line="156" w:lineRule="exact"/>
              <w:rPr>
                <w:rFonts w:ascii="Arial" w:cs="Arial" w:eastAsia="Arial" w:hAnsi="Arial"/>
                <w:sz w:val="18"/>
                <w:szCs w:val="18"/>
                <w:color w:val="0000FF"/>
                <w:w w:val="95"/>
              </w:rPr>
            </w:pPr>
            <w:hyperlink r:id="rId66">
              <w:r>
                <w:rPr>
                  <w:rFonts w:ascii="Arial" w:cs="Arial" w:eastAsia="Arial" w:hAnsi="Arial"/>
                  <w:sz w:val="18"/>
                  <w:szCs w:val="18"/>
                  <w:color w:val="0000FF"/>
                  <w:w w:val="95"/>
                </w:rPr>
                <w:t>each case, among AMC Networks and its subsidiary, AMC Network Entertainment LLC, as the initial borrowers, certain of AMC</w:t>
              </w:r>
            </w:hyperlink>
          </w:p>
        </w:tc>
        <w:tc>
          <w:tcPr>
            <w:tcW w:w="220" w:type="dxa"/>
            <w:vAlign w:val="bottom"/>
            <w:gridSpan w:val="3"/>
          </w:tcPr>
          <w:p>
            <w:pPr>
              <w:spacing w:after="0"/>
              <w:rPr>
                <w:sz w:val="13"/>
                <w:szCs w:val="13"/>
                <w:color w:val="auto"/>
              </w:rPr>
            </w:pPr>
          </w:p>
        </w:tc>
      </w:tr>
      <w:tr>
        <w:trPr>
          <w:trHeight w:val="157"/>
        </w:trPr>
        <w:tc>
          <w:tcPr>
            <w:tcW w:w="1100" w:type="dxa"/>
            <w:vAlign w:val="bottom"/>
          </w:tcPr>
          <w:p>
            <w:pPr>
              <w:spacing w:after="0"/>
              <w:rPr>
                <w:sz w:val="13"/>
                <w:szCs w:val="13"/>
                <w:color w:val="auto"/>
              </w:rPr>
            </w:pPr>
          </w:p>
        </w:tc>
        <w:tc>
          <w:tcPr>
            <w:tcW w:w="9360" w:type="dxa"/>
            <w:vAlign w:val="bottom"/>
            <w:tcBorders>
              <w:top w:val="single" w:sz="8" w:color="0000FF"/>
            </w:tcBorders>
            <w:gridSpan w:val="3"/>
          </w:tcPr>
          <w:p>
            <w:pPr>
              <w:spacing w:after="0" w:line="157" w:lineRule="exact"/>
              <w:rPr>
                <w:rFonts w:ascii="Arial" w:cs="Arial" w:eastAsia="Arial" w:hAnsi="Arial"/>
                <w:sz w:val="18"/>
                <w:szCs w:val="18"/>
                <w:u w:val="single" w:color="auto"/>
                <w:color w:val="0000FF"/>
                <w:w w:val="89"/>
              </w:rPr>
            </w:pPr>
            <w:hyperlink r:id="rId66">
              <w:r>
                <w:rPr>
                  <w:rFonts w:ascii="Arial" w:cs="Arial" w:eastAsia="Arial" w:hAnsi="Arial"/>
                  <w:sz w:val="18"/>
                  <w:szCs w:val="18"/>
                  <w:u w:val="single" w:color="auto"/>
                  <w:color w:val="0000FF"/>
                  <w:w w:val="89"/>
                </w:rPr>
                <w:t>Networks’ subsidiaries, as restricted subsidiaries, Bank of America, N.A., as an L/C Issuer, the lenders party thereto and JPMorgan</w:t>
              </w:r>
            </w:hyperlink>
          </w:p>
        </w:tc>
        <w:tc>
          <w:tcPr>
            <w:tcW w:w="580" w:type="dxa"/>
            <w:vAlign w:val="bottom"/>
            <w:gridSpan w:val="5"/>
          </w:tcPr>
          <w:p>
            <w:pPr>
              <w:jc w:val="right"/>
              <w:ind w:right="20"/>
              <w:spacing w:after="0" w:line="157" w:lineRule="exact"/>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Chase</w:t>
              </w:r>
            </w:hyperlink>
          </w:p>
        </w:tc>
      </w:tr>
    </w:tbl>
    <w:p>
      <w:pPr>
        <w:ind w:left="1120" w:right="460"/>
        <w:spacing w:after="0" w:line="226"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Bank, N.A., as Administrative Agent, Collateral Agent and an L/C Issuer (incorporated by reference to Exhibit 10.1 to the Company’s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Current Report on Form 8-K filed on February 8, 2021)</w:t>
        </w:r>
      </w:hyperlink>
    </w:p>
    <w:p>
      <w:pPr>
        <w:spacing w:after="0" w:line="53" w:lineRule="exact"/>
        <w:rPr>
          <w:sz w:val="20"/>
          <w:szCs w:val="20"/>
          <w:color w:val="auto"/>
        </w:rPr>
      </w:pPr>
    </w:p>
    <w:p>
      <w:pPr>
        <w:ind w:left="1120" w:hanging="1094"/>
        <w:spacing w:after="0"/>
        <w:tabs>
          <w:tab w:leader="none" w:pos="1120" w:val="left"/>
        </w:tabs>
        <w:numPr>
          <w:ilvl w:val="0"/>
          <w:numId w:val="11"/>
        </w:numPr>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Guarantor Subsidiaries of the Registrant</w:t>
        </w:r>
      </w:hyperlink>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Chief Executive Officer pursuant to Section 302 of the Sarbanes-Oxley Act of 2002.</w:t>
              </w:r>
            </w:hyperlink>
          </w:p>
        </w:tc>
      </w:tr>
      <w:tr>
        <w:trPr>
          <w:trHeight w:val="263"/>
        </w:trPr>
        <w:tc>
          <w:tcPr>
            <w:tcW w:w="1100" w:type="dxa"/>
            <w:vAlign w:val="bottom"/>
          </w:tcPr>
          <w:p>
            <w:pPr>
              <w:jc w:val="right"/>
              <w:ind w:right="690"/>
              <w:spacing w:after="0"/>
              <w:rPr>
                <w:sz w:val="20"/>
                <w:szCs w:val="20"/>
                <w:color w:val="auto"/>
              </w:rPr>
            </w:pPr>
            <w:r>
              <w:rPr>
                <w:rFonts w:ascii="Arial" w:cs="Arial" w:eastAsia="Arial" w:hAnsi="Arial"/>
                <w:sz w:val="18"/>
                <w:szCs w:val="18"/>
                <w:color w:val="auto"/>
                <w:w w:val="85"/>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2"/>
                <w:szCs w:val="22"/>
                <w:color w:val="auto"/>
              </w:rPr>
            </w:pPr>
          </w:p>
        </w:tc>
      </w:tr>
    </w:tbl>
    <w:p>
      <w:pPr>
        <w:spacing w:after="0" w:line="80" w:lineRule="exact"/>
        <w:rPr>
          <w:sz w:val="20"/>
          <w:szCs w:val="20"/>
          <w:color w:val="auto"/>
        </w:rPr>
      </w:pPr>
    </w:p>
    <w:p>
      <w:pPr>
        <w:ind w:left="1120" w:right="40" w:hanging="1094"/>
        <w:spacing w:after="0" w:line="235" w:lineRule="auto"/>
        <w:tabs>
          <w:tab w:leader="none" w:pos="1120" w:val="left"/>
        </w:tabs>
        <w:numPr>
          <w:ilvl w:val="0"/>
          <w:numId w:val="12"/>
        </w:numPr>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U.S.C. Section 1350.</w:t>
        </w:r>
      </w:hyperlink>
    </w:p>
    <w:p>
      <w:pPr>
        <w:spacing w:after="0" w:line="2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90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Inline XBRL document.</w:t>
            </w: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120" w:hanging="1094"/>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320" w:type="dxa"/>
            <w:vAlign w:val="bottom"/>
          </w:tcPr>
          <w:p>
            <w:pPr>
              <w:spacing w:after="0"/>
              <w:rPr>
                <w:sz w:val="20"/>
                <w:szCs w:val="20"/>
                <w:color w:val="auto"/>
              </w:rPr>
            </w:pPr>
            <w:r>
              <w:rPr>
                <w:rFonts w:ascii="Arial" w:cs="Arial" w:eastAsia="Arial" w:hAnsi="Arial"/>
                <w:sz w:val="18"/>
                <w:szCs w:val="18"/>
                <w:color w:val="auto"/>
              </w:rPr>
              <w:t>Date: May 7, 2021</w:t>
            </w:r>
          </w:p>
        </w:tc>
        <w:tc>
          <w:tcPr>
            <w:tcW w:w="7700" w:type="dxa"/>
            <w:vAlign w:val="bottom"/>
            <w:gridSpan w:val="2"/>
          </w:tcPr>
          <w:p>
            <w:pPr>
              <w:ind w:left="1980"/>
              <w:spacing w:after="0"/>
              <w:rPr>
                <w:sz w:val="20"/>
                <w:szCs w:val="20"/>
                <w:color w:val="auto"/>
              </w:rPr>
            </w:pPr>
            <w:r>
              <w:rPr>
                <w:rFonts w:ascii="Arial" w:cs="Arial" w:eastAsia="Arial" w:hAnsi="Arial"/>
                <w:sz w:val="18"/>
                <w:szCs w:val="18"/>
                <w:color w:val="auto"/>
              </w:rPr>
              <w:t>By: /s/ Christina Spade</w:t>
            </w:r>
          </w:p>
        </w:tc>
      </w:tr>
      <w:tr>
        <w:trPr>
          <w:trHeight w:val="222"/>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3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5"/>
              </w:rPr>
              <w:t>As of March 31, 2021,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Benders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Entertainment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Films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Television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Theatres Concessions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Theatres,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IFC TV Studios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IFC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IPTV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Kindred Spirit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Kopus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Kopus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Living With Yourself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Lodge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Lodge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Making Waves Studio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Mechanical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Newfound Lake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NOS4A2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Peach Pit Properties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Premier Quills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Media Enterprises, Inc.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Rainbow Programming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III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Rectify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Red Monday Programming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RNC Holding Corporation</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RNC II Holding Corporation</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Roughhouse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Selects VOD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Shudder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Stalwart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Stan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Sundance Film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The Son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14"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8"/>
                <w:szCs w:val="18"/>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09"/>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Turn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VII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TWD Productions X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Universe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Asia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WE tv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Woodbury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1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May 7, 2021</w:t>
            </w:r>
          </w:p>
        </w:tc>
        <w:tc>
          <w:tcPr>
            <w:tcW w:w="6920" w:type="dxa"/>
            <w:vAlign w:val="bottom"/>
            <w:gridSpan w:val="2"/>
          </w:tcPr>
          <w:p>
            <w:pPr>
              <w:ind w:left="2740"/>
              <w:spacing w:after="0"/>
              <w:rPr>
                <w:sz w:val="20"/>
                <w:szCs w:val="20"/>
                <w:color w:val="auto"/>
              </w:rPr>
            </w:pPr>
            <w:r>
              <w:rPr>
                <w:rFonts w:ascii="Arial" w:cs="Arial" w:eastAsia="Arial" w:hAnsi="Arial"/>
                <w:sz w:val="18"/>
                <w:szCs w:val="18"/>
                <w:color w:val="auto"/>
              </w:rPr>
              <w:t>By:  /s/ Joshua W. Sapan</w:t>
            </w:r>
          </w:p>
        </w:tc>
      </w:tr>
      <w:tr>
        <w:trPr>
          <w:trHeight w:val="222"/>
        </w:trPr>
        <w:tc>
          <w:tcPr>
            <w:tcW w:w="4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Joshua W. Sapan</w:t>
            </w:r>
          </w:p>
        </w:tc>
      </w:tr>
      <w:tr>
        <w:trPr>
          <w:trHeight w:val="230"/>
        </w:trPr>
        <w:tc>
          <w:tcPr>
            <w:tcW w:w="4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May 7, 2021</w:t>
            </w:r>
          </w:p>
        </w:tc>
        <w:tc>
          <w:tcPr>
            <w:tcW w:w="6920" w:type="dxa"/>
            <w:vAlign w:val="bottom"/>
            <w:gridSpan w:val="2"/>
          </w:tcPr>
          <w:p>
            <w:pPr>
              <w:ind w:left="2740"/>
              <w:spacing w:after="0"/>
              <w:rPr>
                <w:sz w:val="20"/>
                <w:szCs w:val="20"/>
                <w:color w:val="auto"/>
              </w:rPr>
            </w:pPr>
            <w:r>
              <w:rPr>
                <w:rFonts w:ascii="Arial" w:cs="Arial" w:eastAsia="Arial" w:hAnsi="Arial"/>
                <w:sz w:val="18"/>
                <w:szCs w:val="18"/>
                <w:color w:val="auto"/>
              </w:rPr>
              <w:t>By:  /s/ Christina Spade</w:t>
            </w:r>
          </w:p>
        </w:tc>
      </w:tr>
      <w:tr>
        <w:trPr>
          <w:trHeight w:val="222"/>
        </w:trPr>
        <w:tc>
          <w:tcPr>
            <w:tcW w:w="42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176"/>
        </w:trPr>
        <w:tc>
          <w:tcPr>
            <w:tcW w:w="42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r>
      <w:tr>
        <w:trPr>
          <w:trHeight w:val="230"/>
        </w:trPr>
        <w:tc>
          <w:tcPr>
            <w:tcW w:w="4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March 31, 2021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100"/>
              <w:spacing w:after="0"/>
              <w:rPr>
                <w:sz w:val="20"/>
                <w:szCs w:val="20"/>
                <w:color w:val="auto"/>
              </w:rPr>
            </w:pPr>
            <w:r>
              <w:rPr>
                <w:rFonts w:ascii="Arial" w:cs="Arial" w:eastAsia="Arial" w:hAnsi="Arial"/>
                <w:sz w:val="18"/>
                <w:szCs w:val="18"/>
                <w:color w:val="auto"/>
              </w:rPr>
              <w:t>May 7, 2021</w:t>
            </w:r>
          </w:p>
        </w:tc>
        <w:tc>
          <w:tcPr>
            <w:tcW w:w="3180" w:type="dxa"/>
            <w:vAlign w:val="bottom"/>
          </w:tcPr>
          <w:p>
            <w:pPr>
              <w:ind w:left="27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Joshua W. Sapan</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Joshua W. Sapan</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r>
      <w:tr>
        <w:trPr>
          <w:trHeight w:val="60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120"/>
              <w:spacing w:after="0"/>
              <w:rPr>
                <w:sz w:val="20"/>
                <w:szCs w:val="20"/>
                <w:color w:val="auto"/>
              </w:rPr>
            </w:pPr>
            <w:r>
              <w:rPr>
                <w:rFonts w:ascii="Arial" w:cs="Arial" w:eastAsia="Arial" w:hAnsi="Arial"/>
                <w:sz w:val="18"/>
                <w:szCs w:val="18"/>
                <w:color w:val="auto"/>
              </w:rPr>
              <w:t>May 7, 2021</w:t>
            </w:r>
          </w:p>
        </w:tc>
        <w:tc>
          <w:tcPr>
            <w:tcW w:w="3180" w:type="dxa"/>
            <w:vAlign w:val="bottom"/>
          </w:tcPr>
          <w:p>
            <w:pPr>
              <w:ind w:left="27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bl>
    <w:p>
      <w:pPr>
        <w:ind w:left="7500"/>
        <w:spacing w:after="0" w:line="220" w:lineRule="auto"/>
        <w:rPr>
          <w:sz w:val="20"/>
          <w:szCs w:val="20"/>
          <w:color w:val="auto"/>
        </w:rPr>
      </w:pPr>
      <w:r>
        <w:rPr>
          <w:rFonts w:ascii="Arial" w:cs="Arial" w:eastAsia="Arial" w:hAnsi="Arial"/>
          <w:sz w:val="18"/>
          <w:szCs w:val="18"/>
          <w:color w:val="auto"/>
        </w:rPr>
        <w:t>Executive Vice President and Chief Financial</w:t>
      </w:r>
    </w:p>
    <w:p>
      <w:pPr>
        <w:ind w:left="75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22"/>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4" Type="http://schemas.openxmlformats.org/officeDocument/2006/relationships/hyperlink" Target="https://www.sec.gov/Archives/edgar/data/1514991/000119312521032506/d78130dex42.htm" TargetMode="External"/><Relationship Id="rId65" Type="http://schemas.openxmlformats.org/officeDocument/2006/relationships/hyperlink" Target="https://www.sec.gov/Archives/edgar/data/1514991/000151499121000014/amcx-123120xex1015.htm" TargetMode="External"/><Relationship Id="rId66" Type="http://schemas.openxmlformats.org/officeDocument/2006/relationships/hyperlink" Target="https://www.sec.gov/Archives/edgar/data/1514991/000119312521032506/d781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2021-05-07T15:35:53Z</dcterms:created>
  <dcterms:modified xsi:type="dcterms:W3CDTF">2021-05-07T15:35:53Z</dcterms:modified>
</cp:coreProperties>
</file>