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 INFORMATION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14a-101)</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 PURSUANT TO SECTION 14(a) OF THE SECURITIES</w:t>
      </w:r>
    </w:p>
    <w:p>
      <w:pPr>
        <w:spacing w:after="0" w:line="33" w:lineRule="exact"/>
        <w:rPr>
          <w:sz w:val="24"/>
          <w:szCs w:val="24"/>
          <w:color w:val="auto"/>
        </w:rPr>
      </w:pPr>
    </w:p>
    <w:p>
      <w:pPr>
        <w:ind w:left="3240"/>
        <w:spacing w:after="0"/>
        <w:tabs>
          <w:tab w:leader="none" w:pos="8100" w:val="left"/>
        </w:tabs>
        <w:rPr>
          <w:sz w:val="20"/>
          <w:szCs w:val="20"/>
          <w:color w:val="auto"/>
        </w:rPr>
      </w:pPr>
      <w:r>
        <w:rPr>
          <w:rFonts w:ascii="Arial" w:cs="Arial" w:eastAsia="Arial" w:hAnsi="Arial"/>
          <w:sz w:val="22"/>
          <w:szCs w:val="22"/>
          <w:b w:val="1"/>
          <w:bCs w:val="1"/>
          <w:color w:val="auto"/>
        </w:rPr>
        <w:t>EXCHANGE ACT OF 1934 (AMENDMENT NO.</w:t>
        <w:tab/>
        <w:t>)</w:t>
      </w:r>
    </w:p>
    <w:p>
      <w:pPr>
        <w:spacing w:after="0" w:line="115" w:lineRule="exact"/>
        <w:rPr>
          <w:sz w:val="24"/>
          <w:szCs w:val="24"/>
          <w:color w:val="auto"/>
        </w:rPr>
      </w:pPr>
    </w:p>
    <w:p>
      <w:pPr>
        <w:spacing w:after="0" w:line="207" w:lineRule="exact"/>
        <w:tabs>
          <w:tab w:leader="none" w:pos="2100" w:val="left"/>
        </w:tabs>
        <w:rPr>
          <w:sz w:val="20"/>
          <w:szCs w:val="20"/>
          <w:color w:val="auto"/>
        </w:rPr>
      </w:pPr>
      <w:r>
        <w:rPr>
          <w:rFonts w:ascii="Arial" w:cs="Arial" w:eastAsia="Arial" w:hAnsi="Arial"/>
          <w:sz w:val="18"/>
          <w:szCs w:val="18"/>
          <w:b w:val="1"/>
          <w:bCs w:val="1"/>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3"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50"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50"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AMC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580" w:right="560" w:hanging="572"/>
        <w:spacing w:after="0" w:line="276"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148590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-133985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-417195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-699770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-1428750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-1711960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-1995170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-2415540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-2698115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 w:name="page2"/>
    <w:bookmarkEnd w:id="1"/>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3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Shareholder Meeting to Be Held on June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135890</wp:posOffset>
            </wp:positionV>
            <wp:extent cx="3618865" cy="1329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1329055"/>
                    </a:xfrm>
                    <a:prstGeom prst="rect">
                      <a:avLst/>
                    </a:prstGeom>
                    <a:noFill/>
                  </pic:spPr>
                </pic:pic>
              </a:graphicData>
            </a:graphic>
          </wp:anchor>
        </w:drawing>
      </w:r>
    </w:p>
    <w:p>
      <w:pPr>
        <w:sectPr>
          <w:pgSz w:w="11900" w:h="16838" w:orient="portrait"/>
          <w:cols w:equalWidth="0" w:num="1">
            <w:col w:w="11100"/>
          </w:cols>
          <w:pgMar w:left="240" w:top="274" w:right="559" w:bottom="1440" w:gutter="0" w:footer="0" w:header="0"/>
        </w:sectPr>
      </w:pPr>
    </w:p>
    <w:p>
      <w:pPr>
        <w:spacing w:after="0" w:line="388"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AMC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162052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05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AMC NETWORKS INC.</w:t>
      </w:r>
    </w:p>
    <w:p>
      <w:pPr>
        <w:spacing w:after="0" w:line="15" w:lineRule="exact"/>
        <w:rPr>
          <w:sz w:val="20"/>
          <w:szCs w:val="20"/>
          <w:color w:val="auto"/>
        </w:rPr>
      </w:pPr>
    </w:p>
    <w:p>
      <w:pPr>
        <w:ind w:right="3460" w:firstLine="8"/>
        <w:spacing w:after="0" w:line="323" w:lineRule="auto"/>
        <w:tabs>
          <w:tab w:leader="none" w:pos="16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PENN PLAZA NEW YORK, NY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M45449-P21276</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Meeting Information</w:t>
            </w:r>
          </w:p>
        </w:tc>
      </w:tr>
      <w:tr>
        <w:trPr>
          <w:trHeight w:val="302"/>
        </w:trPr>
        <w:tc>
          <w:tcPr>
            <w:tcW w:w="144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1900" w:type="dxa"/>
            <w:vAlign w:val="bottom"/>
            <w:gridSpan w:val="2"/>
          </w:tcPr>
          <w:p>
            <w:pPr>
              <w:ind w:left="60"/>
              <w:spacing w:after="0"/>
              <w:rPr>
                <w:sz w:val="20"/>
                <w:szCs w:val="20"/>
                <w:color w:val="auto"/>
              </w:rPr>
            </w:pPr>
            <w:r>
              <w:rPr>
                <w:rFonts w:ascii="Arial" w:cs="Arial" w:eastAsia="Arial" w:hAnsi="Arial"/>
                <w:sz w:val="18"/>
                <w:szCs w:val="18"/>
                <w:color w:val="auto"/>
              </w:rPr>
              <w:t>Annual Meeting</w:t>
            </w:r>
          </w:p>
        </w:tc>
      </w:tr>
      <w:tr>
        <w:trPr>
          <w:trHeight w:val="217"/>
        </w:trPr>
        <w:tc>
          <w:tcPr>
            <w:tcW w:w="1440" w:type="dxa"/>
            <w:vAlign w:val="bottom"/>
          </w:tcPr>
          <w:p>
            <w:pPr>
              <w:spacing w:after="0"/>
              <w:rPr>
                <w:sz w:val="20"/>
                <w:szCs w:val="20"/>
                <w:color w:val="auto"/>
              </w:rPr>
            </w:pPr>
            <w:r>
              <w:rPr>
                <w:rFonts w:ascii="Arial" w:cs="Arial" w:eastAsia="Arial" w:hAnsi="Arial"/>
                <w:sz w:val="18"/>
                <w:szCs w:val="18"/>
                <w:b w:val="1"/>
                <w:bCs w:val="1"/>
                <w:color w:val="auto"/>
                <w:w w:val="93"/>
              </w:rPr>
              <w:t>For holders as of:</w:t>
            </w: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April 9, 2012</w:t>
            </w:r>
          </w:p>
        </w:tc>
      </w:tr>
      <w:tr>
        <w:trPr>
          <w:trHeight w:val="228"/>
        </w:trPr>
        <w:tc>
          <w:tcPr>
            <w:tcW w:w="1440" w:type="dxa"/>
            <w:vAlign w:val="bottom"/>
          </w:tcPr>
          <w:p>
            <w:pPr>
              <w:spacing w:after="0"/>
              <w:rPr>
                <w:sz w:val="20"/>
                <w:szCs w:val="20"/>
                <w:color w:val="auto"/>
              </w:rPr>
            </w:pPr>
            <w:r>
              <w:rPr>
                <w:rFonts w:ascii="Arial" w:cs="Arial" w:eastAsia="Arial" w:hAnsi="Arial"/>
                <w:sz w:val="18"/>
                <w:szCs w:val="18"/>
                <w:b w:val="1"/>
                <w:bCs w:val="1"/>
                <w:color w:val="auto"/>
                <w:w w:val="92"/>
              </w:rPr>
              <w:t xml:space="preserve">Date: </w:t>
            </w:r>
            <w:r>
              <w:rPr>
                <w:rFonts w:ascii="Arial" w:cs="Arial" w:eastAsia="Arial" w:hAnsi="Arial"/>
                <w:sz w:val="18"/>
                <w:szCs w:val="18"/>
                <w:color w:val="auto"/>
                <w:w w:val="92"/>
              </w:rPr>
              <w:t>June 5, 2012</w:t>
            </w:r>
          </w:p>
        </w:tc>
        <w:tc>
          <w:tcPr>
            <w:tcW w:w="1900" w:type="dxa"/>
            <w:vAlign w:val="bottom"/>
            <w:gridSpan w:val="2"/>
          </w:tcPr>
          <w:p>
            <w:pPr>
              <w:ind w:left="2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w:t>
            </w:r>
          </w:p>
        </w:tc>
      </w:tr>
    </w:tbl>
    <w:p>
      <w:pPr>
        <w:ind w:left="16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IFC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323 Sixth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w:t>
      </w:r>
    </w:p>
    <w:p>
      <w:pPr>
        <w:spacing w:after="0" w:line="3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9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6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88900</wp:posOffset>
            </wp:positionV>
            <wp:extent cx="341312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13125" cy="394335"/>
                    </a:xfrm>
                    <a:prstGeom prst="rect">
                      <a:avLst/>
                    </a:prstGeom>
                    <a:noFill/>
                  </pic:spPr>
                </pic:pic>
              </a:graphicData>
            </a:graphic>
          </wp:anchor>
        </w:drawing>
      </w:r>
    </w:p>
    <w:p>
      <w:pPr>
        <w:spacing w:after="0" w:line="13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5120" w:space="720"/>
            <w:col w:w="5260"/>
          </w:cols>
          <w:pgMar w:left="240" w:top="274" w:right="559" w:bottom="1440" w:gutter="0" w:footer="0" w:header="0"/>
          <w:type w:val="continuous"/>
        </w:sectPr>
      </w:pPr>
    </w:p>
    <w:bookmarkStart w:id="2" w:name="page3"/>
    <w:bookmarkEnd w:id="2"/>
    <w:p>
      <w:pPr>
        <w:jc w:val="center"/>
        <w:ind w:right="-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w:t>
      </w:r>
      <w:r>
        <w:rPr>
          <w:rFonts w:ascii="Arial" w:cs="Arial" w:eastAsia="Arial" w:hAnsi="Arial"/>
          <w:sz w:val="18"/>
          <w:szCs w:val="18"/>
          <w:b w:val="1"/>
          <w:bCs w:val="1"/>
          <w:color w:val="auto"/>
        </w:rPr>
        <w:t>Before You Vote</w:t>
      </w:r>
      <w:r>
        <w:rPr>
          <w:rFonts w:ascii="Arial" w:cs="Arial" w:eastAsia="Arial" w:hAnsi="Arial"/>
          <w:sz w:val="18"/>
          <w:szCs w:val="18"/>
          <w:color w:val="auto"/>
        </w:rPr>
        <w:t xml:space="preserve"> —</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7186295" cy="2778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2778760"/>
                    </a:xfrm>
                    <a:prstGeom prst="rect">
                      <a:avLst/>
                    </a:prstGeom>
                    <a:noFill/>
                  </pic:spPr>
                </pic:pic>
              </a:graphicData>
            </a:graphic>
          </wp:anchor>
        </w:drawing>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580" cy="259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2590165"/>
                    </a:xfrm>
                    <a:prstGeom prst="rect">
                      <a:avLst/>
                    </a:prstGeom>
                    <a:noFill/>
                  </pic:spPr>
                </pic:pic>
              </a:graphicData>
            </a:graphic>
          </wp:anchor>
        </w:drawing>
      </w:r>
    </w:p>
    <w:p>
      <w:pPr>
        <w:spacing w:after="0" w:line="63" w:lineRule="exact"/>
        <w:rPr>
          <w:sz w:val="20"/>
          <w:szCs w:val="20"/>
          <w:color w:val="auto"/>
        </w:rPr>
      </w:pPr>
    </w:p>
    <w:p>
      <w:pPr>
        <w:ind w:left="340"/>
        <w:spacing w:after="0"/>
        <w:tabs>
          <w:tab w:leader="none" w:pos="1660" w:val="left"/>
          <w:tab w:leader="none" w:pos="4000" w:val="left"/>
        </w:tabs>
        <w:rPr>
          <w:sz w:val="20"/>
          <w:szCs w:val="20"/>
          <w:color w:val="auto"/>
        </w:rPr>
      </w:pPr>
      <w:r>
        <w:rPr>
          <w:rFonts w:ascii="Arial" w:cs="Arial" w:eastAsia="Arial" w:hAnsi="Arial"/>
          <w:sz w:val="18"/>
          <w:szCs w:val="18"/>
          <w:color w:val="auto"/>
        </w:rPr>
        <w:t>NOTICE</w:t>
      </w:r>
      <w:r>
        <w:rPr>
          <w:sz w:val="20"/>
          <w:szCs w:val="20"/>
          <w:color w:val="auto"/>
        </w:rPr>
        <w:tab/>
      </w:r>
      <w:r>
        <w:rPr>
          <w:rFonts w:ascii="Arial" w:cs="Arial" w:eastAsia="Arial" w:hAnsi="Arial"/>
          <w:sz w:val="18"/>
          <w:szCs w:val="18"/>
          <w:color w:val="auto"/>
        </w:rPr>
        <w:t>PROXY STATEMENT</w:t>
      </w:r>
      <w:r>
        <w:rPr>
          <w:sz w:val="20"/>
          <w:szCs w:val="20"/>
          <w:color w:val="auto"/>
        </w:rPr>
        <w:tab/>
      </w:r>
      <w:r>
        <w:rPr>
          <w:rFonts w:ascii="Arial" w:cs="Arial" w:eastAsia="Arial" w:hAnsi="Arial"/>
          <w:sz w:val="16"/>
          <w:szCs w:val="16"/>
          <w:color w:val="auto"/>
        </w:rPr>
        <w:t>ANNUAL REPORT ON FORM 10-K</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to View Online:</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355090"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9" w:lineRule="exact"/>
        <w:rPr>
          <w:sz w:val="20"/>
          <w:szCs w:val="20"/>
          <w:color w:val="auto"/>
        </w:rPr>
      </w:pPr>
    </w:p>
    <w:p>
      <w:pPr>
        <w:ind w:left="340" w:right="40"/>
        <w:spacing w:after="0" w:line="26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51"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340" w:type="dxa"/>
            <w:vAlign w:val="bottom"/>
          </w:tcPr>
          <w:p>
            <w:pPr>
              <w:ind w:left="220"/>
              <w:spacing w:after="0"/>
              <w:rPr>
                <w:sz w:val="20"/>
                <w:szCs w:val="20"/>
                <w:color w:val="auto"/>
              </w:rPr>
            </w:pPr>
            <w:r>
              <w:rPr>
                <w:rFonts w:ascii="Arial" w:cs="Arial" w:eastAsia="Arial" w:hAnsi="Arial"/>
                <w:sz w:val="18"/>
                <w:szCs w:val="18"/>
                <w:color w:val="auto"/>
              </w:rPr>
              <w:t>www.proxyvote.com</w:t>
            </w:r>
          </w:p>
        </w:tc>
      </w:tr>
      <w:tr>
        <w:trPr>
          <w:trHeight w:val="210"/>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340" w:type="dxa"/>
            <w:vAlign w:val="bottom"/>
          </w:tcPr>
          <w:p>
            <w:pPr>
              <w:ind w:left="220"/>
              <w:spacing w:after="0"/>
              <w:rPr>
                <w:sz w:val="20"/>
                <w:szCs w:val="20"/>
                <w:color w:val="auto"/>
              </w:rPr>
            </w:pPr>
            <w:r>
              <w:rPr>
                <w:rFonts w:ascii="Arial" w:cs="Arial" w:eastAsia="Arial" w:hAnsi="Arial"/>
                <w:sz w:val="18"/>
                <w:szCs w:val="18"/>
                <w:color w:val="auto"/>
              </w:rPr>
              <w:t>1-800-579-1639</w:t>
            </w:r>
          </w:p>
        </w:tc>
      </w:tr>
      <w:tr>
        <w:trPr>
          <w:trHeight w:val="275"/>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21"/>
                <w:szCs w:val="21"/>
                <w:i w:val="1"/>
                <w:iCs w:val="1"/>
                <w:color w:val="auto"/>
              </w:rPr>
              <w:t>*</w:t>
            </w:r>
            <w:r>
              <w:rPr>
                <w:rFonts w:ascii="Arial" w:cs="Arial" w:eastAsia="Arial" w:hAnsi="Arial"/>
                <w:sz w:val="18"/>
                <w:szCs w:val="18"/>
                <w:color w:val="auto"/>
              </w:rPr>
              <w:t>:</w:t>
            </w:r>
          </w:p>
        </w:tc>
        <w:tc>
          <w:tcPr>
            <w:tcW w:w="2340" w:type="dxa"/>
            <w:vAlign w:val="bottom"/>
          </w:tcPr>
          <w:p>
            <w:pPr>
              <w:ind w:left="220"/>
              <w:spacing w:after="0"/>
              <w:rPr>
                <w:sz w:val="20"/>
                <w:szCs w:val="20"/>
                <w:color w:val="auto"/>
              </w:rPr>
            </w:pPr>
            <w:r>
              <w:rPr>
                <w:rFonts w:ascii="Arial" w:cs="Arial" w:eastAsia="Arial" w:hAnsi="Arial"/>
                <w:sz w:val="18"/>
                <w:szCs w:val="18"/>
                <w:color w:val="auto"/>
                <w:w w:val="88"/>
              </w:rPr>
              <w:t>sendmaterial@proxyvote.com</w:t>
            </w:r>
          </w:p>
        </w:tc>
      </w:tr>
    </w:tbl>
    <w:p>
      <w:pPr>
        <w:spacing w:after="0" w:line="32" w:lineRule="exact"/>
        <w:rPr>
          <w:sz w:val="20"/>
          <w:szCs w:val="20"/>
          <w:color w:val="auto"/>
        </w:rPr>
      </w:pPr>
    </w:p>
    <w:p>
      <w:pPr>
        <w:ind w:left="520" w:hanging="188"/>
        <w:spacing w:after="0"/>
        <w:tabs>
          <w:tab w:leader="none" w:pos="520"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requesting materials by e-mail, please send a blank e-mail with the information that is printed in the box marked by the arrow</w:t>
      </w:r>
    </w:p>
    <w:p>
      <w:pPr>
        <w:spacing w:after="0" w:line="2"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1"/>
          <w:szCs w:val="1"/>
          <w:color w:val="auto"/>
        </w:rPr>
        <w:drawing>
          <wp:inline distT="0" distB="0" distL="0" distR="0">
            <wp:extent cx="1355090"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89" w:lineRule="exact"/>
        <w:rPr>
          <w:sz w:val="20"/>
          <w:szCs w:val="20"/>
          <w:color w:val="auto"/>
        </w:rPr>
      </w:pPr>
    </w:p>
    <w:p>
      <w:pPr>
        <w:ind w:left="340" w:right="40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22, 2012 to facilitate timely delivery.</w:t>
      </w:r>
    </w:p>
    <w:p>
      <w:pPr>
        <w:spacing w:after="0" w:line="200" w:lineRule="exact"/>
        <w:rPr>
          <w:sz w:val="20"/>
          <w:szCs w:val="20"/>
          <w:color w:val="auto"/>
        </w:rPr>
      </w:pPr>
    </w:p>
    <w:p>
      <w:pPr>
        <w:spacing w:after="0" w:line="3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How To Vote</w:t>
      </w:r>
      <w:r>
        <w:rPr>
          <w:rFonts w:ascii="Arial" w:cs="Arial" w:eastAsia="Arial" w:hAnsi="Arial"/>
          <w:sz w:val="18"/>
          <w:szCs w:val="18"/>
          <w:color w:val="auto"/>
        </w:rPr>
        <w:t xml:space="preserve"> —</w:t>
      </w:r>
    </w:p>
    <w:p>
      <w:pPr>
        <w:spacing w:after="0" w:line="2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109855</wp:posOffset>
            </wp:positionV>
            <wp:extent cx="7186295" cy="142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295" cy="1423670"/>
                    </a:xfrm>
                    <a:prstGeom prst="rect">
                      <a:avLst/>
                    </a:prstGeom>
                    <a:noFill/>
                  </pic:spPr>
                </pic:pic>
              </a:graphicData>
            </a:graphic>
          </wp:anchor>
        </w:drawing>
      </w:r>
    </w:p>
    <w:p>
      <w:pPr>
        <w:spacing w:after="0" w:line="30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68580" cy="132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320800"/>
                    </a:xfrm>
                    <a:prstGeom prst="rect">
                      <a:avLst/>
                    </a:prstGeom>
                    <a:noFill/>
                  </pic:spPr>
                </pic:pic>
              </a:graphicData>
            </a:graphic>
          </wp:anchor>
        </w:drawing>
      </w:r>
    </w:p>
    <w:p>
      <w:pPr>
        <w:spacing w:after="0" w:line="112" w:lineRule="exact"/>
        <w:rPr>
          <w:sz w:val="20"/>
          <w:szCs w:val="20"/>
          <w:color w:val="auto"/>
        </w:rPr>
      </w:pPr>
    </w:p>
    <w:p>
      <w:pPr>
        <w:ind w:left="2600" w:right="960" w:hanging="2264"/>
        <w:spacing w:after="0" w:line="338"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Have the information that is printed in the box marked by the arrow</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and follow the instructions.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M45450-P21276</w:t>
      </w:r>
    </w:p>
    <w:p>
      <w:pPr>
        <w:sectPr>
          <w:pgSz w:w="11900" w:h="16838" w:orient="portrait"/>
          <w:cols w:equalWidth="0" w:num="1">
            <w:col w:w="11060"/>
          </w:cols>
          <w:pgMar w:left="240" w:top="274" w:right="599" w:bottom="1440" w:gutter="0" w:footer="0" w:header="0"/>
        </w:sectPr>
      </w:pPr>
    </w:p>
    <w:bookmarkStart w:id="3" w:name="page4"/>
    <w:bookmarkEnd w:id="3"/>
    <w:p>
      <w:pPr>
        <w:ind w:left="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7263765" cy="368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368935"/>
                    </a:xfrm>
                    <a:prstGeom prst="rect">
                      <a:avLst/>
                    </a:prstGeom>
                    <a:noFill/>
                  </pic:spPr>
                </pic:pic>
              </a:graphicData>
            </a:graphic>
          </wp:anchor>
        </w:drawing>
        <w:t>Voting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Director nominees:</w:t>
      </w:r>
    </w:p>
    <w:p>
      <w:pPr>
        <w:spacing w:after="0" w:line="13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the following nominees as Directors:</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1740" w:type="dxa"/>
            <w:vAlign w:val="bottom"/>
          </w:tcPr>
          <w:p>
            <w:pPr>
              <w:ind w:left="100"/>
              <w:spacing w:after="0"/>
              <w:rPr>
                <w:sz w:val="20"/>
                <w:szCs w:val="20"/>
                <w:color w:val="auto"/>
              </w:rPr>
            </w:pPr>
            <w:r>
              <w:rPr>
                <w:rFonts w:ascii="Arial" w:cs="Arial" w:eastAsia="Arial" w:hAnsi="Arial"/>
                <w:sz w:val="18"/>
                <w:szCs w:val="18"/>
                <w:color w:val="auto"/>
              </w:rPr>
              <w:t>Neil M. Ashe</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340" w:type="dxa"/>
            <w:vAlign w:val="bottom"/>
          </w:tcPr>
          <w:p>
            <w:pPr>
              <w:ind w:left="120"/>
              <w:spacing w:after="0"/>
              <w:rPr>
                <w:sz w:val="20"/>
                <w:szCs w:val="20"/>
                <w:color w:val="auto"/>
              </w:rPr>
            </w:pPr>
            <w:r>
              <w:rPr>
                <w:rFonts w:ascii="Arial" w:cs="Arial" w:eastAsia="Arial" w:hAnsi="Arial"/>
                <w:sz w:val="18"/>
                <w:szCs w:val="18"/>
                <w:color w:val="auto"/>
              </w:rPr>
              <w:t>Leonard Tow</w:t>
            </w:r>
          </w:p>
        </w:tc>
      </w:tr>
      <w:tr>
        <w:trPr>
          <w:trHeight w:val="222"/>
        </w:trPr>
        <w:tc>
          <w:tcPr>
            <w:tcW w:w="38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1740" w:type="dxa"/>
            <w:vAlign w:val="bottom"/>
          </w:tcPr>
          <w:p>
            <w:pPr>
              <w:ind w:left="80"/>
              <w:spacing w:after="0"/>
              <w:rPr>
                <w:sz w:val="20"/>
                <w:szCs w:val="20"/>
                <w:color w:val="auto"/>
              </w:rPr>
            </w:pPr>
            <w:r>
              <w:rPr>
                <w:rFonts w:ascii="Arial" w:cs="Arial" w:eastAsia="Arial" w:hAnsi="Arial"/>
                <w:sz w:val="18"/>
                <w:szCs w:val="18"/>
                <w:color w:val="auto"/>
              </w:rPr>
              <w:t>Alan D. Schwartz</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340" w:type="dxa"/>
            <w:vAlign w:val="bottom"/>
          </w:tcPr>
          <w:p>
            <w:pPr>
              <w:ind w:left="120"/>
              <w:spacing w:after="0"/>
              <w:rPr>
                <w:sz w:val="20"/>
                <w:szCs w:val="20"/>
                <w:color w:val="auto"/>
              </w:rPr>
            </w:pPr>
            <w:r>
              <w:rPr>
                <w:rFonts w:ascii="Arial" w:cs="Arial" w:eastAsia="Arial" w:hAnsi="Arial"/>
                <w:sz w:val="18"/>
                <w:szCs w:val="18"/>
                <w:color w:val="auto"/>
                <w:w w:val="89"/>
              </w:rPr>
              <w:t>Robert C. Wright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17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appointment of KPMG LLP as independent registered public accounting firm of the Company for fiscal year 2012</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the AMC Networks Inc. Amended and Restated 2011 Employee Stock Plan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the AMC Networks Inc. Amended and Restated 2011 Cash Incentive Plan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the AMC Networks Inc. Amended and Restated 2011 Stock Plan for Non-Employee Directors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on an advisory basis, compensation of our executive officers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3 YEARS on the following proposal:</w:t>
      </w:r>
    </w:p>
    <w:p>
      <w:pPr>
        <w:spacing w:after="0" w:line="17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advisory vote on the frequency of the advisory vote on the compensation of our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TO THE IFC CENTER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IFC Center is the site of our 2012 Annual Meeting of Stockholders. The IFC Center is located at 323 Sixth Avenue, New York, New York.</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SUBWAY</w:t>
      </w:r>
    </w:p>
    <w:p>
      <w:pPr>
        <w:spacing w:after="0" w:line="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Take any of the following subway lines: A, B, C, D, E, F, M, or 1 trains. All of these trains stop near the IFC Center. The IFC Center is located on the corner of West Third Street and Sixth Avenue, on the west side of Sixth Avenue.</w:t>
      </w:r>
    </w:p>
    <w:p>
      <w:pPr>
        <w:spacing w:after="0"/>
        <w:rPr>
          <w:sz w:val="20"/>
          <w:szCs w:val="20"/>
          <w:color w:val="auto"/>
        </w:rPr>
      </w:pPr>
      <w:r>
        <w:rPr>
          <w:rFonts w:ascii="Arial" w:cs="Arial" w:eastAsia="Arial" w:hAnsi="Arial"/>
          <w:sz w:val="18"/>
          <w:szCs w:val="18"/>
          <w:b w:val="1"/>
          <w:bCs w:val="1"/>
          <w:color w:val="auto"/>
        </w:rPr>
        <w:t>BY CAR OR TAXI</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color w:val="auto"/>
        </w:rPr>
        <w:t xml:space="preserve">From the East: </w:t>
      </w:r>
      <w:r>
        <w:rPr>
          <w:rFonts w:ascii="Arial" w:cs="Arial" w:eastAsia="Arial" w:hAnsi="Arial"/>
          <w:sz w:val="18"/>
          <w:szCs w:val="18"/>
          <w:color w:val="auto"/>
        </w:rPr>
        <w:t>Take I-495 West toward New York. Take exit 17W toward Brooklyn and merge onto I-278 West. Take exit 32A on the left toward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Williamsburg Bridge/Manhattan and merge onto Williamsburg Bridge. Turn right onto Essex Street, and then turn left onto East Houston Street. Turn right onto Sixth Avenue. The IFC Center will be on the left.</w:t>
      </w:r>
    </w:p>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From the West: </w:t>
      </w:r>
      <w:r>
        <w:rPr>
          <w:rFonts w:ascii="Arial" w:cs="Arial" w:eastAsia="Arial" w:hAnsi="Arial"/>
          <w:sz w:val="18"/>
          <w:szCs w:val="18"/>
          <w:color w:val="auto"/>
        </w:rPr>
        <w:t>Take I-78 East and continue onto the Holland Tunnel. Exit toward Hudson Street and keep left at the fork to continue toward Hudson Street.</w:t>
      </w:r>
      <w:r>
        <w:rPr>
          <w:rFonts w:ascii="Arial" w:cs="Arial" w:eastAsia="Arial" w:hAnsi="Arial"/>
          <w:sz w:val="18"/>
          <w:szCs w:val="18"/>
          <w:b w:val="1"/>
          <w:bCs w:val="1"/>
          <w:color w:val="auto"/>
        </w:rPr>
        <w:t xml:space="preserve"> </w:t>
      </w:r>
      <w:r>
        <w:rPr>
          <w:rFonts w:ascii="Arial" w:cs="Arial" w:eastAsia="Arial" w:hAnsi="Arial"/>
          <w:sz w:val="18"/>
          <w:szCs w:val="18"/>
          <w:color w:val="auto"/>
        </w:rPr>
        <w:t>Take exit 2 for Hudson Street toward Uptown. Turn right onto Hudson Street, and then turn right onto Spring Street. Turn left onto Sixth Avenue. The IFC Center will be on the left.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M45451-P21276</w:t>
      </w:r>
    </w:p>
    <w:p>
      <w:pPr>
        <w:sectPr>
          <w:pgSz w:w="11900" w:h="16838" w:orient="portrait"/>
          <w:cols w:equalWidth="0" w:num="1">
            <w:col w:w="11360"/>
          </w:cols>
          <w:pgMar w:left="240" w:top="301" w:right="299" w:bottom="1440" w:gutter="0" w:footer="0" w:header="0"/>
        </w:sectPr>
      </w:pPr>
    </w:p>
    <w:bookmarkStart w:id="4" w:name="page5"/>
    <w:bookmarkEnd w:id="4"/>
    <w:p>
      <w:pPr>
        <w:ind w:left="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7263765" cy="368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368935"/>
                    </a:xfrm>
                    <a:prstGeom prst="rect">
                      <a:avLst/>
                    </a:prstGeom>
                    <a:noFill/>
                  </pic:spPr>
                </pic:pic>
              </a:graphicData>
            </a:graphic>
          </wp:anchor>
        </w:drawing>
        <w:t>Voting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Director nominees:</w:t>
      </w:r>
    </w:p>
    <w:p>
      <w:pPr>
        <w:spacing w:after="0" w:line="13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the following nominees as Directors:</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1640" w:type="dxa"/>
            <w:vAlign w:val="bottom"/>
          </w:tcPr>
          <w:p>
            <w:pPr>
              <w:ind w:left="100"/>
              <w:spacing w:after="0"/>
              <w:rPr>
                <w:sz w:val="20"/>
                <w:szCs w:val="20"/>
                <w:color w:val="auto"/>
              </w:rPr>
            </w:pPr>
            <w:r>
              <w:rPr>
                <w:rFonts w:ascii="Arial" w:cs="Arial" w:eastAsia="Arial" w:hAnsi="Arial"/>
                <w:sz w:val="18"/>
                <w:szCs w:val="18"/>
                <w:color w:val="auto"/>
              </w:rPr>
              <w:t>William J. Bell</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1760" w:type="dxa"/>
            <w:vAlign w:val="bottom"/>
          </w:tcPr>
          <w:p>
            <w:pPr>
              <w:ind w:left="120"/>
              <w:spacing w:after="0"/>
              <w:rPr>
                <w:sz w:val="20"/>
                <w:szCs w:val="20"/>
                <w:color w:val="auto"/>
              </w:rPr>
            </w:pPr>
            <w:r>
              <w:rPr>
                <w:rFonts w:ascii="Arial" w:cs="Arial" w:eastAsia="Arial" w:hAnsi="Arial"/>
                <w:sz w:val="18"/>
                <w:szCs w:val="18"/>
                <w:color w:val="auto"/>
              </w:rPr>
              <w:t>Patrick F. Dolan</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1640" w:type="dxa"/>
            <w:vAlign w:val="bottom"/>
          </w:tcPr>
          <w:p>
            <w:pPr>
              <w:ind w:left="100"/>
              <w:spacing w:after="0"/>
              <w:rPr>
                <w:sz w:val="20"/>
                <w:szCs w:val="20"/>
                <w:color w:val="auto"/>
              </w:rPr>
            </w:pPr>
            <w:r>
              <w:rPr>
                <w:rFonts w:ascii="Arial" w:cs="Arial" w:eastAsia="Arial" w:hAnsi="Arial"/>
                <w:sz w:val="18"/>
                <w:szCs w:val="18"/>
                <w:color w:val="auto"/>
              </w:rPr>
              <w:t>James L. Dolan</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1760" w:type="dxa"/>
            <w:vAlign w:val="bottom"/>
          </w:tcPr>
          <w:p>
            <w:pPr>
              <w:ind w:left="120"/>
              <w:spacing w:after="0"/>
              <w:rPr>
                <w:sz w:val="20"/>
                <w:szCs w:val="20"/>
                <w:color w:val="auto"/>
              </w:rPr>
            </w:pPr>
            <w:r>
              <w:rPr>
                <w:rFonts w:ascii="Arial" w:cs="Arial" w:eastAsia="Arial" w:hAnsi="Arial"/>
                <w:sz w:val="18"/>
                <w:szCs w:val="18"/>
                <w:color w:val="auto"/>
              </w:rPr>
              <w:t>Thomas C. Dolan</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7"/>
              </w:rPr>
              <w:t>(03)</w:t>
            </w:r>
          </w:p>
        </w:tc>
        <w:tc>
          <w:tcPr>
            <w:tcW w:w="1640" w:type="dxa"/>
            <w:vAlign w:val="bottom"/>
          </w:tcPr>
          <w:p>
            <w:pPr>
              <w:ind w:left="100"/>
              <w:spacing w:after="0"/>
              <w:rPr>
                <w:sz w:val="20"/>
                <w:szCs w:val="20"/>
                <w:color w:val="auto"/>
              </w:rPr>
            </w:pPr>
            <w:r>
              <w:rPr>
                <w:rFonts w:ascii="Arial" w:cs="Arial" w:eastAsia="Arial" w:hAnsi="Arial"/>
                <w:sz w:val="18"/>
                <w:szCs w:val="18"/>
                <w:color w:val="auto"/>
              </w:rPr>
              <w:t>Charles F. Dolan</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1760" w:type="dxa"/>
            <w:vAlign w:val="bottom"/>
          </w:tcPr>
          <w:p>
            <w:pPr>
              <w:ind w:left="120"/>
              <w:spacing w:after="0"/>
              <w:rPr>
                <w:sz w:val="20"/>
                <w:szCs w:val="20"/>
                <w:color w:val="auto"/>
              </w:rPr>
            </w:pPr>
            <w:r>
              <w:rPr>
                <w:rFonts w:ascii="Arial" w:cs="Arial" w:eastAsia="Arial" w:hAnsi="Arial"/>
                <w:sz w:val="18"/>
                <w:szCs w:val="18"/>
                <w:color w:val="auto"/>
              </w:rPr>
              <w:t>Brian G. Sweeney</w:t>
            </w:r>
          </w:p>
        </w:tc>
      </w:tr>
      <w:tr>
        <w:trPr>
          <w:trHeight w:val="222"/>
        </w:trPr>
        <w:tc>
          <w:tcPr>
            <w:tcW w:w="380" w:type="dxa"/>
            <w:vAlign w:val="bottom"/>
          </w:tcPr>
          <w:p>
            <w:pPr>
              <w:jc w:val="right"/>
              <w:spacing w:after="0"/>
              <w:rPr>
                <w:sz w:val="20"/>
                <w:szCs w:val="20"/>
                <w:color w:val="auto"/>
              </w:rPr>
            </w:pPr>
            <w:r>
              <w:rPr>
                <w:rFonts w:ascii="Arial" w:cs="Arial" w:eastAsia="Arial" w:hAnsi="Arial"/>
                <w:sz w:val="18"/>
                <w:szCs w:val="18"/>
                <w:color w:val="auto"/>
                <w:w w:val="87"/>
              </w:rPr>
              <w:t>(04)</w:t>
            </w:r>
          </w:p>
        </w:tc>
        <w:tc>
          <w:tcPr>
            <w:tcW w:w="1640" w:type="dxa"/>
            <w:vAlign w:val="bottom"/>
          </w:tcPr>
          <w:p>
            <w:pPr>
              <w:ind w:left="100"/>
              <w:spacing w:after="0"/>
              <w:rPr>
                <w:sz w:val="20"/>
                <w:szCs w:val="20"/>
                <w:color w:val="auto"/>
              </w:rPr>
            </w:pPr>
            <w:r>
              <w:rPr>
                <w:rFonts w:ascii="Arial" w:cs="Arial" w:eastAsia="Arial" w:hAnsi="Arial"/>
                <w:sz w:val="18"/>
                <w:szCs w:val="18"/>
                <w:color w:val="auto"/>
              </w:rPr>
              <w:t>Kristin A. Dolan</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1760" w:type="dxa"/>
            <w:vAlign w:val="bottom"/>
          </w:tcPr>
          <w:p>
            <w:pPr>
              <w:ind w:left="120"/>
              <w:spacing w:after="0"/>
              <w:rPr>
                <w:sz w:val="20"/>
                <w:szCs w:val="20"/>
                <w:color w:val="auto"/>
              </w:rPr>
            </w:pPr>
            <w:r>
              <w:rPr>
                <w:rFonts w:ascii="Arial" w:cs="Arial" w:eastAsia="Arial" w:hAnsi="Arial"/>
                <w:sz w:val="18"/>
                <w:szCs w:val="18"/>
                <w:color w:val="auto"/>
                <w:w w:val="87"/>
              </w:rPr>
              <w:t>Marianne Dolan Weber</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17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ratify the appointment of KPMG LLP as independent registered public accounting firm of the Company for fiscal year 2012</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approve the AMC Networks Inc. Amended and Restated 2011 Employee Stock Plan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approve the AMC Networks Inc. Amended and Restated 2011 Cash Incentive Plan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approve the AMC Networks Inc. Amended and Restated 2011 Stock Plan for Non-Employee Directors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approve, on an advisory basis, compensation of our executive officers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3 YEARS on the following proposal:</w:t>
      </w:r>
    </w:p>
    <w:p>
      <w:pPr>
        <w:spacing w:after="0" w:line="17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advisory vote on the frequency of the advisory vote on the compensation of our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TO THE IFC CENTER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IFC Center is the site of our 2012 Annual Meeting of Stockholders. The IFC Center is located at 323 Sixth Avenue, New York, New York.</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SUBWAY</w:t>
      </w:r>
    </w:p>
    <w:p>
      <w:pPr>
        <w:spacing w:after="0" w:line="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Take any of the following subway lines: A, B, C, D, E, F, M, or 1 trains. All of these trains stop near the IFC Center. The IFC Center is located on the corner of West Third Street and Sixth Avenue, on the west side of Sixth Avenue.</w:t>
      </w:r>
    </w:p>
    <w:p>
      <w:pPr>
        <w:spacing w:after="0"/>
        <w:rPr>
          <w:sz w:val="20"/>
          <w:szCs w:val="20"/>
          <w:color w:val="auto"/>
        </w:rPr>
      </w:pPr>
      <w:r>
        <w:rPr>
          <w:rFonts w:ascii="Arial" w:cs="Arial" w:eastAsia="Arial" w:hAnsi="Arial"/>
          <w:sz w:val="18"/>
          <w:szCs w:val="18"/>
          <w:b w:val="1"/>
          <w:bCs w:val="1"/>
          <w:color w:val="auto"/>
        </w:rPr>
        <w:t>BY CAR OR TAXI</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From the East: </w:t>
      </w:r>
      <w:r>
        <w:rPr>
          <w:rFonts w:ascii="Arial" w:cs="Arial" w:eastAsia="Arial" w:hAnsi="Arial"/>
          <w:sz w:val="18"/>
          <w:szCs w:val="18"/>
          <w:color w:val="auto"/>
        </w:rPr>
        <w:t>Take I-495 West toward New York. Take exit 17W toward Brooklyn and merge onto I-278 West. Take exit 32A on the left toward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Williamsburg Bridge/Manhattan and merge onto Williamsburg Bridge. Turn right onto Essex Street, and then turn left onto East Houston Street. Turn right onto Sixth Avenue. The IFC Center will be on the left.</w:t>
      </w:r>
    </w:p>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From the West: </w:t>
      </w:r>
      <w:r>
        <w:rPr>
          <w:rFonts w:ascii="Arial" w:cs="Arial" w:eastAsia="Arial" w:hAnsi="Arial"/>
          <w:sz w:val="18"/>
          <w:szCs w:val="18"/>
          <w:color w:val="auto"/>
        </w:rPr>
        <w:t>Take I-78 East and continue onto the Holland Tunnel. Exit toward Hudson Street and keep left at the fork to continue toward Hudson Street.</w:t>
      </w:r>
      <w:r>
        <w:rPr>
          <w:rFonts w:ascii="Arial" w:cs="Arial" w:eastAsia="Arial" w:hAnsi="Arial"/>
          <w:sz w:val="18"/>
          <w:szCs w:val="18"/>
          <w:b w:val="1"/>
          <w:bCs w:val="1"/>
          <w:color w:val="auto"/>
        </w:rPr>
        <w:t xml:space="preserve"> </w:t>
      </w:r>
      <w:r>
        <w:rPr>
          <w:rFonts w:ascii="Arial" w:cs="Arial" w:eastAsia="Arial" w:hAnsi="Arial"/>
          <w:sz w:val="18"/>
          <w:szCs w:val="18"/>
          <w:color w:val="auto"/>
        </w:rPr>
        <w:t>Take exit 2 for Hudson Street toward Uptown. Turn right onto Hudson Street, and then turn right onto Spring Street. Turn left onto Sixth Avenue. The IFC Center will be on the left.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M45452-P21276</w:t>
      </w:r>
    </w:p>
    <w:sectPr>
      <w:pgSz w:w="11900" w:h="16838" w:orient="portrait"/>
      <w:cols w:equalWidth="0" w:num="1">
        <w:col w:w="11360"/>
      </w:cols>
      <w:pgMar w:left="240" w:top="30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upperLetter"/>
      <w:start w:val="35"/>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2"/>
    </w:lvl>
  </w:abstractNum>
  <w:abstractNum w:abstractNumId="12">
    <w:nsid w:val="3352255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2019-12-09T20:59:04Z</dcterms:created>
  <dcterms:modified xsi:type="dcterms:W3CDTF">2019-12-09T20:59:04Z</dcterms:modified>
</cp:coreProperties>
</file>