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237490</wp:posOffset>
            </wp:positionV>
            <wp:extent cx="3524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53975</wp:posOffset>
            </wp:positionV>
            <wp:extent cx="3524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680" w:hanging="600"/>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4"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36"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680" w:hanging="600"/>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4260"/>
        <w:spacing w:after="0"/>
        <w:tabs>
          <w:tab w:leader="none" w:pos="6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102870</wp:posOffset>
            </wp:positionV>
            <wp:extent cx="3524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24885"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360680</wp:posOffset>
            </wp:positionV>
            <wp:extent cx="1509395" cy="523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939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AMC Networks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86360</wp:posOffset>
            </wp:positionV>
            <wp:extent cx="3524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80" w:type="dxa"/>
            <w:vAlign w:val="bottom"/>
            <w:gridSpan w:val="2"/>
          </w:tcPr>
          <w:p>
            <w:pPr>
              <w:jc w:val="right"/>
              <w:ind w:right="1026"/>
              <w:spacing w:after="0"/>
              <w:rPr>
                <w:sz w:val="20"/>
                <w:szCs w:val="20"/>
                <w:color w:val="auto"/>
              </w:rPr>
            </w:pPr>
            <w:r>
              <w:rPr>
                <w:rFonts w:ascii="Arial" w:cs="Arial" w:eastAsia="Arial" w:hAnsi="Arial"/>
                <w:sz w:val="18"/>
                <w:szCs w:val="18"/>
                <w:b w:val="1"/>
                <w:bCs w:val="1"/>
                <w:color w:val="auto"/>
              </w:rPr>
              <w:t>27-5403694</w:t>
            </w:r>
          </w:p>
        </w:tc>
      </w:tr>
      <w:tr>
        <w:trPr>
          <w:trHeight w:val="162"/>
        </w:trPr>
        <w:tc>
          <w:tcPr>
            <w:tcW w:w="150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500" w:type="dxa"/>
            <w:vAlign w:val="bottom"/>
          </w:tcPr>
          <w:p>
            <w:pPr>
              <w:spacing w:after="0"/>
              <w:rPr>
                <w:sz w:val="16"/>
                <w:szCs w:val="16"/>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516"/>
        </w:trPr>
        <w:tc>
          <w:tcPr>
            <w:tcW w:w="1500" w:type="dxa"/>
            <w:vAlign w:val="bottom"/>
          </w:tcPr>
          <w:p>
            <w:pPr>
              <w:spacing w:after="0"/>
              <w:rPr>
                <w:sz w:val="24"/>
                <w:szCs w:val="24"/>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11 Penn Plaza, New York, NY</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80" w:type="dxa"/>
            <w:vAlign w:val="bottom"/>
            <w:gridSpan w:val="2"/>
          </w:tcPr>
          <w:p>
            <w:pPr>
              <w:jc w:val="right"/>
              <w:ind w:right="1226"/>
              <w:spacing w:after="0"/>
              <w:rPr>
                <w:sz w:val="20"/>
                <w:szCs w:val="20"/>
                <w:color w:val="auto"/>
              </w:rPr>
            </w:pPr>
            <w:r>
              <w:rPr>
                <w:rFonts w:ascii="Arial" w:cs="Arial" w:eastAsia="Arial" w:hAnsi="Arial"/>
                <w:sz w:val="18"/>
                <w:szCs w:val="18"/>
                <w:b w:val="1"/>
                <w:bCs w:val="1"/>
                <w:color w:val="auto"/>
              </w:rPr>
              <w:t>10001</w:t>
            </w:r>
          </w:p>
        </w:tc>
      </w:tr>
      <w:tr>
        <w:trPr>
          <w:trHeight w:val="218"/>
        </w:trPr>
        <w:tc>
          <w:tcPr>
            <w:tcW w:w="1500" w:type="dxa"/>
            <w:vAlign w:val="bottom"/>
          </w:tcPr>
          <w:p>
            <w:pPr>
              <w:spacing w:after="0"/>
              <w:rPr>
                <w:sz w:val="18"/>
                <w:szCs w:val="18"/>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20" w:type="dxa"/>
            <w:vAlign w:val="bottom"/>
            <w:gridSpan w:val="3"/>
          </w:tcPr>
          <w:p>
            <w:pPr>
              <w:jc w:val="center"/>
              <w:ind w:left="559"/>
              <w:spacing w:after="0"/>
              <w:rPr>
                <w:sz w:val="20"/>
                <w:szCs w:val="20"/>
                <w:color w:val="auto"/>
              </w:rPr>
            </w:pPr>
            <w:r>
              <w:rPr>
                <w:rFonts w:ascii="Arial" w:cs="Arial" w:eastAsia="Arial" w:hAnsi="Arial"/>
                <w:sz w:val="18"/>
                <w:szCs w:val="18"/>
                <w:b w:val="1"/>
                <w:bCs w:val="1"/>
                <w:color w:val="auto"/>
                <w:w w:val="90"/>
              </w:rPr>
              <w:t>(212) 324-8500</w:t>
            </w: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86"/>
        </w:trPr>
        <w:tc>
          <w:tcPr>
            <w:tcW w:w="1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0" w:type="dxa"/>
            <w:vAlign w:val="bottom"/>
            <w:gridSpan w:val="5"/>
          </w:tcPr>
          <w:p>
            <w:pPr>
              <w:jc w:val="center"/>
              <w:ind w:right="276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03"/>
        </w:trPr>
        <w:tc>
          <w:tcPr>
            <w:tcW w:w="1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00" w:type="dxa"/>
            <w:vAlign w:val="bottom"/>
            <w:gridSpan w:val="6"/>
          </w:tcPr>
          <w:p>
            <w:pPr>
              <w:jc w:val="center"/>
              <w:ind w:right="146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15"/>
        </w:trPr>
        <w:tc>
          <w:tcPr>
            <w:tcW w:w="15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6"/>
                <w:szCs w:val="16"/>
                <w:b w:val="1"/>
                <w:bCs w:val="1"/>
                <w:color w:val="auto"/>
                <w:w w:val="87"/>
              </w:rPr>
              <w:t>Title of each class</w:t>
            </w: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auto"/>
                <w:w w:val="91"/>
              </w:rPr>
              <w:t>Trading Symbol(s)</w:t>
            </w:r>
          </w:p>
        </w:tc>
        <w:tc>
          <w:tcPr>
            <w:tcW w:w="3480" w:type="dxa"/>
            <w:vAlign w:val="bottom"/>
            <w:gridSpan w:val="2"/>
          </w:tcPr>
          <w:p>
            <w:pPr>
              <w:jc w:val="center"/>
              <w:ind w:left="373"/>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1"/>
        </w:trPr>
        <w:tc>
          <w:tcPr>
            <w:tcW w:w="4020" w:type="dxa"/>
            <w:vAlign w:val="bottom"/>
            <w:gridSpan w:val="3"/>
          </w:tcPr>
          <w:p>
            <w:pPr>
              <w:spacing w:after="0"/>
              <w:rPr>
                <w:sz w:val="20"/>
                <w:szCs w:val="20"/>
                <w:color w:val="auto"/>
              </w:rPr>
            </w:pPr>
            <w:r>
              <w:rPr>
                <w:rFonts w:ascii="Arial" w:cs="Arial" w:eastAsia="Arial" w:hAnsi="Arial"/>
                <w:sz w:val="16"/>
                <w:szCs w:val="16"/>
                <w:color w:val="auto"/>
              </w:rPr>
              <w:t>Class A Common Stock, par value $0.01 per share</w:t>
            </w:r>
          </w:p>
        </w:tc>
        <w:tc>
          <w:tcPr>
            <w:tcW w:w="460" w:type="dxa"/>
            <w:vAlign w:val="bottom"/>
          </w:tcPr>
          <w:p>
            <w:pPr>
              <w:spacing w:after="0"/>
              <w:rPr>
                <w:sz w:val="23"/>
                <w:szCs w:val="23"/>
                <w:color w:val="auto"/>
              </w:rPr>
            </w:pPr>
          </w:p>
        </w:tc>
        <w:tc>
          <w:tcPr>
            <w:tcW w:w="2260" w:type="dxa"/>
            <w:vAlign w:val="bottom"/>
            <w:gridSpan w:val="2"/>
          </w:tcPr>
          <w:p>
            <w:pPr>
              <w:jc w:val="center"/>
              <w:ind w:right="980"/>
              <w:spacing w:after="0"/>
              <w:rPr>
                <w:sz w:val="20"/>
                <w:szCs w:val="20"/>
                <w:color w:val="auto"/>
              </w:rPr>
            </w:pPr>
            <w:r>
              <w:rPr>
                <w:rFonts w:ascii="Arial" w:cs="Arial" w:eastAsia="Arial" w:hAnsi="Arial"/>
                <w:sz w:val="16"/>
                <w:szCs w:val="16"/>
                <w:color w:val="auto"/>
              </w:rPr>
              <w:t>AMCX</w:t>
            </w:r>
          </w:p>
        </w:tc>
        <w:tc>
          <w:tcPr>
            <w:tcW w:w="46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116205</wp:posOffset>
            </wp:positionV>
            <wp:extent cx="3524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tabs>
          <w:tab w:leader="none" w:pos="7380" w:val="left"/>
          <w:tab w:leader="none" w:pos="800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jc w:val="both"/>
        <w:ind w:right="2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tbl>
      <w:tblPr>
        <w:tblLayout w:type="fixed"/>
        <w:tblInd w:w="20" w:type="dxa"/>
        <w:tblCellMar>
          <w:top w:w="0" w:type="dxa"/>
          <w:left w:w="0" w:type="dxa"/>
          <w:bottom w:w="0" w:type="dxa"/>
          <w:right w:w="0" w:type="dxa"/>
        </w:tblCellMar>
      </w:tblPr>
      <w:tr>
        <w:trPr>
          <w:trHeight w:val="268"/>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1"/>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1"/>
        </w:trPr>
        <w:tc>
          <w:tcPr>
            <w:tcW w:w="19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8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4"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computed by reference to the closing price of a share of common stock on June 30, 2019 (the last business day of the registrant's most recently completed second fiscal quarter) was approximately $2.3 billion.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outstanding as of February 14, 2020:</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860" w:type="dxa"/>
            <w:vAlign w:val="bottom"/>
          </w:tcPr>
          <w:p>
            <w:pPr>
              <w:spacing w:after="0"/>
              <w:rPr>
                <w:sz w:val="20"/>
                <w:szCs w:val="20"/>
                <w:color w:val="auto"/>
              </w:rPr>
            </w:pPr>
            <w:r>
              <w:rPr>
                <w:rFonts w:ascii="Arial" w:cs="Arial" w:eastAsia="Arial" w:hAnsi="Arial"/>
                <w:sz w:val="16"/>
                <w:szCs w:val="16"/>
                <w:color w:val="auto"/>
              </w:rPr>
              <w:t>Class A Common Stock par value $0.01 per share</w:t>
            </w:r>
          </w:p>
        </w:tc>
        <w:tc>
          <w:tcPr>
            <w:tcW w:w="4360" w:type="dxa"/>
            <w:vAlign w:val="bottom"/>
          </w:tcPr>
          <w:p>
            <w:pPr>
              <w:jc w:val="right"/>
              <w:spacing w:after="0"/>
              <w:rPr>
                <w:sz w:val="20"/>
                <w:szCs w:val="20"/>
                <w:color w:val="auto"/>
              </w:rPr>
            </w:pPr>
            <w:r>
              <w:rPr>
                <w:rFonts w:ascii="Arial" w:cs="Arial" w:eastAsia="Arial" w:hAnsi="Arial"/>
                <w:sz w:val="16"/>
                <w:szCs w:val="16"/>
                <w:color w:val="auto"/>
              </w:rPr>
              <w:t>44,078,364</w:t>
            </w:r>
          </w:p>
        </w:tc>
      </w:tr>
      <w:tr>
        <w:trPr>
          <w:trHeight w:val="257"/>
        </w:trPr>
        <w:tc>
          <w:tcPr>
            <w:tcW w:w="6860" w:type="dxa"/>
            <w:vAlign w:val="bottom"/>
          </w:tcPr>
          <w:p>
            <w:pPr>
              <w:spacing w:after="0"/>
              <w:rPr>
                <w:sz w:val="20"/>
                <w:szCs w:val="20"/>
                <w:color w:val="auto"/>
              </w:rPr>
            </w:pPr>
            <w:r>
              <w:rPr>
                <w:rFonts w:ascii="Arial" w:cs="Arial" w:eastAsia="Arial" w:hAnsi="Arial"/>
                <w:sz w:val="16"/>
                <w:szCs w:val="16"/>
                <w:color w:val="auto"/>
              </w:rPr>
              <w:t>Class B Common Stock par value $0.01 per share</w:t>
            </w:r>
          </w:p>
        </w:tc>
        <w:tc>
          <w:tcPr>
            <w:tcW w:w="4360" w:type="dxa"/>
            <w:vAlign w:val="bottom"/>
          </w:tcPr>
          <w:p>
            <w:pPr>
              <w:jc w:val="right"/>
              <w:spacing w:after="0"/>
              <w:rPr>
                <w:sz w:val="20"/>
                <w:szCs w:val="20"/>
                <w:color w:val="auto"/>
              </w:rPr>
            </w:pPr>
            <w:r>
              <w:rPr>
                <w:rFonts w:ascii="Arial" w:cs="Arial" w:eastAsia="Arial" w:hAnsi="Arial"/>
                <w:sz w:val="16"/>
                <w:szCs w:val="16"/>
                <w:color w:val="auto"/>
              </w:rPr>
              <w:t>11,484,408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278130</wp:posOffset>
            </wp:positionV>
            <wp:extent cx="3524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Certain information required in Item 10 through Item 14 of Part III of this Annual Report on Form 10-K is incorporated herein by reference to the Registrant's definitive Proxy Statement for its 2020 Annual Meeting of Stockholders, which shall be filed with the Securities and Exchange Commission pursuant to Regulation 14A of the Securities Exchange Act of 1934, as amended, within 120 days of the Registrant's fiscal year end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100" w:type="dxa"/>
            <w:vAlign w:val="bottom"/>
            <w:gridSpan w:val="5"/>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4260" w:type="dxa"/>
            <w:vAlign w:val="bottom"/>
            <w:gridSpan w:val="9"/>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FORWARD-</w:t>
              </w:r>
            </w:hyperlink>
            <w:r>
              <w:rPr>
                <w:rFonts w:ascii="Arial" w:cs="Arial" w:eastAsia="Arial" w:hAnsi="Arial"/>
                <w:sz w:val="18"/>
                <w:szCs w:val="18"/>
                <w:b w:val="1"/>
                <w:bCs w:val="1"/>
                <w:color w:val="0000FF"/>
              </w:rPr>
              <w:t xml:space="preserve">LOOKING </w:t>
            </w:r>
            <w:hyperlink w:anchor="page3">
              <w:r>
                <w:rPr>
                  <w:rFonts w:ascii="Arial" w:cs="Arial" w:eastAsia="Arial" w:hAnsi="Arial"/>
                  <w:sz w:val="18"/>
                  <w:szCs w:val="18"/>
                  <w:b w:val="1"/>
                  <w:bCs w:val="1"/>
                  <w:color w:val="0000FF"/>
                </w:rPr>
                <w:t>STATEMENTS</w:t>
              </w:r>
            </w:hyperlink>
          </w:p>
        </w:tc>
        <w:tc>
          <w:tcPr>
            <w:tcW w:w="6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60" w:type="dxa"/>
            <w:vAlign w:val="bottom"/>
            <w:gridSpan w:val="9"/>
            <w:vMerge w:val="continue"/>
          </w:tcPr>
          <w:p>
            <w:pPr>
              <w:spacing w:after="0"/>
              <w:rPr>
                <w:sz w:val="15"/>
                <w:szCs w:val="15"/>
                <w:color w:val="auto"/>
              </w:rPr>
            </w:pPr>
          </w:p>
        </w:tc>
        <w:tc>
          <w:tcPr>
            <w:tcW w:w="6500" w:type="dxa"/>
            <w:vAlign w:val="bottom"/>
          </w:tcPr>
          <w:p>
            <w:pPr>
              <w:spacing w:after="0"/>
              <w:rPr>
                <w:sz w:val="15"/>
                <w:szCs w:val="15"/>
                <w:color w:val="auto"/>
              </w:rPr>
            </w:pPr>
          </w:p>
        </w:tc>
        <w:tc>
          <w:tcPr>
            <w:tcW w:w="600" w:type="dxa"/>
            <w:vAlign w:val="bottom"/>
            <w:tcBorders>
              <w:top w:val="single" w:sz="8" w:color="auto"/>
            </w:tcBorders>
            <w:gridSpan w:val="4"/>
          </w:tcPr>
          <w:p>
            <w:pPr>
              <w:jc w:val="right"/>
              <w:ind w:right="20"/>
              <w:spacing w:after="0" w:line="18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4</w:t>
              </w:r>
            </w:hyperlink>
          </w:p>
        </w:tc>
        <w:tc>
          <w:tcPr>
            <w:tcW w:w="0" w:type="dxa"/>
            <w:vAlign w:val="bottom"/>
          </w:tcPr>
          <w:p>
            <w:pPr>
              <w:spacing w:after="0"/>
              <w:rPr>
                <w:sz w:val="1"/>
                <w:szCs w:val="1"/>
                <w:color w:val="auto"/>
              </w:rPr>
            </w:pPr>
          </w:p>
        </w:tc>
      </w:tr>
      <w:tr>
        <w:trPr>
          <w:trHeight w:val="264"/>
        </w:trPr>
        <w:tc>
          <w:tcPr>
            <w:tcW w:w="176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tcPr>
          <w:p>
            <w:pPr>
              <w:ind w:left="200"/>
              <w:spacing w:after="0"/>
              <w:rPr>
                <w:sz w:val="20"/>
                <w:szCs w:val="20"/>
                <w:color w:val="auto"/>
              </w:rPr>
            </w:pPr>
            <w:r>
              <w:rPr>
                <w:rFonts w:ascii="Arial" w:cs="Arial" w:eastAsia="Arial" w:hAnsi="Arial"/>
                <w:sz w:val="18"/>
                <w:szCs w:val="18"/>
                <w:color w:val="auto"/>
              </w:rPr>
              <w:t>Item 1.</w:t>
            </w:r>
          </w:p>
        </w:tc>
        <w:tc>
          <w:tcPr>
            <w:tcW w:w="2500" w:type="dxa"/>
            <w:vAlign w:val="bottom"/>
            <w:gridSpan w:val="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100" w:type="dxa"/>
            <w:vAlign w:val="bottom"/>
            <w:gridSpan w:val="5"/>
          </w:tcPr>
          <w:p>
            <w:pPr>
              <w:jc w:val="right"/>
              <w:ind w:right="20"/>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5</w:t>
              </w:r>
            </w:hyperlink>
          </w:p>
        </w:tc>
        <w:tc>
          <w:tcPr>
            <w:tcW w:w="0" w:type="dxa"/>
            <w:vAlign w:val="bottom"/>
          </w:tcPr>
          <w:p>
            <w:pPr>
              <w:spacing w:after="0"/>
              <w:rPr>
                <w:sz w:val="1"/>
                <w:szCs w:val="1"/>
                <w:color w:val="auto"/>
              </w:rPr>
            </w:pPr>
          </w:p>
        </w:tc>
      </w:tr>
      <w:tr>
        <w:trPr>
          <w:trHeight w:val="20"/>
        </w:trPr>
        <w:tc>
          <w:tcPr>
            <w:tcW w:w="1760" w:type="dxa"/>
            <w:vAlign w:val="bottom"/>
            <w:vMerge w:val="restart"/>
          </w:tcPr>
          <w:p>
            <w:pPr>
              <w:ind w:left="200"/>
              <w:spacing w:after="0"/>
              <w:rPr>
                <w:sz w:val="20"/>
                <w:szCs w:val="20"/>
                <w:color w:val="auto"/>
              </w:rPr>
            </w:pPr>
            <w:r>
              <w:rPr>
                <w:rFonts w:ascii="Arial" w:cs="Arial" w:eastAsia="Arial" w:hAnsi="Arial"/>
                <w:sz w:val="18"/>
                <w:szCs w:val="18"/>
                <w:color w:val="auto"/>
              </w:rPr>
              <w:t>Item 1A.</w:t>
            </w: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60" w:type="dxa"/>
            <w:vAlign w:val="bottom"/>
            <w:vMerge w:val="continue"/>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7100" w:type="dxa"/>
            <w:vAlign w:val="bottom"/>
            <w:gridSpan w:val="5"/>
          </w:tcPr>
          <w:p>
            <w:pPr>
              <w:jc w:val="right"/>
              <w:ind w:right="20"/>
              <w:spacing w:after="0"/>
              <w:rPr>
                <w:rFonts w:ascii="Arial" w:cs="Arial" w:eastAsia="Arial" w:hAnsi="Arial"/>
                <w:sz w:val="18"/>
                <w:szCs w:val="18"/>
                <w:b w:val="1"/>
                <w:bCs w:val="1"/>
                <w:color w:val="0000FF"/>
              </w:rPr>
            </w:pPr>
            <w:hyperlink w:anchor="page16">
              <w:r>
                <w:rPr>
                  <w:rFonts w:ascii="Arial" w:cs="Arial" w:eastAsia="Arial" w:hAnsi="Arial"/>
                  <w:sz w:val="18"/>
                  <w:szCs w:val="18"/>
                  <w:b w:val="1"/>
                  <w:bCs w:val="1"/>
                  <w:color w:val="0000FF"/>
                </w:rPr>
                <w:t>16</w:t>
              </w:r>
            </w:hyperlink>
          </w:p>
        </w:tc>
        <w:tc>
          <w:tcPr>
            <w:tcW w:w="0" w:type="dxa"/>
            <w:vAlign w:val="bottom"/>
          </w:tcPr>
          <w:p>
            <w:pPr>
              <w:spacing w:after="0"/>
              <w:rPr>
                <w:sz w:val="1"/>
                <w:szCs w:val="1"/>
                <w:color w:val="auto"/>
              </w:rPr>
            </w:pPr>
          </w:p>
        </w:tc>
      </w:tr>
      <w:tr>
        <w:trPr>
          <w:trHeight w:val="20"/>
        </w:trPr>
        <w:tc>
          <w:tcPr>
            <w:tcW w:w="1760" w:type="dxa"/>
            <w:vAlign w:val="bottom"/>
            <w:vMerge w:val="restart"/>
          </w:tcPr>
          <w:p>
            <w:pPr>
              <w:ind w:left="200"/>
              <w:spacing w:after="0"/>
              <w:rPr>
                <w:sz w:val="20"/>
                <w:szCs w:val="20"/>
                <w:color w:val="auto"/>
              </w:rPr>
            </w:pPr>
            <w:r>
              <w:rPr>
                <w:rFonts w:ascii="Arial" w:cs="Arial" w:eastAsia="Arial" w:hAnsi="Arial"/>
                <w:sz w:val="18"/>
                <w:szCs w:val="18"/>
                <w:color w:val="auto"/>
              </w:rPr>
              <w:t>Item 1B.</w:t>
            </w: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60" w:type="dxa"/>
            <w:vAlign w:val="bottom"/>
            <w:vMerge w:val="continue"/>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Unresolved Staff Comments</w:t>
              </w:r>
            </w:hyperlink>
          </w:p>
        </w:tc>
        <w:tc>
          <w:tcPr>
            <w:tcW w:w="7100" w:type="dxa"/>
            <w:vAlign w:val="bottom"/>
            <w:gridSpan w:val="5"/>
          </w:tcPr>
          <w:p>
            <w:pPr>
              <w:jc w:val="right"/>
              <w:ind w:right="20"/>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29</w:t>
              </w:r>
            </w:hyperlink>
          </w:p>
        </w:tc>
        <w:tc>
          <w:tcPr>
            <w:tcW w:w="0" w:type="dxa"/>
            <w:vAlign w:val="bottom"/>
          </w:tcPr>
          <w:p>
            <w:pPr>
              <w:spacing w:after="0"/>
              <w:rPr>
                <w:sz w:val="1"/>
                <w:szCs w:val="1"/>
                <w:color w:val="auto"/>
              </w:rPr>
            </w:pPr>
          </w:p>
        </w:tc>
      </w:tr>
      <w:tr>
        <w:trPr>
          <w:trHeight w:val="20"/>
        </w:trPr>
        <w:tc>
          <w:tcPr>
            <w:tcW w:w="1760" w:type="dxa"/>
            <w:vAlign w:val="bottom"/>
            <w:vMerge w:val="restart"/>
          </w:tcPr>
          <w:p>
            <w:pPr>
              <w:ind w:left="200"/>
              <w:spacing w:after="0"/>
              <w:rPr>
                <w:sz w:val="20"/>
                <w:szCs w:val="20"/>
                <w:color w:val="auto"/>
              </w:rPr>
            </w:pPr>
            <w:r>
              <w:rPr>
                <w:rFonts w:ascii="Arial" w:cs="Arial" w:eastAsia="Arial" w:hAnsi="Arial"/>
                <w:sz w:val="18"/>
                <w:szCs w:val="18"/>
                <w:color w:val="auto"/>
              </w:rPr>
              <w:t>Item 2.</w:t>
            </w: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60" w:type="dxa"/>
            <w:vAlign w:val="bottom"/>
            <w:vMerge w:val="continue"/>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Properties</w:t>
              </w:r>
            </w:hyperlink>
          </w:p>
        </w:tc>
        <w:tc>
          <w:tcPr>
            <w:tcW w:w="130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6900" w:type="dxa"/>
            <w:vAlign w:val="bottom"/>
            <w:gridSpan w:val="2"/>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b w:val="1"/>
                <w:bCs w:val="1"/>
                <w:color w:val="0000FF"/>
                <w:w w:val="79"/>
              </w:rPr>
            </w:pPr>
            <w:hyperlink w:anchor="page29">
              <w:r>
                <w:rPr>
                  <w:rFonts w:ascii="Arial" w:cs="Arial" w:eastAsia="Arial" w:hAnsi="Arial"/>
                  <w:sz w:val="18"/>
                  <w:szCs w:val="18"/>
                  <w:b w:val="1"/>
                  <w:bCs w:val="1"/>
                  <w:color w:val="0000FF"/>
                  <w:w w:val="79"/>
                </w:rPr>
                <w:t>29</w:t>
              </w:r>
            </w:hyperlink>
          </w:p>
        </w:tc>
        <w:tc>
          <w:tcPr>
            <w:tcW w:w="0" w:type="dxa"/>
            <w:vAlign w:val="bottom"/>
          </w:tcPr>
          <w:p>
            <w:pPr>
              <w:spacing w:after="0"/>
              <w:rPr>
                <w:sz w:val="1"/>
                <w:szCs w:val="1"/>
                <w:color w:val="auto"/>
              </w:rPr>
            </w:pPr>
          </w:p>
        </w:tc>
      </w:tr>
      <w:tr>
        <w:trPr>
          <w:trHeight w:val="20"/>
        </w:trPr>
        <w:tc>
          <w:tcPr>
            <w:tcW w:w="1760" w:type="dxa"/>
            <w:vAlign w:val="bottom"/>
            <w:vMerge w:val="restart"/>
          </w:tcPr>
          <w:p>
            <w:pPr>
              <w:ind w:left="200"/>
              <w:spacing w:after="0"/>
              <w:rPr>
                <w:sz w:val="20"/>
                <w:szCs w:val="20"/>
                <w:color w:val="auto"/>
              </w:rPr>
            </w:pPr>
            <w:r>
              <w:rPr>
                <w:rFonts w:ascii="Arial" w:cs="Arial" w:eastAsia="Arial" w:hAnsi="Arial"/>
                <w:sz w:val="18"/>
                <w:szCs w:val="18"/>
                <w:color w:val="auto"/>
              </w:rPr>
              <w:t>Item 3.</w:t>
            </w: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60" w:type="dxa"/>
            <w:vAlign w:val="bottom"/>
            <w:vMerge w:val="continue"/>
          </w:tcPr>
          <w:p>
            <w:pPr>
              <w:spacing w:after="0"/>
              <w:rPr>
                <w:sz w:val="21"/>
                <w:szCs w:val="21"/>
                <w:color w:val="auto"/>
              </w:rPr>
            </w:pPr>
          </w:p>
        </w:tc>
        <w:tc>
          <w:tcPr>
            <w:tcW w:w="1340" w:type="dxa"/>
            <w:vAlign w:val="bottom"/>
            <w:gridSpan w:val="4"/>
          </w:tcPr>
          <w:p>
            <w:pPr>
              <w:spacing w:after="0"/>
              <w:rPr>
                <w:rFonts w:ascii="Arial" w:cs="Arial" w:eastAsia="Arial" w:hAnsi="Arial"/>
                <w:sz w:val="18"/>
                <w:szCs w:val="18"/>
                <w:color w:val="0000FF"/>
                <w:w w:val="88"/>
              </w:rPr>
            </w:pPr>
            <w:hyperlink w:anchor="page29">
              <w:r>
                <w:rPr>
                  <w:rFonts w:ascii="Arial" w:cs="Arial" w:eastAsia="Arial" w:hAnsi="Arial"/>
                  <w:sz w:val="18"/>
                  <w:szCs w:val="18"/>
                  <w:color w:val="0000FF"/>
                  <w:w w:val="88"/>
                </w:rPr>
                <w:t>Legal Proceedings</w:t>
              </w:r>
            </w:hyperlink>
          </w:p>
        </w:tc>
        <w:tc>
          <w:tcPr>
            <w:tcW w:w="1160" w:type="dxa"/>
            <w:vAlign w:val="bottom"/>
            <w:gridSpan w:val="4"/>
          </w:tcPr>
          <w:p>
            <w:pPr>
              <w:spacing w:after="0"/>
              <w:rPr>
                <w:sz w:val="21"/>
                <w:szCs w:val="21"/>
                <w:color w:val="auto"/>
              </w:rPr>
            </w:pPr>
          </w:p>
        </w:tc>
        <w:tc>
          <w:tcPr>
            <w:tcW w:w="6900" w:type="dxa"/>
            <w:vAlign w:val="bottom"/>
            <w:gridSpan w:val="2"/>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b w:val="1"/>
                <w:bCs w:val="1"/>
                <w:color w:val="0000FF"/>
                <w:w w:val="79"/>
              </w:rPr>
            </w:pPr>
            <w:hyperlink w:anchor="page29">
              <w:r>
                <w:rPr>
                  <w:rFonts w:ascii="Arial" w:cs="Arial" w:eastAsia="Arial" w:hAnsi="Arial"/>
                  <w:sz w:val="18"/>
                  <w:szCs w:val="18"/>
                  <w:b w:val="1"/>
                  <w:bCs w:val="1"/>
                  <w:color w:val="0000FF"/>
                  <w:w w:val="79"/>
                </w:rPr>
                <w:t>29</w:t>
              </w:r>
            </w:hyperlink>
          </w:p>
        </w:tc>
        <w:tc>
          <w:tcPr>
            <w:tcW w:w="0" w:type="dxa"/>
            <w:vAlign w:val="bottom"/>
          </w:tcPr>
          <w:p>
            <w:pPr>
              <w:spacing w:after="0"/>
              <w:rPr>
                <w:sz w:val="1"/>
                <w:szCs w:val="1"/>
                <w:color w:val="auto"/>
              </w:rPr>
            </w:pPr>
          </w:p>
        </w:tc>
      </w:tr>
      <w:tr>
        <w:trPr>
          <w:trHeight w:val="20"/>
        </w:trPr>
        <w:tc>
          <w:tcPr>
            <w:tcW w:w="1760" w:type="dxa"/>
            <w:vAlign w:val="bottom"/>
            <w:vMerge w:val="restart"/>
          </w:tcPr>
          <w:p>
            <w:pPr>
              <w:ind w:left="200"/>
              <w:spacing w:after="0"/>
              <w:rPr>
                <w:sz w:val="20"/>
                <w:szCs w:val="20"/>
                <w:color w:val="auto"/>
              </w:rPr>
            </w:pPr>
            <w:r>
              <w:rPr>
                <w:rFonts w:ascii="Arial" w:cs="Arial" w:eastAsia="Arial" w:hAnsi="Arial"/>
                <w:sz w:val="18"/>
                <w:szCs w:val="18"/>
                <w:color w:val="auto"/>
              </w:rPr>
              <w:t>Item 4.</w:t>
            </w:r>
          </w:p>
        </w:tc>
        <w:tc>
          <w:tcPr>
            <w:tcW w:w="1340" w:type="dxa"/>
            <w:vAlign w:val="bottom"/>
            <w:tcBorders>
              <w:bottom w:val="single" w:sz="8" w:color="0000FF"/>
            </w:tcBorders>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60" w:type="dxa"/>
            <w:vAlign w:val="bottom"/>
            <w:vMerge w:val="continue"/>
          </w:tcPr>
          <w:p>
            <w:pPr>
              <w:spacing w:after="0"/>
              <w:rPr>
                <w:sz w:val="20"/>
                <w:szCs w:val="20"/>
                <w:color w:val="auto"/>
              </w:rPr>
            </w:pPr>
          </w:p>
        </w:tc>
        <w:tc>
          <w:tcPr>
            <w:tcW w:w="2500" w:type="dxa"/>
            <w:vAlign w:val="bottom"/>
            <w:gridSpan w:val="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6900" w:type="dxa"/>
            <w:vAlign w:val="bottom"/>
            <w:gridSpan w:val="2"/>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b w:val="1"/>
                <w:bCs w:val="1"/>
                <w:color w:val="0000FF"/>
                <w:w w:val="79"/>
              </w:rPr>
            </w:pPr>
            <w:hyperlink w:anchor="page30">
              <w:r>
                <w:rPr>
                  <w:rFonts w:ascii="Arial" w:cs="Arial" w:eastAsia="Arial" w:hAnsi="Arial"/>
                  <w:sz w:val="18"/>
                  <w:szCs w:val="18"/>
                  <w:b w:val="1"/>
                  <w:bCs w:val="1"/>
                  <w:color w:val="0000FF"/>
                  <w:w w:val="79"/>
                </w:rPr>
                <w:t>30</w:t>
              </w:r>
            </w:hyperlink>
          </w:p>
        </w:tc>
        <w:tc>
          <w:tcPr>
            <w:tcW w:w="0" w:type="dxa"/>
            <w:vAlign w:val="bottom"/>
          </w:tcPr>
          <w:p>
            <w:pPr>
              <w:spacing w:after="0"/>
              <w:rPr>
                <w:sz w:val="1"/>
                <w:szCs w:val="1"/>
                <w:color w:val="auto"/>
              </w:rPr>
            </w:pPr>
          </w:p>
        </w:tc>
      </w:tr>
      <w:tr>
        <w:trPr>
          <w:trHeight w:val="264"/>
        </w:trPr>
        <w:tc>
          <w:tcPr>
            <w:tcW w:w="1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360"/>
          </w:cols>
          <w:pgMar w:left="260" w:top="891" w:right="279" w:bottom="1440" w:gutter="0" w:footer="0" w:header="0"/>
        </w:sectPr>
      </w:pPr>
    </w:p>
    <w:p>
      <w:pPr>
        <w:ind w:left="200"/>
        <w:spacing w:after="0"/>
        <w:rPr>
          <w:sz w:val="20"/>
          <w:szCs w:val="20"/>
          <w:color w:val="auto"/>
        </w:rPr>
      </w:pPr>
      <w:r>
        <w:rPr>
          <w:rFonts w:ascii="Arial" w:cs="Arial" w:eastAsia="Arial" w:hAnsi="Arial"/>
          <w:sz w:val="18"/>
          <w:szCs w:val="18"/>
          <w:color w:val="auto"/>
        </w:rPr>
        <w:t>Item 5.</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6.</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7.</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7A.</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8.</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9.</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9A.</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9B.</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10.</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11.</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12.</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13.</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14.</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15.</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16.</w:t>
      </w:r>
    </w:p>
    <w:p>
      <w:pPr>
        <w:spacing w:after="0" w:line="46" w:lineRule="exact"/>
        <w:rPr>
          <w:sz w:val="20"/>
          <w:szCs w:val="20"/>
          <w:color w:val="auto"/>
        </w:rPr>
      </w:pPr>
    </w:p>
    <w:p>
      <w:pPr>
        <w:spacing w:after="0"/>
        <w:rPr>
          <w:rFonts w:ascii="Arial" w:cs="Arial" w:eastAsia="Arial" w:hAnsi="Arial"/>
          <w:sz w:val="17"/>
          <w:szCs w:val="17"/>
          <w:b w:val="1"/>
          <w:bCs w:val="1"/>
          <w:u w:val="single" w:color="auto"/>
          <w:color w:val="0000FF"/>
        </w:rPr>
      </w:pPr>
      <w:hyperlink w:anchor="page63">
        <w:r>
          <w:rPr>
            <w:rFonts w:ascii="Arial" w:cs="Arial" w:eastAsia="Arial" w:hAnsi="Arial"/>
            <w:sz w:val="17"/>
            <w:szCs w:val="17"/>
            <w:b w:val="1"/>
            <w:bCs w:val="1"/>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Market for Registrant’s Common Equity, Related Stockholder Matters and Issuer Purchases of Equity Securities</w:t>
              </w:r>
            </w:hyperlink>
          </w:p>
        </w:tc>
        <w:tc>
          <w:tcPr>
            <w:tcW w:w="132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31">
              <w:r>
                <w:rPr>
                  <w:rFonts w:ascii="Arial" w:cs="Arial" w:eastAsia="Arial" w:hAnsi="Arial"/>
                  <w:sz w:val="18"/>
                  <w:szCs w:val="18"/>
                  <w:b w:val="1"/>
                  <w:bCs w:val="1"/>
                  <w:color w:val="0000FF"/>
                  <w:w w:val="79"/>
                </w:rPr>
                <w:t>31</w:t>
              </w:r>
            </w:hyperlink>
          </w:p>
        </w:tc>
      </w:tr>
      <w:tr>
        <w:trPr>
          <w:trHeight w:val="250"/>
        </w:trPr>
        <w:tc>
          <w:tcPr>
            <w:tcW w:w="17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Selected Financial Data</w:t>
              </w:r>
            </w:hyperlink>
          </w:p>
        </w:tc>
        <w:tc>
          <w:tcPr>
            <w:tcW w:w="7680" w:type="dxa"/>
            <w:vAlign w:val="bottom"/>
            <w:gridSpan w:val="12"/>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33</w:t>
              </w:r>
            </w:hyperlink>
          </w:p>
        </w:tc>
      </w:tr>
      <w:tr>
        <w:trPr>
          <w:trHeight w:val="270"/>
        </w:trPr>
        <w:tc>
          <w:tcPr>
            <w:tcW w:w="9400" w:type="dxa"/>
            <w:vAlign w:val="bottom"/>
            <w:gridSpan w:val="1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180" w:type="dxa"/>
            <w:vAlign w:val="bottom"/>
          </w:tcPr>
          <w:p>
            <w:pPr>
              <w:jc w:val="right"/>
              <w:spacing w:after="0"/>
              <w:rPr>
                <w:rFonts w:ascii="Arial" w:cs="Arial" w:eastAsia="Arial" w:hAnsi="Arial"/>
                <w:sz w:val="18"/>
                <w:szCs w:val="18"/>
                <w:b w:val="1"/>
                <w:bCs w:val="1"/>
                <w:color w:val="0000FF"/>
                <w:w w:val="79"/>
              </w:rPr>
            </w:pPr>
            <w:hyperlink w:anchor="page33">
              <w:r>
                <w:rPr>
                  <w:rFonts w:ascii="Arial" w:cs="Arial" w:eastAsia="Arial" w:hAnsi="Arial"/>
                  <w:sz w:val="18"/>
                  <w:szCs w:val="18"/>
                  <w:b w:val="1"/>
                  <w:bCs w:val="1"/>
                  <w:color w:val="0000FF"/>
                  <w:w w:val="79"/>
                </w:rPr>
                <w:t>34</w:t>
              </w:r>
            </w:hyperlink>
          </w:p>
        </w:tc>
      </w:tr>
      <w:tr>
        <w:trPr>
          <w:trHeight w:val="230"/>
        </w:trPr>
        <w:tc>
          <w:tcPr>
            <w:tcW w:w="43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2"/>
              </w:rPr>
            </w:pPr>
            <w:hyperlink w:anchor="page56">
              <w:r>
                <w:rPr>
                  <w:rFonts w:ascii="Arial" w:cs="Arial" w:eastAsia="Arial" w:hAnsi="Arial"/>
                  <w:sz w:val="18"/>
                  <w:szCs w:val="18"/>
                  <w:color w:val="0000FF"/>
                  <w:w w:val="92"/>
                </w:rPr>
                <w:t>Quantitative and Qualitative Disclosure About Market Risk</w:t>
              </w:r>
            </w:hyperlink>
          </w:p>
        </w:tc>
        <w:tc>
          <w:tcPr>
            <w:tcW w:w="2160" w:type="dxa"/>
            <w:vAlign w:val="bottom"/>
            <w:tcBorders>
              <w:top w:val="single" w:sz="8" w:color="0000FF"/>
            </w:tcBorders>
            <w:gridSpan w:val="2"/>
          </w:tcPr>
          <w:p>
            <w:pPr>
              <w:spacing w:after="0"/>
              <w:rPr>
                <w:sz w:val="20"/>
                <w:szCs w:val="20"/>
                <w:color w:val="auto"/>
              </w:rPr>
            </w:pPr>
          </w:p>
        </w:tc>
        <w:tc>
          <w:tcPr>
            <w:tcW w:w="2940" w:type="dxa"/>
            <w:vAlign w:val="bottom"/>
            <w:gridSpan w:val="4"/>
          </w:tcPr>
          <w:p>
            <w:pPr>
              <w:spacing w:after="0"/>
              <w:rPr>
                <w:sz w:val="20"/>
                <w:szCs w:val="20"/>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b w:val="1"/>
                <w:bCs w:val="1"/>
                <w:color w:val="0000FF"/>
                <w:w w:val="79"/>
              </w:rPr>
            </w:pPr>
            <w:hyperlink w:anchor="page56">
              <w:r>
                <w:rPr>
                  <w:rFonts w:ascii="Arial" w:cs="Arial" w:eastAsia="Arial" w:hAnsi="Arial"/>
                  <w:sz w:val="18"/>
                  <w:szCs w:val="18"/>
                  <w:b w:val="1"/>
                  <w:bCs w:val="1"/>
                  <w:color w:val="0000FF"/>
                  <w:w w:val="79"/>
                </w:rPr>
                <w:t>56</w:t>
              </w:r>
            </w:hyperlink>
          </w:p>
        </w:tc>
      </w:tr>
      <w:tr>
        <w:trPr>
          <w:trHeight w:val="250"/>
        </w:trPr>
        <w:tc>
          <w:tcPr>
            <w:tcW w:w="334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Financial Statements and Supplementary Data</w:t>
              </w:r>
            </w:hyperlink>
          </w:p>
        </w:tc>
        <w:tc>
          <w:tcPr>
            <w:tcW w:w="6060" w:type="dxa"/>
            <w:vAlign w:val="bottom"/>
            <w:gridSpan w:val="8"/>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57">
              <w:r>
                <w:rPr>
                  <w:rFonts w:ascii="Arial" w:cs="Arial" w:eastAsia="Arial" w:hAnsi="Arial"/>
                  <w:sz w:val="18"/>
                  <w:szCs w:val="18"/>
                  <w:b w:val="1"/>
                  <w:bCs w:val="1"/>
                  <w:color w:val="0000FF"/>
                  <w:w w:val="79"/>
                </w:rPr>
                <w:t>57</w:t>
              </w:r>
            </w:hyperlink>
          </w:p>
        </w:tc>
      </w:tr>
      <w:tr>
        <w:trPr>
          <w:trHeight w:val="250"/>
        </w:trPr>
        <w:tc>
          <w:tcPr>
            <w:tcW w:w="648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 xml:space="preserve">Changes in and Disagreements </w:t>
              </w:r>
            </w:hyperlink>
            <w:r>
              <w:rPr>
                <w:rFonts w:ascii="Arial" w:cs="Arial" w:eastAsia="Arial" w:hAnsi="Arial"/>
                <w:sz w:val="18"/>
                <w:szCs w:val="18"/>
                <w:color w:val="0000FF"/>
                <w:w w:val="90"/>
              </w:rPr>
              <w:t xml:space="preserve">with </w:t>
            </w:r>
            <w:hyperlink w:anchor="page57">
              <w:r>
                <w:rPr>
                  <w:rFonts w:ascii="Arial" w:cs="Arial" w:eastAsia="Arial" w:hAnsi="Arial"/>
                  <w:sz w:val="18"/>
                  <w:szCs w:val="18"/>
                  <w:color w:val="0000FF"/>
                  <w:w w:val="90"/>
                </w:rPr>
                <w:t>Accountants on Accounting and Financial Disclosure</w:t>
              </w:r>
            </w:hyperlink>
          </w:p>
        </w:tc>
        <w:tc>
          <w:tcPr>
            <w:tcW w:w="2920" w:type="dxa"/>
            <w:vAlign w:val="bottom"/>
            <w:gridSpan w:val="3"/>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57">
              <w:r>
                <w:rPr>
                  <w:rFonts w:ascii="Arial" w:cs="Arial" w:eastAsia="Arial" w:hAnsi="Arial"/>
                  <w:sz w:val="18"/>
                  <w:szCs w:val="18"/>
                  <w:b w:val="1"/>
                  <w:bCs w:val="1"/>
                  <w:color w:val="0000FF"/>
                  <w:w w:val="79"/>
                </w:rPr>
                <w:t>57</w:t>
              </w:r>
            </w:hyperlink>
          </w:p>
        </w:tc>
      </w:tr>
      <w:tr>
        <w:trPr>
          <w:trHeight w:val="250"/>
        </w:trPr>
        <w:tc>
          <w:tcPr>
            <w:tcW w:w="180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Controls and Procedures</w:t>
              </w:r>
            </w:hyperlink>
          </w:p>
        </w:tc>
        <w:tc>
          <w:tcPr>
            <w:tcW w:w="7600" w:type="dxa"/>
            <w:vAlign w:val="bottom"/>
            <w:gridSpan w:val="11"/>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57">
              <w:r>
                <w:rPr>
                  <w:rFonts w:ascii="Arial" w:cs="Arial" w:eastAsia="Arial" w:hAnsi="Arial"/>
                  <w:sz w:val="18"/>
                  <w:szCs w:val="18"/>
                  <w:b w:val="1"/>
                  <w:bCs w:val="1"/>
                  <w:color w:val="0000FF"/>
                  <w:w w:val="79"/>
                </w:rPr>
                <w:t>57</w:t>
              </w:r>
            </w:hyperlink>
          </w:p>
        </w:tc>
      </w:tr>
      <w:tr>
        <w:trPr>
          <w:trHeight w:val="250"/>
        </w:trPr>
        <w:tc>
          <w:tcPr>
            <w:tcW w:w="1320" w:type="dxa"/>
            <w:vAlign w:val="bottom"/>
            <w:tcBorders>
              <w:bottom w:val="single" w:sz="8" w:color="0000FF"/>
            </w:tcBorders>
          </w:tcPr>
          <w:p>
            <w:pPr>
              <w:spacing w:after="0"/>
              <w:rPr>
                <w:rFonts w:ascii="Arial" w:cs="Arial" w:eastAsia="Arial" w:hAnsi="Arial"/>
                <w:sz w:val="18"/>
                <w:szCs w:val="18"/>
                <w:color w:val="0000FF"/>
                <w:w w:val="92"/>
              </w:rPr>
            </w:pPr>
            <w:hyperlink w:anchor="page58">
              <w:r>
                <w:rPr>
                  <w:rFonts w:ascii="Arial" w:cs="Arial" w:eastAsia="Arial" w:hAnsi="Arial"/>
                  <w:sz w:val="18"/>
                  <w:szCs w:val="18"/>
                  <w:color w:val="0000FF"/>
                  <w:w w:val="92"/>
                </w:rPr>
                <w:t>Other Information</w:t>
              </w:r>
            </w:hyperlink>
          </w:p>
        </w:tc>
        <w:tc>
          <w:tcPr>
            <w:tcW w:w="8080" w:type="dxa"/>
            <w:vAlign w:val="bottom"/>
            <w:gridSpan w:val="14"/>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58">
              <w:r>
                <w:rPr>
                  <w:rFonts w:ascii="Arial" w:cs="Arial" w:eastAsia="Arial" w:hAnsi="Arial"/>
                  <w:sz w:val="18"/>
                  <w:szCs w:val="18"/>
                  <w:b w:val="1"/>
                  <w:bCs w:val="1"/>
                  <w:color w:val="0000FF"/>
                  <w:w w:val="79"/>
                </w:rPr>
                <w:t>58</w:t>
              </w:r>
            </w:hyperlink>
          </w:p>
        </w:tc>
      </w:tr>
      <w:tr>
        <w:trPr>
          <w:trHeight w:val="540"/>
        </w:trPr>
        <w:tc>
          <w:tcPr>
            <w:tcW w:w="410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Directors, Executive Officers and Corporate Governance</w:t>
              </w:r>
            </w:hyperlink>
          </w:p>
        </w:tc>
        <w:tc>
          <w:tcPr>
            <w:tcW w:w="5300" w:type="dxa"/>
            <w:vAlign w:val="bottom"/>
            <w:gridSpan w:val="7"/>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59">
              <w:r>
                <w:rPr>
                  <w:rFonts w:ascii="Arial" w:cs="Arial" w:eastAsia="Arial" w:hAnsi="Arial"/>
                  <w:sz w:val="18"/>
                  <w:szCs w:val="18"/>
                  <w:b w:val="1"/>
                  <w:bCs w:val="1"/>
                  <w:color w:val="0000FF"/>
                  <w:w w:val="79"/>
                </w:rPr>
                <w:t>59</w:t>
              </w:r>
            </w:hyperlink>
          </w:p>
        </w:tc>
      </w:tr>
      <w:tr>
        <w:trPr>
          <w:trHeight w:val="230"/>
        </w:trPr>
        <w:tc>
          <w:tcPr>
            <w:tcW w:w="9400" w:type="dxa"/>
            <w:vAlign w:val="bottom"/>
            <w:gridSpan w:val="15"/>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Executive Compensation</w:t>
              </w:r>
            </w:hyperlink>
          </w:p>
        </w:tc>
        <w:tc>
          <w:tcPr>
            <w:tcW w:w="180" w:type="dxa"/>
            <w:vAlign w:val="bottom"/>
          </w:tcPr>
          <w:p>
            <w:pPr>
              <w:jc w:val="right"/>
              <w:spacing w:after="0"/>
              <w:rPr>
                <w:rFonts w:ascii="Arial" w:cs="Arial" w:eastAsia="Arial" w:hAnsi="Arial"/>
                <w:sz w:val="18"/>
                <w:szCs w:val="18"/>
                <w:b w:val="1"/>
                <w:bCs w:val="1"/>
                <w:color w:val="0000FF"/>
                <w:w w:val="79"/>
              </w:rPr>
            </w:pPr>
            <w:hyperlink w:anchor="page59">
              <w:r>
                <w:rPr>
                  <w:rFonts w:ascii="Arial" w:cs="Arial" w:eastAsia="Arial" w:hAnsi="Arial"/>
                  <w:sz w:val="18"/>
                  <w:szCs w:val="18"/>
                  <w:b w:val="1"/>
                  <w:bCs w:val="1"/>
                  <w:color w:val="0000FF"/>
                  <w:w w:val="79"/>
                </w:rPr>
                <w:t>59</w:t>
              </w:r>
            </w:hyperlink>
          </w:p>
        </w:tc>
      </w:tr>
      <w:tr>
        <w:trPr>
          <w:trHeight w:val="20"/>
        </w:trPr>
        <w:tc>
          <w:tcPr>
            <w:tcW w:w="1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70"/>
        </w:trPr>
        <w:tc>
          <w:tcPr>
            <w:tcW w:w="730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Security Ownership of Certain Beneficial Owners and Management and Related Stockholder Matters</w:t>
              </w:r>
            </w:hyperlink>
          </w:p>
        </w:tc>
        <w:tc>
          <w:tcPr>
            <w:tcW w:w="2100" w:type="dxa"/>
            <w:vAlign w:val="bottom"/>
            <w:gridSpan w:val="2"/>
          </w:tcPr>
          <w:p>
            <w:pPr>
              <w:spacing w:after="0"/>
              <w:rPr>
                <w:sz w:val="23"/>
                <w:szCs w:val="23"/>
                <w:color w:val="auto"/>
              </w:rPr>
            </w:pPr>
          </w:p>
        </w:tc>
        <w:tc>
          <w:tcPr>
            <w:tcW w:w="1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59">
              <w:r>
                <w:rPr>
                  <w:rFonts w:ascii="Arial" w:cs="Arial" w:eastAsia="Arial" w:hAnsi="Arial"/>
                  <w:sz w:val="18"/>
                  <w:szCs w:val="18"/>
                  <w:b w:val="1"/>
                  <w:bCs w:val="1"/>
                  <w:color w:val="0000FF"/>
                  <w:w w:val="79"/>
                </w:rPr>
                <w:t>59</w:t>
              </w:r>
            </w:hyperlink>
          </w:p>
        </w:tc>
      </w:tr>
      <w:tr>
        <w:trPr>
          <w:trHeight w:val="230"/>
        </w:trPr>
        <w:tc>
          <w:tcPr>
            <w:tcW w:w="54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Certain Relationships and Related Transactions, and Director Independence</w:t>
              </w:r>
            </w:hyperlink>
          </w:p>
        </w:tc>
        <w:tc>
          <w:tcPr>
            <w:tcW w:w="3940" w:type="dxa"/>
            <w:vAlign w:val="bottom"/>
            <w:gridSpan w:val="5"/>
          </w:tcPr>
          <w:p>
            <w:pPr>
              <w:spacing w:after="0"/>
              <w:rPr>
                <w:sz w:val="20"/>
                <w:szCs w:val="20"/>
                <w:color w:val="auto"/>
              </w:rPr>
            </w:pPr>
          </w:p>
        </w:tc>
        <w:tc>
          <w:tcPr>
            <w:tcW w:w="18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59">
              <w:r>
                <w:rPr>
                  <w:rFonts w:ascii="Arial" w:cs="Arial" w:eastAsia="Arial" w:hAnsi="Arial"/>
                  <w:sz w:val="18"/>
                  <w:szCs w:val="18"/>
                  <w:b w:val="1"/>
                  <w:bCs w:val="1"/>
                  <w:color w:val="0000FF"/>
                  <w:w w:val="79"/>
                </w:rPr>
                <w:t>59</w:t>
              </w:r>
            </w:hyperlink>
          </w:p>
        </w:tc>
      </w:tr>
      <w:tr>
        <w:trPr>
          <w:trHeight w:val="250"/>
        </w:trPr>
        <w:tc>
          <w:tcPr>
            <w:tcW w:w="9400" w:type="dxa"/>
            <w:vAlign w:val="bottom"/>
            <w:gridSpan w:val="15"/>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 xml:space="preserve">Principal </w:t>
              </w:r>
            </w:hyperlink>
            <w:r>
              <w:rPr>
                <w:rFonts w:ascii="Arial" w:cs="Arial" w:eastAsia="Arial" w:hAnsi="Arial"/>
                <w:sz w:val="18"/>
                <w:szCs w:val="18"/>
                <w:color w:val="0000FF"/>
              </w:rPr>
              <w:t xml:space="preserve">Accountant </w:t>
            </w:r>
            <w:hyperlink w:anchor="page59">
              <w:r>
                <w:rPr>
                  <w:rFonts w:ascii="Arial" w:cs="Arial" w:eastAsia="Arial" w:hAnsi="Arial"/>
                  <w:sz w:val="18"/>
                  <w:szCs w:val="18"/>
                  <w:color w:val="0000FF"/>
                </w:rPr>
                <w:t>Fees and Services</w:t>
              </w:r>
            </w:hyperlink>
          </w:p>
        </w:tc>
        <w:tc>
          <w:tcPr>
            <w:tcW w:w="180" w:type="dxa"/>
            <w:vAlign w:val="bottom"/>
          </w:tcPr>
          <w:p>
            <w:pPr>
              <w:jc w:val="right"/>
              <w:spacing w:after="0"/>
              <w:rPr>
                <w:rFonts w:ascii="Arial" w:cs="Arial" w:eastAsia="Arial" w:hAnsi="Arial"/>
                <w:sz w:val="18"/>
                <w:szCs w:val="18"/>
                <w:b w:val="1"/>
                <w:bCs w:val="1"/>
                <w:color w:val="0000FF"/>
                <w:w w:val="79"/>
              </w:rPr>
            </w:pPr>
            <w:hyperlink w:anchor="page59">
              <w:r>
                <w:rPr>
                  <w:rFonts w:ascii="Arial" w:cs="Arial" w:eastAsia="Arial" w:hAnsi="Arial"/>
                  <w:sz w:val="18"/>
                  <w:szCs w:val="18"/>
                  <w:b w:val="1"/>
                  <w:bCs w:val="1"/>
                  <w:color w:val="0000FF"/>
                  <w:w w:val="79"/>
                </w:rPr>
                <w:t>59</w:t>
              </w:r>
            </w:hyperlink>
          </w:p>
        </w:tc>
      </w:tr>
      <w:tr>
        <w:trPr>
          <w:trHeight w:val="20"/>
        </w:trPr>
        <w:tc>
          <w:tcPr>
            <w:tcW w:w="156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40" w:type="dxa"/>
            <w:vAlign w:val="bottom"/>
            <w:gridSpan w:val="9"/>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520"/>
        </w:trPr>
        <w:tc>
          <w:tcPr>
            <w:tcW w:w="9400" w:type="dxa"/>
            <w:vAlign w:val="bottom"/>
            <w:gridSpan w:val="15"/>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Exhibits and Financial Statement Schedules</w:t>
              </w:r>
            </w:hyperlink>
          </w:p>
        </w:tc>
        <w:tc>
          <w:tcPr>
            <w:tcW w:w="180" w:type="dxa"/>
            <w:vAlign w:val="bottom"/>
          </w:tcPr>
          <w:p>
            <w:pPr>
              <w:jc w:val="right"/>
              <w:spacing w:after="0"/>
              <w:rPr>
                <w:rFonts w:ascii="Arial" w:cs="Arial" w:eastAsia="Arial" w:hAnsi="Arial"/>
                <w:sz w:val="18"/>
                <w:szCs w:val="18"/>
                <w:b w:val="1"/>
                <w:bCs w:val="1"/>
                <w:color w:val="0000FF"/>
                <w:w w:val="79"/>
              </w:rPr>
            </w:pPr>
            <w:hyperlink w:anchor="page60">
              <w:r>
                <w:rPr>
                  <w:rFonts w:ascii="Arial" w:cs="Arial" w:eastAsia="Arial" w:hAnsi="Arial"/>
                  <w:sz w:val="18"/>
                  <w:szCs w:val="18"/>
                  <w:b w:val="1"/>
                  <w:bCs w:val="1"/>
                  <w:color w:val="0000FF"/>
                  <w:w w:val="79"/>
                </w:rPr>
                <w:t>60</w:t>
              </w:r>
            </w:hyperlink>
          </w:p>
        </w:tc>
      </w:tr>
      <w:tr>
        <w:trPr>
          <w:trHeight w:val="270"/>
        </w:trPr>
        <w:tc>
          <w:tcPr>
            <w:tcW w:w="3160" w:type="dxa"/>
            <w:vAlign w:val="bottom"/>
            <w:tcBorders>
              <w:top w:val="single" w:sz="8" w:color="0000FF"/>
            </w:tcBorders>
            <w:gridSpan w:val="6"/>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Form 10-K Summary</w:t>
              </w:r>
            </w:hyperlink>
          </w:p>
        </w:tc>
        <w:tc>
          <w:tcPr>
            <w:tcW w:w="6240" w:type="dxa"/>
            <w:vAlign w:val="bottom"/>
            <w:gridSpan w:val="9"/>
          </w:tcPr>
          <w:p>
            <w:pPr>
              <w:spacing w:after="0"/>
              <w:rPr>
                <w:sz w:val="23"/>
                <w:szCs w:val="23"/>
                <w:color w:val="auto"/>
              </w:rPr>
            </w:pPr>
          </w:p>
        </w:tc>
        <w:tc>
          <w:tcPr>
            <w:tcW w:w="180" w:type="dxa"/>
            <w:vAlign w:val="bottom"/>
            <w:tcBorders>
              <w:top w:val="single" w:sz="8" w:color="0000FF"/>
            </w:tcBorders>
          </w:tcPr>
          <w:p>
            <w:pPr>
              <w:jc w:val="right"/>
              <w:spacing w:after="0"/>
              <w:rPr>
                <w:rFonts w:ascii="Arial" w:cs="Arial" w:eastAsia="Arial" w:hAnsi="Arial"/>
                <w:sz w:val="18"/>
                <w:szCs w:val="18"/>
                <w:b w:val="1"/>
                <w:bCs w:val="1"/>
                <w:color w:val="0000FF"/>
                <w:w w:val="79"/>
              </w:rPr>
            </w:pPr>
            <w:hyperlink w:anchor="page60">
              <w:r>
                <w:rPr>
                  <w:rFonts w:ascii="Arial" w:cs="Arial" w:eastAsia="Arial" w:hAnsi="Arial"/>
                  <w:sz w:val="18"/>
                  <w:szCs w:val="18"/>
                  <w:b w:val="1"/>
                  <w:bCs w:val="1"/>
                  <w:color w:val="0000FF"/>
                  <w:w w:val="79"/>
                </w:rPr>
                <w:t>60</w:t>
              </w:r>
            </w:hyperlink>
          </w:p>
        </w:tc>
      </w:tr>
      <w:tr>
        <w:trPr>
          <w:trHeight w:val="190"/>
        </w:trPr>
        <w:tc>
          <w:tcPr>
            <w:tcW w:w="13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Borders>
              <w:top w:val="single" w:sz="8" w:color="0000FF"/>
              <w:bottom w:val="single" w:sz="8" w:color="0000FF"/>
            </w:tcBorders>
          </w:tcPr>
          <w:p>
            <w:pPr>
              <w:jc w:val="right"/>
              <w:spacing w:after="0" w:line="189" w:lineRule="exact"/>
              <w:rPr>
                <w:rFonts w:ascii="Arial" w:cs="Arial" w:eastAsia="Arial" w:hAnsi="Arial"/>
                <w:sz w:val="18"/>
                <w:szCs w:val="18"/>
                <w:b w:val="1"/>
                <w:bCs w:val="1"/>
                <w:color w:val="0000FF"/>
                <w:w w:val="79"/>
              </w:rPr>
            </w:pPr>
            <w:hyperlink w:anchor="page63">
              <w:r>
                <w:rPr>
                  <w:rFonts w:ascii="Arial" w:cs="Arial" w:eastAsia="Arial" w:hAnsi="Arial"/>
                  <w:sz w:val="18"/>
                  <w:szCs w:val="18"/>
                  <w:b w:val="1"/>
                  <w:bCs w:val="1"/>
                  <w:color w:val="0000FF"/>
                  <w:w w:val="79"/>
                </w:rPr>
                <w:t>63</w:t>
              </w:r>
            </w:hyperlink>
          </w:p>
        </w:tc>
      </w:tr>
    </w:tbl>
    <w:p>
      <w:pPr>
        <w:spacing w:after="0" w:line="200" w:lineRule="exact"/>
        <w:rPr>
          <w:sz w:val="20"/>
          <w:szCs w:val="20"/>
          <w:color w:val="auto"/>
        </w:rPr>
      </w:pPr>
    </w:p>
    <w:p>
      <w:pPr>
        <w:sectPr>
          <w:pgSz w:w="11900" w:h="16838" w:orient="portrait"/>
          <w:cols w:equalWidth="0" w:num="2">
            <w:col w:w="1160" w:space="600"/>
            <w:col w:w="9600"/>
          </w:cols>
          <w:pgMar w:left="260" w:top="89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78105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60" w:top="891" w:right="2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This Annual Report on Form 10-K contains statements that constitute forward-looking information within the meaning of the Private Securities Litigation Reform Act of 1995. In this Annual Report on Form 10-K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demand for our comedy venues;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w:t>
      </w:r>
    </w:p>
    <w:p>
      <w:pPr>
        <w:spacing w:after="0" w:line="6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new and proposed federal, state and international laws and regulations relating to data protection, privacy and security, including the European Union's General Data Protection Regulation ("GDPR");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Brexit;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acquire new businesses and, if acquired, to integrate, and implement our plan with respect to businesses we acquire;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problems we may discover post-closing with the operations, including the internal controls and financial reporting process, of businesses we acquire;</w:t>
      </w:r>
    </w:p>
    <w:p>
      <w:pPr>
        <w:spacing w:after="0" w:line="86" w:lineRule="exact"/>
        <w:rPr>
          <w:rFonts w:ascii="Arial" w:cs="Arial" w:eastAsia="Arial" w:hAnsi="Arial"/>
          <w:sz w:val="16"/>
          <w:szCs w:val="16"/>
          <w:color w:val="auto"/>
        </w:rPr>
      </w:pPr>
    </w:p>
    <w:p>
      <w:pPr>
        <w:ind w:left="660" w:right="78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this Annual Report.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 w:name="page5"/>
    <w:bookmarkEnd w:id="4"/>
    <w:p>
      <w:pPr>
        <w:jc w:val="both"/>
        <w:ind w:firstLine="446"/>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AMC Networks Inc. is a Delaware corporation with its principal executive offices located at 11 Penn Plaza, New York, NY 10001. AMC Networks Inc. is a holding company and conducts substantially all of its operations through its majority owned or controlled subsidiaries. Unless the context otherwise requires, all references to "we," "our," "us," "AMC Networks" or the "Company" refer to AMC Networks Inc., together with its subsidiaries. "AMC Networks Inc." refers to AMC Networks Inc. individually as a separate entity. Our telephone number is (212) 324-8500.</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AMC Networks Inc. was incorporated on March 9, 2011 as an indirect, wholly-owned subsidiary of Cablevision Systems Corporation (Cablevision Systems Corporation and its subsidiaries are referred to as "Cablevision"). On June 30, 2011, Cablevision spun off the Company (the "Distribution"), and AMC Networks Inc. became an independent public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AMC Networks is a global entertainment company known for its groundbreaking and award-winning original content. We own and operate a suite of focused and targeted video entertainment products that are delivered to viewers on an ever-expanding array of platforms. These include: our linear TV channels carried by traditional and virtual multi-channel video programming (MVPD) distributors; our targeted subscription video on demand (SVOD) services; our digital platforms; and on various social media platforms.</w:t>
      </w:r>
    </w:p>
    <w:p>
      <w:pPr>
        <w:spacing w:after="0" w:line="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operate several of the most recognized brands in entertainment, creating and presenting high quality content and compelling stories to audiences, and a valuable platform for distributors and advertisers. We have operated in the entertainment industry for more than 30 years, and, over this time, we have continually enhanced the value of our portfolio. Our content spans multiple genres, including drama, comedy, documentary, reality, anthology, feature film and short form and is well known and well regarded by our key constituents — our viewers, distributors and advertisers — and have developed strong, dedicated followings within their respective targeted demographics, increasing their value to distributors and advertisers.</w:t>
      </w:r>
    </w:p>
    <w:p>
      <w:pPr>
        <w:spacing w:after="0" w:line="6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the United States ("U.S."), our programming networks are AMC, WE tv, BBC AMERICA (operated through a joint venture with BBC Studios), IFC and SundanceTV. Our deep and established presence in the industry and the recognition we have received for our brands through industry awards, critical acclaim and other honors lend us a high degree of credibility with content creators and producers, providing us with strong relationships with top creators and demand for our owned programming for distribution on third-party platforms. Our networks are distributed primarily through MVPDs and are available on every major U.S. distribution platform. Through our AMC Studios operation, we are increasingly owning our original programming. Today, through AMC Studios, we own and control a significant portion of the original scripted series that we deliver to viewers on our linear and streaming platforms.</w:t>
      </w:r>
    </w:p>
    <w:p>
      <w:pPr>
        <w:spacing w:after="0" w:line="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ability to produce and own high quality content has provided us with the opportunity to distribute our owned content on platforms other than our domestic networks. Our owned content as well as the content that we license is distributed domestically and internationally and on multiple platforms, including linear television, company-owned and third-party SVOD services, digital services, home video and syndication.</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own and operate four targeted SVOD services that offer curated content destinations that provide unique viewership experiences for distinct audiences. The four services are: Acorn TV, our largest SVOD service, specializing in world-class mysteries and drama from Britain and beyond; Shudder, serving fans of horror and suspense; Sundance Now, featuring mysteries, prestige drama and true crime; and Urban Movie Channel (UMC), the first streaming destination dedicated to black audiences, featuring the best in black TV and film.</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While we primarily license content for these services, we continue to increasingly invest in producing original programming, which is contributing to strong growth and a stable user base.</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we created AMC Premiere, an upgrade for viewers who want a premium AMC experience. A first-of-its-kind offering for viewers who receive AMC as part of their MVPD subscription package, AMC Premiere provides commercial-free viewing of in-season original AMC series, as well as exclusive and first-look content, extended episodes, curated movies, the ability to binge certain shows ahead of linear viewers, and other benefits.</w:t>
      </w:r>
    </w:p>
    <w:p>
      <w:pPr>
        <w:spacing w:after="0" w:line="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Internationally, we deliver programming that reaches subscribers in more than 125 countries and territories around the world. The international division of the Company, AMC Networks International ("AMCNI"), consists of global brands, including AMC and SundanceTV, in the movie and entertainment programming genres, as well as popular, locally recognized channels in several other programming genres.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 w:name="page6"/>
    <w:bookmarkEnd w:id="5"/>
    <w:p>
      <w:pPr>
        <w:jc w:val="both"/>
        <w:ind w:firstLine="405"/>
        <w:spacing w:after="0" w:line="254" w:lineRule="auto"/>
        <w:rPr>
          <w:sz w:val="20"/>
          <w:szCs w:val="20"/>
          <w:color w:val="auto"/>
        </w:rPr>
      </w:pPr>
      <w:r>
        <w:rPr>
          <w:rFonts w:ascii="Arial" w:cs="Arial" w:eastAsia="Arial" w:hAnsi="Arial"/>
          <w:sz w:val="18"/>
          <w:szCs w:val="18"/>
          <w:color w:val="auto"/>
        </w:rPr>
        <w:t xml:space="preserve">AMC Networks also operates IFC Films, a film distribution business that distributes independent narrative and documentary films under the IFC Films label as well as the IFC Midnight distribution label. IFC Films is known for attracting high-profile talent and distributing films that regularly garner critical acclaim and industry honors, including numerous Oscar, Golden Globe, and Cannes Film Festival-award winning titles. IFC Films also operates IFC Films Unlimited, a subscription video on demand streaming channel comprised of theatrically-released and award-winning titles from its distribution labels. IFC Films has been behind some of the most culturally impactful and successful independent film and documentary releases of all time, and IFC Films Unlimited includes a broad range of titles, from IFC Films “classics” like </w:t>
      </w:r>
      <w:r>
        <w:rPr>
          <w:rFonts w:ascii="Arial" w:cs="Arial" w:eastAsia="Arial" w:hAnsi="Arial"/>
          <w:sz w:val="18"/>
          <w:szCs w:val="18"/>
          <w:i w:val="1"/>
          <w:iCs w:val="1"/>
          <w:color w:val="auto"/>
        </w:rPr>
        <w:t>Y Tu Mama Tambien</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Thin Blue Line</w:t>
      </w:r>
      <w:r>
        <w:rPr>
          <w:rFonts w:ascii="Arial" w:cs="Arial" w:eastAsia="Arial" w:hAnsi="Arial"/>
          <w:sz w:val="18"/>
          <w:szCs w:val="18"/>
          <w:color w:val="auto"/>
        </w:rPr>
        <w:t xml:space="preserve"> to </w:t>
      </w:r>
      <w:r>
        <w:rPr>
          <w:rFonts w:ascii="Arial" w:cs="Arial" w:eastAsia="Arial" w:hAnsi="Arial"/>
          <w:sz w:val="18"/>
          <w:szCs w:val="18"/>
          <w:i w:val="1"/>
          <w:iCs w:val="1"/>
          <w:color w:val="auto"/>
        </w:rPr>
        <w:t>The Trip</w:t>
      </w:r>
      <w:r>
        <w:rPr>
          <w:rFonts w:ascii="Arial" w:cs="Arial" w:eastAsia="Arial" w:hAnsi="Arial"/>
          <w:sz w:val="18"/>
          <w:szCs w:val="18"/>
          <w:color w:val="auto"/>
        </w:rPr>
        <w:t xml:space="preserve"> and Oscar-nominated films </w:t>
      </w:r>
      <w:r>
        <w:rPr>
          <w:rFonts w:ascii="Arial" w:cs="Arial" w:eastAsia="Arial" w:hAnsi="Arial"/>
          <w:sz w:val="18"/>
          <w:szCs w:val="18"/>
          <w:i w:val="1"/>
          <w:iCs w:val="1"/>
          <w:color w:val="auto"/>
        </w:rPr>
        <w:t>45 Years</w:t>
      </w:r>
      <w:r>
        <w:rPr>
          <w:rFonts w:ascii="Arial" w:cs="Arial" w:eastAsia="Arial" w:hAnsi="Arial"/>
          <w:sz w:val="18"/>
          <w:szCs w:val="18"/>
          <w:color w:val="auto"/>
        </w:rPr>
        <w:t xml:space="preserve"> and </w:t>
      </w:r>
      <w:r>
        <w:rPr>
          <w:rFonts w:ascii="Arial" w:cs="Arial" w:eastAsia="Arial" w:hAnsi="Arial"/>
          <w:sz w:val="18"/>
          <w:szCs w:val="18"/>
          <w:i w:val="1"/>
          <w:iCs w:val="1"/>
          <w:color w:val="auto"/>
        </w:rPr>
        <w:t>Two Days, One Night</w:t>
      </w:r>
      <w:r>
        <w:rPr>
          <w:rFonts w:ascii="Arial" w:cs="Arial" w:eastAsia="Arial" w:hAnsi="Arial"/>
          <w:sz w:val="18"/>
          <w:szCs w:val="18"/>
          <w:color w:val="auto"/>
        </w:rPr>
        <w:t xml:space="preserve">, documentaries including the Oscar-nominated </w:t>
      </w:r>
      <w:r>
        <w:rPr>
          <w:rFonts w:ascii="Arial" w:cs="Arial" w:eastAsia="Arial" w:hAnsi="Arial"/>
          <w:sz w:val="18"/>
          <w:szCs w:val="18"/>
          <w:i w:val="1"/>
          <w:iCs w:val="1"/>
          <w:color w:val="auto"/>
        </w:rPr>
        <w:t>How To Survive A Plague</w:t>
      </w:r>
      <w:r>
        <w:rPr>
          <w:rFonts w:ascii="Arial" w:cs="Arial" w:eastAsia="Arial" w:hAnsi="Arial"/>
          <w:sz w:val="18"/>
          <w:szCs w:val="18"/>
          <w:color w:val="auto"/>
        </w:rPr>
        <w:t xml:space="preserve"> and </w:t>
      </w:r>
      <w:r>
        <w:rPr>
          <w:rFonts w:ascii="Arial" w:cs="Arial" w:eastAsia="Arial" w:hAnsi="Arial"/>
          <w:sz w:val="18"/>
          <w:szCs w:val="18"/>
          <w:i w:val="1"/>
          <w:iCs w:val="1"/>
          <w:color w:val="auto"/>
        </w:rPr>
        <w:t>Joan Rivers: A Piece Of Work</w:t>
      </w:r>
      <w:r>
        <w:rPr>
          <w:rFonts w:ascii="Arial" w:cs="Arial" w:eastAsia="Arial" w:hAnsi="Arial"/>
          <w:sz w:val="18"/>
          <w:szCs w:val="18"/>
          <w:color w:val="auto"/>
        </w:rPr>
        <w:t xml:space="preserve">, as well as genre films </w:t>
      </w:r>
      <w:r>
        <w:rPr>
          <w:rFonts w:ascii="Arial" w:cs="Arial" w:eastAsia="Arial" w:hAnsi="Arial"/>
          <w:sz w:val="18"/>
          <w:szCs w:val="18"/>
          <w:i w:val="1"/>
          <w:iCs w:val="1"/>
          <w:color w:val="auto"/>
        </w:rPr>
        <w:t xml:space="preserve">The Babadook </w:t>
      </w:r>
      <w:r>
        <w:rPr>
          <w:rFonts w:ascii="Arial" w:cs="Arial" w:eastAsia="Arial" w:hAnsi="Arial"/>
          <w:sz w:val="18"/>
          <w:szCs w:val="18"/>
          <w:color w:val="auto"/>
        </w:rPr>
        <w:t>and</w:t>
      </w:r>
      <w:r>
        <w:rPr>
          <w:rFonts w:ascii="Arial" w:cs="Arial" w:eastAsia="Arial" w:hAnsi="Arial"/>
          <w:sz w:val="18"/>
          <w:szCs w:val="18"/>
          <w:i w:val="1"/>
          <w:iCs w:val="1"/>
          <w:color w:val="auto"/>
        </w:rPr>
        <w:t xml:space="preserve"> Room 237</w:t>
      </w:r>
      <w:r>
        <w:rPr>
          <w:rFonts w:ascii="Arial" w:cs="Arial" w:eastAsia="Arial" w:hAnsi="Arial"/>
          <w:sz w:val="18"/>
          <w:szCs w:val="18"/>
          <w:color w:val="auto"/>
        </w:rPr>
        <w:t>.</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Bringing together a broad collection of films that span across labels and genres, IFC Films Unlimited is a general entertainment SVOD destination for specialty film fans. It is currently available in North America on Amazon Prime Video Channels and Apple TV Channels.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strategy is to maintain and improve our position as a leading entertainment company by creating and presenting content that is high-quality, brand defining and compelling to watch, and by owning and operating some of the most popular and award-winning brands in television that create engagement with audiences globally across multiple distribution platforms. The key focuses of our strategy are:</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Continued Development of High-Quality Original Programming</w:t>
      </w:r>
      <w:r>
        <w:rPr>
          <w:rFonts w:ascii="Arial" w:cs="Arial" w:eastAsia="Arial" w:hAnsi="Arial"/>
          <w:sz w:val="18"/>
          <w:szCs w:val="18"/>
          <w:color w:val="auto"/>
        </w:rPr>
        <w:t>. We intend to continue developing strong original programming across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networks to further enhance our brands, strengthen our relationships with our viewers, distributors and advertisers, and increase distribution and audience ratings. We intend to seek increased distribution of our national networks to grow distribution and advertising revenues. We believe that our continued investment in original programming will support future growth in distribution and advertising revenue. We also intend to continue to expand the exploitation of our original programming across multiple distribution platforms.</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Increased Ownership and Control of Content and Valuable IP</w:t>
      </w:r>
      <w:r>
        <w:rPr>
          <w:rFonts w:ascii="Arial" w:cs="Arial" w:eastAsia="Arial" w:hAnsi="Arial"/>
          <w:sz w:val="18"/>
          <w:szCs w:val="18"/>
          <w:color w:val="auto"/>
        </w:rPr>
        <w:t>. We believe that control (including long-term contractual arrangements) and ownership of</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is important. Through our AMC Studios operation, we intend to increase our control over more of our programming content. We currently control, own or have long-term license agreements covering significant portions of our content across our programming networks, our SVOD services, and our independent film distribution business operated by IFC Films. We intend to continue to focus on obtaining the broadest possible control rights (both as to territory and platforms) for our content.</w:t>
      </w:r>
    </w:p>
    <w:p>
      <w:pPr>
        <w:spacing w:after="0" w:line="8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Develop and Grow New Targeted Direct-to-Consumer Offerings and Brands</w:t>
      </w:r>
      <w:r>
        <w:rPr>
          <w:rFonts w:ascii="Arial" w:cs="Arial" w:eastAsia="Arial" w:hAnsi="Arial"/>
          <w:sz w:val="17"/>
          <w:szCs w:val="17"/>
          <w:color w:val="auto"/>
        </w:rPr>
        <w:t>. We have been focused on creating and growing targeted SVOD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several years. As the market for this category evolves, consumers are increasingly complementing their general entertainment subscriptions with our targeted SVOD services. Our targeted SVOD strategy is to serve distinct premium audiences and build loyal and engaged fan communities around each service. Financially, our offerings are attractive, with a large subscriber market for each service.</w:t>
      </w:r>
    </w:p>
    <w:p>
      <w:pPr>
        <w:spacing w:after="0" w:line="6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Innovation in Content, Format, Distribution, and New Products</w:t>
      </w:r>
      <w:r>
        <w:rPr>
          <w:rFonts w:ascii="Arial" w:cs="Arial" w:eastAsia="Arial" w:hAnsi="Arial"/>
          <w:sz w:val="16"/>
          <w:szCs w:val="16"/>
          <w:color w:val="auto"/>
        </w:rPr>
        <w:t>. The technological landscape of the distribution of entertainment content has expanded</w:t>
      </w:r>
      <w:r>
        <w:rPr>
          <w:rFonts w:ascii="Arial" w:cs="Arial" w:eastAsia="Arial" w:hAnsi="Arial"/>
          <w:sz w:val="16"/>
          <w:szCs w:val="16"/>
          <w:i w:val="1"/>
          <w:iCs w:val="1"/>
          <w:color w:val="auto"/>
        </w:rPr>
        <w:t xml:space="preserve"> </w:t>
      </w:r>
      <w:r>
        <w:rPr>
          <w:rFonts w:ascii="Arial" w:cs="Arial" w:eastAsia="Arial" w:hAnsi="Arial"/>
          <w:sz w:val="16"/>
          <w:szCs w:val="16"/>
          <w:color w:val="auto"/>
        </w:rPr>
        <w:t>to include other media platforms. We distribute our content across many of these platforms, when it makes business sense to do so, so that our viewers can access our content where, when and how they want it. To that end, our programming networks are allowing many of our distributors to offer our content to subscribers on various platforms permitting subscribers to access programs at their convenience. We also make select content available on SVOD services or digital platform providers, such as Netflix, Hulu, and Amazon Prime, electronic-sell-through (EST) and physical (DVD and Blu-ray) formats.</w:t>
      </w:r>
    </w:p>
    <w:p>
      <w:pPr>
        <w:spacing w:after="0" w:line="5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Growth and Innovation in Advertising</w:t>
      </w:r>
      <w:r>
        <w:rPr>
          <w:rFonts w:ascii="Arial" w:cs="Arial" w:eastAsia="Arial" w:hAnsi="Arial"/>
          <w:sz w:val="18"/>
          <w:szCs w:val="18"/>
          <w:color w:val="auto"/>
        </w:rPr>
        <w:t>. We continue to evolve the programming on each of our networks to achieve even stronger viewer engagement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their respective core targeted demographics, thereby increasing the value of our programming to advertisers and allowing us to obtain higher advertising rates.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also creating new opportunities for brands to leverage the strength of our content and our large and passionate fan communities on social platforms as well as through on-the-ground live events. These opportunities are rooted in our strong content and proven ability to build vibrant, large and engaged fan communities around our shows and franchises.</w:t>
      </w:r>
    </w:p>
    <w:p>
      <w:pPr>
        <w:spacing w:after="0" w:line="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addition, we are embracing many new opportunities the evolving advertising space presents, including the potential of advertising video on demand (AVOD). We have made significant investments in advanced advertising technologies such as our proprietary targeting tool called Aurora. In what has been a multi-year effort for us, we have been building tools and staffing up as we develop data and analytics for our proprietary tools. We have seen the number of advertisers utilizing these tools increase and our targeted audience ad sales have grown as a result. In addition to our own initiatives, we are also participating in broader industry efforts, such as Project OAR, a consortium focused on bringing addressable advertising to smart TVs. Our products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enhance our value to advertisers through better targeting, data and measurement and we believe they will improve our overall business in the mid and long term.</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Increased Global Distribution</w:t>
      </w:r>
      <w:r>
        <w:rPr>
          <w:rFonts w:ascii="Arial" w:cs="Arial" w:eastAsia="Arial" w:hAnsi="Arial"/>
          <w:sz w:val="18"/>
          <w:szCs w:val="18"/>
          <w:color w:val="auto"/>
        </w:rPr>
        <w:t>. We distribute our programming networks around the globe. We first expanded beyond the U.S. market with the launch in</w:t>
      </w:r>
      <w:r>
        <w:rPr>
          <w:rFonts w:ascii="Arial" w:cs="Arial" w:eastAsia="Arial" w:hAnsi="Arial"/>
          <w:sz w:val="18"/>
          <w:szCs w:val="18"/>
          <w:i w:val="1"/>
          <w:iCs w:val="1"/>
          <w:color w:val="auto"/>
        </w:rPr>
        <w:t xml:space="preserve"> </w:t>
      </w:r>
      <w:r>
        <w:rPr>
          <w:rFonts w:ascii="Arial" w:cs="Arial" w:eastAsia="Arial" w:hAnsi="Arial"/>
          <w:sz w:val="18"/>
          <w:szCs w:val="18"/>
          <w:color w:val="auto"/>
        </w:rPr>
        <w:t>Canada of IFC (in 2001) and AMC (in 2006), and in Europe of SundanceTV (in 2010) and AMC (in 2014). One or more of AMC Networks International's channels are available in more than 125 countries and territories worldwide.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earn revenue principally from the distribution of our programming and the sale of advertising. Distribution revenues primarily include fees paid by distributors to carry our programming networks, revenue earned from the licensing of original programming and subscription fees paid for our SVOD services. In 2019, distribution revenues and advertising sales accounted for 68% and 32% of our consolidated revenues, net, respectively. For the year ended December 31, 2019, one customer in our National Networks segment, AT&amp;T Inc., accounted for greater than 10% of our consolidated revenues, net.</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 Revenue</w:t>
      </w:r>
    </w:p>
    <w:p>
      <w:pPr>
        <w:spacing w:after="0" w:line="11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Our programming networks are distributed to our viewing audience throughout the U.S. and around the world via cable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multichannel video programming distribution platforms, including direct broadcast satellite ("DBS"), platforms operated by telecommunications providers and virtual multichannel video programming distributors (collectively "distributors") pursuant to agreements with the distributors. Our subscription fee revenues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These agreements also give us the right to sell a specific amount of advertising time on our programming networks. Our programming networks' existing distribution agreements expire at various dates through 2026. For our targeted SVOD services, we earn monthly fees as the streaming service is provided to our customers.</w:t>
      </w:r>
    </w:p>
    <w:p>
      <w:pPr>
        <w:spacing w:after="0" w:line="8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frequently negotiate with distributors in an effort to increase the subscriber base for our networks. We have in some instances made upfront payments to distributors in exchange for these additional subscribers. We also may help fund the distributors' efforts to market our programming networks or we may permit distributors to offer limited promotional periods without payment of subscriber fees. As we continue our efforts to add subscribers, our subscriber revenue may be negatively affected by such deferred carriage fee arrangements, discounted subscriber fees and other payments, however, we believe that these transactions generate a positive return on investment over the contract period.</w:t>
      </w:r>
    </w:p>
    <w:p>
      <w:pPr>
        <w:spacing w:after="0" w:line="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Content licensing revenue: </w:t>
      </w:r>
      <w:r>
        <w:rPr>
          <w:rFonts w:ascii="Arial" w:cs="Arial" w:eastAsia="Arial" w:hAnsi="Arial"/>
          <w:sz w:val="18"/>
          <w:szCs w:val="18"/>
          <w:color w:val="auto"/>
        </w:rPr>
        <w:t>We sell rights to our owned original programming and content acquired under long-term distribution arrangements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in a variety of forms including television markets worldwide, SVOD services or digital platform providers, such as Netflix, Hulu, and Amazon Prime, electronic-sell-through (EST) and physical (DVD and Blu-ray) formats.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Revenue</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earn advertising revenue by selling advertising time on our programming networks. In the U.S., we sell advertising time in both the upfront and scatter markets. In the upfront market, advertisers buy advertising time for the upcoming season, and by purchasing in advance, often receive discounted rates. In the scatter market, advertisers buy advertising time close to the time when the commercials will be run, and often pay a premium. The mix between the upfront and scatter markets is based upon a number of factors, such as pricing, demand for advertising time and economic conditions. Internationally, advertising markets vary by jurisdiction. The majority of international advertising is sold close to the time when the commercials will be run (similar to the U.S. scatter market) and we are generally represented by third-party sales agents.</w:t>
      </w:r>
    </w:p>
    <w:p>
      <w:pPr>
        <w:spacing w:after="0" w:line="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arrangements with advertisers provide for a set number of advertising units to air over a specific period of time at a negotiated price per unit. In most domestic advertising sales arrangements, our programming networks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viewer ratings are not met and is subsequently recognized either when we provide the required additional advertising unit or the guarantee obligation contractually expires. In the U.S., most of our advertising revenues vary based upon the popularity of our programming as measured by Nielsen. In addition to the Nielsen rating, our advertising rates are also influenced by the demographic mix of our viewing audiences, since advertisers tend to pay premium rates for more desirable demographic groups of viewers.</w:t>
      </w:r>
    </w:p>
    <w:p>
      <w:pPr>
        <w:spacing w:after="0" w:line="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programming networks have advertisers representing companies in a broad range of sectors, including automotive, restaurants/food, health, and telecommunications industries.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Programming</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obtain programming through a combination of development, production and licensing; and we distribute programming directly to consumers in the U.S. and throughout the world through our programming networks, digital and other forms of distribution and theatrical release of our IFC Films acquired content. Our programming includes original programming that we control, either through outright ownership or through long-term licensing arrangements, as well as acquired programming that we license from studios and other rights holders. Since our founding in 1980, we have been a pioneer in the cable television programming industry, having created or developed some of the industry's leading programming networks, with a focus on programming of film and original productions. Certain of our programming networks feature original programming that includes critically-acclaimed original scripted dramatic series.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Original Programming</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Through our AMC Studios operation, we increasingly produce and own more of our original programming, primarily for our programming networks and also for license to third parties worldwide. Decisions as to how to distribute programming are made on the basis of a variety of factors including the relative value of any particular alternative.</w:t>
      </w:r>
    </w:p>
    <w:p>
      <w:pPr>
        <w:spacing w:after="0" w:line="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also contract with some of the industry's leading production companies to produce original programming that appears on our programming networks. These contractual arrangements either provide us with outright ownership of the programming, in which case we hold all programming and other rights to the content, or they consist of long-term licensing arrangements, which provide us with exclusive rights to exhibit the content on our programming networks, but may be limited in terms of specific geographic markets or distribution platforms. The license agreements are typically of multi-season duration and provide us with a right of first negotiation or a right of first refusal on the renewal of the license for additional programming seasons.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Acquired Programming</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The majority of the content on our programming networks consists of films, episodic series and specials that we acquire pursuant to rights agreements with film studios, production companies or other rights holders. This acquired programming includes episodic series such as </w:t>
      </w:r>
      <w:r>
        <w:rPr>
          <w:rFonts w:ascii="Arial" w:cs="Arial" w:eastAsia="Arial" w:hAnsi="Arial"/>
          <w:sz w:val="16"/>
          <w:szCs w:val="16"/>
          <w:i w:val="1"/>
          <w:iCs w:val="1"/>
          <w:color w:val="auto"/>
        </w:rPr>
        <w:t>Law and Order, The X-Files,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Criminal Minds, CSI: Miami, Two and a Half Men </w:t>
      </w:r>
      <w:r>
        <w:rPr>
          <w:rFonts w:ascii="Arial" w:cs="Arial" w:eastAsia="Arial" w:hAnsi="Arial"/>
          <w:sz w:val="16"/>
          <w:szCs w:val="16"/>
          <w:color w:val="auto"/>
        </w:rPr>
        <w:t>and</w:t>
      </w:r>
      <w:r>
        <w:rPr>
          <w:rFonts w:ascii="Arial" w:cs="Arial" w:eastAsia="Arial" w:hAnsi="Arial"/>
          <w:sz w:val="16"/>
          <w:szCs w:val="16"/>
          <w:i w:val="1"/>
          <w:iCs w:val="1"/>
          <w:color w:val="auto"/>
        </w:rPr>
        <w:t xml:space="preserve"> Batman</w:t>
      </w:r>
      <w:r>
        <w:rPr>
          <w:rFonts w:ascii="Arial" w:cs="Arial" w:eastAsia="Arial" w:hAnsi="Arial"/>
          <w:sz w:val="16"/>
          <w:szCs w:val="16"/>
          <w:color w:val="auto"/>
        </w:rPr>
        <w:t>, as well as an extensive film library. The rights agreements for this content are of varying</w:t>
      </w:r>
      <w:r>
        <w:rPr>
          <w:rFonts w:ascii="Arial" w:cs="Arial" w:eastAsia="Arial" w:hAnsi="Arial"/>
          <w:sz w:val="16"/>
          <w:szCs w:val="16"/>
          <w:i w:val="1"/>
          <w:iCs w:val="1"/>
          <w:color w:val="auto"/>
        </w:rPr>
        <w:t xml:space="preserve"> </w:t>
      </w:r>
      <w:r>
        <w:rPr>
          <w:rFonts w:ascii="Arial" w:cs="Arial" w:eastAsia="Arial" w:hAnsi="Arial"/>
          <w:sz w:val="16"/>
          <w:szCs w:val="16"/>
          <w:color w:val="auto"/>
        </w:rPr>
        <w:t>duration and generally permit our programming networks to carry these series, films and other programming during certain window periods.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980" w:hanging="486"/>
        <w:spacing w:after="0" w:line="257" w:lineRule="auto"/>
        <w:tabs>
          <w:tab w:leader="none" w:pos="97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Our national programming networks are AMC, WE tv, BBC AMERICA, IFC, and SundanceTV and also include our AMC Premiere service. Our AMC Studios operation produces original programming for our programming networks and also licenses such programming worldwide. AMC Networks Broadcasting &amp; Technology is our technical services business, which primarily services most of the national programming networks.</w:t>
      </w:r>
    </w:p>
    <w:p>
      <w:pPr>
        <w:spacing w:after="0" w:line="80" w:lineRule="exact"/>
        <w:rPr>
          <w:rFonts w:ascii="Arial" w:cs="Arial" w:eastAsia="Arial" w:hAnsi="Arial"/>
          <w:sz w:val="18"/>
          <w:szCs w:val="18"/>
          <w:i w:val="1"/>
          <w:iCs w:val="1"/>
          <w:color w:val="auto"/>
        </w:rPr>
      </w:pPr>
    </w:p>
    <w:p>
      <w:pPr>
        <w:ind w:left="980" w:hanging="486"/>
        <w:spacing w:after="0"/>
        <w:tabs>
          <w:tab w:leader="none" w:pos="98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Includes AMCNI, our international programming businesses consisting of a portfolio of channels around the world;</w:t>
      </w:r>
    </w:p>
    <w:p>
      <w:pPr>
        <w:spacing w:after="0" w:line="34" w:lineRule="exact"/>
        <w:rPr>
          <w:rFonts w:ascii="Arial" w:cs="Arial" w:eastAsia="Arial" w:hAnsi="Arial"/>
          <w:sz w:val="17"/>
          <w:szCs w:val="17"/>
          <w:i w:val="1"/>
          <w:iCs w:val="1"/>
          <w:color w:val="auto"/>
        </w:rPr>
      </w:pPr>
    </w:p>
    <w:p>
      <w:pPr>
        <w:ind w:left="98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AMC Networks SVOD consisting of our targeted subscription streaming services: Acorn TV, Shudder, Sundance Now, and UMC; Levity, our production services and comedy venues business; and IFC Films, our independent film distribution business.</w:t>
      </w:r>
    </w:p>
    <w:p>
      <w:pPr>
        <w:spacing w:after="0" w:line="76"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For financial information of the Company by operating segment, see Item 7, "Management's Discussion and Analysis of Financial Condition and Results of Operations — Consolidated Results of Operations" and Note 24 to the accompanying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National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66140"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614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486"/>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AMC reached approximately 85 million Nielsen subscribers and had distribution agreements with all major U.S. and Canada distributors as of December 31, 2019.</w:t>
      </w:r>
    </w:p>
    <w:p>
      <w:pPr>
        <w:spacing w:after="0" w:line="62" w:lineRule="exact"/>
        <w:rPr>
          <w:rFonts w:ascii="Arial" w:cs="Arial" w:eastAsia="Arial" w:hAnsi="Arial"/>
          <w:sz w:val="18"/>
          <w:szCs w:val="18"/>
          <w:color w:val="auto"/>
        </w:rPr>
      </w:pPr>
    </w:p>
    <w:p>
      <w:pPr>
        <w:jc w:val="both"/>
        <w:ind w:left="980" w:hanging="486"/>
        <w:spacing w:after="0" w:line="25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AMC is home to some of the most popular and acclaimed programs on television. The network helped usher in what is commonly referred to as a new “Golden Age of Television,” with its debut of Mad Men in 2007 and Breaking Bad in 2008. With Mad Men, AMC became the first basic cable network to ever win the Emmy® Award for Outstanding Drama Series in 2008 after which it won the coveted award another four years in a row. Subsequently, AMC’s Breaking Bad won this Emmy® Award in 2013 and 2014. Both series are among the most critically acclaimed and awarded series in the history of television.</w:t>
      </w:r>
    </w:p>
    <w:p>
      <w:pPr>
        <w:spacing w:after="0" w:line="80" w:lineRule="exact"/>
        <w:rPr>
          <w:rFonts w:ascii="Arial" w:cs="Arial" w:eastAsia="Arial" w:hAnsi="Arial"/>
          <w:sz w:val="18"/>
          <w:szCs w:val="18"/>
          <w:color w:val="auto"/>
        </w:rPr>
      </w:pPr>
    </w:p>
    <w:p>
      <w:pPr>
        <w:jc w:val="both"/>
        <w:ind w:left="980" w:hanging="486"/>
        <w:spacing w:after="0" w:line="25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network created AMC Premiere for viewers who want a premium AMC experience. AMC Premiere provides commercial-free viewing of in-season original AMC series, such as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w:t>
      </w:r>
      <w:r>
        <w:rPr>
          <w:rFonts w:ascii="Arial" w:cs="Arial" w:eastAsia="Arial" w:hAnsi="Arial"/>
          <w:sz w:val="18"/>
          <w:szCs w:val="18"/>
          <w:i w:val="1"/>
          <w:iCs w:val="1"/>
          <w:color w:val="auto"/>
        </w:rPr>
        <w:t>Preacher</w:t>
      </w:r>
      <w:r>
        <w:rPr>
          <w:rFonts w:ascii="Arial" w:cs="Arial" w:eastAsia="Arial" w:hAnsi="Arial"/>
          <w:sz w:val="18"/>
          <w:szCs w:val="18"/>
          <w:color w:val="auto"/>
        </w:rPr>
        <w:t>, as well as exclusive and first-look content, extended episodes, curated movies, the ability to binge certain shows ahead of linear viewers, and other benefits. AMC Premiere was first launched to Comcast's Xfinity TV customers in 2017 and has since expanded availability to YouTube TV and fuboTV subscribers, as well as making the upgrade available to viewers on AMC owned and operated digital platforms.</w:t>
      </w:r>
    </w:p>
    <w:p>
      <w:pPr>
        <w:spacing w:after="0" w:line="80" w:lineRule="exact"/>
        <w:rPr>
          <w:rFonts w:ascii="Arial" w:cs="Arial" w:eastAsia="Arial" w:hAnsi="Arial"/>
          <w:sz w:val="18"/>
          <w:szCs w:val="18"/>
          <w:color w:val="auto"/>
        </w:rPr>
      </w:pPr>
    </w:p>
    <w:p>
      <w:pPr>
        <w:jc w:val="both"/>
        <w:ind w:left="980" w:hanging="486"/>
        <w:spacing w:after="0" w:line="271"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AMC's current slate of programming has a range of popular and critically-lauded series including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the highest-rated series in cable history, </w:t>
      </w:r>
      <w:r>
        <w:rPr>
          <w:rFonts w:ascii="Arial" w:cs="Arial" w:eastAsia="Arial" w:hAnsi="Arial"/>
          <w:sz w:val="17"/>
          <w:szCs w:val="17"/>
          <w:i w:val="1"/>
          <w:iCs w:val="1"/>
          <w:color w:val="auto"/>
        </w:rPr>
        <w:t>Better Call Saul, Fear the Walking Dead</w:t>
      </w:r>
      <w:r>
        <w:rPr>
          <w:rFonts w:ascii="Arial" w:cs="Arial" w:eastAsia="Arial" w:hAnsi="Arial"/>
          <w:sz w:val="17"/>
          <w:szCs w:val="17"/>
          <w:color w:val="auto"/>
        </w:rPr>
        <w:t xml:space="preserve">, and </w:t>
      </w:r>
      <w:r>
        <w:rPr>
          <w:rFonts w:ascii="Arial" w:cs="Arial" w:eastAsia="Arial" w:hAnsi="Arial"/>
          <w:sz w:val="17"/>
          <w:szCs w:val="17"/>
          <w:i w:val="1"/>
          <w:iCs w:val="1"/>
          <w:color w:val="auto"/>
        </w:rPr>
        <w:t>NOS4A2</w:t>
      </w:r>
      <w:r>
        <w:rPr>
          <w:rFonts w:ascii="Arial" w:cs="Arial" w:eastAsia="Arial" w:hAnsi="Arial"/>
          <w:sz w:val="17"/>
          <w:szCs w:val="17"/>
          <w:color w:val="auto"/>
        </w:rPr>
        <w:t xml:space="preserve">. Upcoming series for AMC include anthology series </w:t>
      </w:r>
      <w:r>
        <w:rPr>
          <w:rFonts w:ascii="Arial" w:cs="Arial" w:eastAsia="Arial" w:hAnsi="Arial"/>
          <w:sz w:val="17"/>
          <w:szCs w:val="17"/>
          <w:i w:val="1"/>
          <w:iCs w:val="1"/>
          <w:color w:val="auto"/>
        </w:rPr>
        <w:t>Dispatches From</w:t>
      </w:r>
      <w:r>
        <w:rPr>
          <w:rFonts w:ascii="Arial" w:cs="Arial" w:eastAsia="Arial" w:hAnsi="Arial"/>
          <w:sz w:val="17"/>
          <w:szCs w:val="17"/>
          <w:color w:val="auto"/>
        </w:rPr>
        <w:t xml:space="preserve"> </w:t>
      </w:r>
      <w:r>
        <w:rPr>
          <w:rFonts w:ascii="Arial" w:cs="Arial" w:eastAsia="Arial" w:hAnsi="Arial"/>
          <w:sz w:val="17"/>
          <w:szCs w:val="17"/>
          <w:i w:val="1"/>
          <w:iCs w:val="1"/>
          <w:color w:val="auto"/>
        </w:rPr>
        <w:t>Elsewhere</w:t>
      </w:r>
      <w:r>
        <w:rPr>
          <w:rFonts w:ascii="Arial" w:cs="Arial" w:eastAsia="Arial" w:hAnsi="Arial"/>
          <w:sz w:val="17"/>
          <w:szCs w:val="17"/>
          <w:color w:val="auto"/>
        </w:rPr>
        <w:t>, created by and starring Jason Segel, along with</w:t>
      </w:r>
      <w:r>
        <w:rPr>
          <w:rFonts w:ascii="Arial" w:cs="Arial" w:eastAsia="Arial" w:hAnsi="Arial"/>
          <w:sz w:val="17"/>
          <w:szCs w:val="17"/>
          <w:i w:val="1"/>
          <w:iCs w:val="1"/>
          <w:color w:val="auto"/>
        </w:rPr>
        <w:t xml:space="preserve"> The Walking Dead: World Beyond</w:t>
      </w:r>
      <w:r>
        <w:rPr>
          <w:rFonts w:ascii="Arial" w:cs="Arial" w:eastAsia="Arial" w:hAnsi="Arial"/>
          <w:sz w:val="17"/>
          <w:szCs w:val="17"/>
          <w:color w:val="auto"/>
        </w:rPr>
        <w:t>, a new third series in The Walking Dead Universe,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the upcoming limited series, international co-production, </w:t>
      </w:r>
      <w:r>
        <w:rPr>
          <w:rFonts w:ascii="Arial" w:cs="Arial" w:eastAsia="Arial" w:hAnsi="Arial"/>
          <w:sz w:val="17"/>
          <w:szCs w:val="17"/>
          <w:i w:val="1"/>
          <w:iCs w:val="1"/>
          <w:color w:val="auto"/>
        </w:rPr>
        <w:t>Quiz</w:t>
      </w:r>
      <w:r>
        <w:rPr>
          <w:rFonts w:ascii="Arial" w:cs="Arial" w:eastAsia="Arial" w:hAnsi="Arial"/>
          <w:sz w:val="17"/>
          <w:szCs w:val="17"/>
          <w:color w:val="auto"/>
        </w:rPr>
        <w:t xml:space="preserve">. AMC is also home to original unscripted shows including </w:t>
      </w:r>
      <w:r>
        <w:rPr>
          <w:rFonts w:ascii="Arial" w:cs="Arial" w:eastAsia="Arial" w:hAnsi="Arial"/>
          <w:sz w:val="17"/>
          <w:szCs w:val="17"/>
          <w:i w:val="1"/>
          <w:iCs w:val="1"/>
          <w:color w:val="auto"/>
        </w:rPr>
        <w:t>Talking Dead</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Ride with Norman Reedus </w:t>
      </w:r>
      <w:r>
        <w:rPr>
          <w:rFonts w:ascii="Arial" w:cs="Arial" w:eastAsia="Arial" w:hAnsi="Arial"/>
          <w:sz w:val="17"/>
          <w:szCs w:val="17"/>
          <w:color w:val="auto"/>
        </w:rPr>
        <w:t>and has a year-round documentary series "AMC Visionaries," partnering with prolific artists to unveil the untold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stories and fascinating histories of pop culture genres from the masters themselves. The first four installments are Robert Kirkman's </w:t>
      </w:r>
      <w:r>
        <w:rPr>
          <w:rFonts w:ascii="Arial" w:cs="Arial" w:eastAsia="Arial" w:hAnsi="Arial"/>
          <w:sz w:val="17"/>
          <w:szCs w:val="17"/>
          <w:i w:val="1"/>
          <w:iCs w:val="1"/>
          <w:color w:val="auto"/>
        </w:rPr>
        <w:t>Secret</w:t>
      </w:r>
      <w:r>
        <w:rPr>
          <w:rFonts w:ascii="Arial" w:cs="Arial" w:eastAsia="Arial" w:hAnsi="Arial"/>
          <w:sz w:val="17"/>
          <w:szCs w:val="17"/>
          <w:color w:val="auto"/>
        </w:rPr>
        <w:t xml:space="preserve"> </w:t>
      </w:r>
      <w:r>
        <w:rPr>
          <w:rFonts w:ascii="Arial" w:cs="Arial" w:eastAsia="Arial" w:hAnsi="Arial"/>
          <w:sz w:val="17"/>
          <w:szCs w:val="17"/>
          <w:i w:val="1"/>
          <w:iCs w:val="1"/>
          <w:color w:val="auto"/>
        </w:rPr>
        <w:t>History of Comics</w:t>
      </w:r>
      <w:r>
        <w:rPr>
          <w:rFonts w:ascii="Arial" w:cs="Arial" w:eastAsia="Arial" w:hAnsi="Arial"/>
          <w:sz w:val="17"/>
          <w:szCs w:val="17"/>
          <w:color w:val="auto"/>
        </w:rPr>
        <w:t>, James Cameron's</w:t>
      </w:r>
      <w:r>
        <w:rPr>
          <w:rFonts w:ascii="Arial" w:cs="Arial" w:eastAsia="Arial" w:hAnsi="Arial"/>
          <w:sz w:val="17"/>
          <w:szCs w:val="17"/>
          <w:i w:val="1"/>
          <w:iCs w:val="1"/>
          <w:color w:val="auto"/>
        </w:rPr>
        <w:t xml:space="preserve"> Story Of Science Fiction</w:t>
      </w:r>
      <w:r>
        <w:rPr>
          <w:rFonts w:ascii="Arial" w:cs="Arial" w:eastAsia="Arial" w:hAnsi="Arial"/>
          <w:sz w:val="17"/>
          <w:szCs w:val="17"/>
          <w:color w:val="auto"/>
        </w:rPr>
        <w:t>, Eli Roth’s</w:t>
      </w:r>
      <w:r>
        <w:rPr>
          <w:rFonts w:ascii="Arial" w:cs="Arial" w:eastAsia="Arial" w:hAnsi="Arial"/>
          <w:sz w:val="17"/>
          <w:szCs w:val="17"/>
          <w:i w:val="1"/>
          <w:iCs w:val="1"/>
          <w:color w:val="auto"/>
        </w:rPr>
        <w:t xml:space="preserve"> History of Horror</w:t>
      </w:r>
      <w:r>
        <w:rPr>
          <w:rFonts w:ascii="Arial" w:cs="Arial" w:eastAsia="Arial" w:hAnsi="Arial"/>
          <w:sz w:val="17"/>
          <w:szCs w:val="17"/>
          <w:color w:val="auto"/>
        </w:rPr>
        <w:t>, and</w:t>
      </w:r>
      <w:r>
        <w:rPr>
          <w:rFonts w:ascii="Arial" w:cs="Arial" w:eastAsia="Arial" w:hAnsi="Arial"/>
          <w:sz w:val="17"/>
          <w:szCs w:val="17"/>
          <w:i w:val="1"/>
          <w:iCs w:val="1"/>
          <w:color w:val="auto"/>
        </w:rPr>
        <w:t xml:space="preserve"> Hip Hop: The Songs That Shook America </w:t>
      </w:r>
      <w:r>
        <w:rPr>
          <w:rFonts w:ascii="Arial" w:cs="Arial" w:eastAsia="Arial" w:hAnsi="Arial"/>
          <w:sz w:val="17"/>
          <w:szCs w:val="17"/>
          <w:color w:val="auto"/>
        </w:rPr>
        <w:t>from</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producers Ahmir “Questlove” Thompson and Tariq “Black Thought” Trotter.</w:t>
      </w:r>
    </w:p>
    <w:p>
      <w:pPr>
        <w:spacing w:after="0" w:line="70" w:lineRule="exact"/>
        <w:rPr>
          <w:rFonts w:ascii="Arial" w:cs="Arial" w:eastAsia="Arial" w:hAnsi="Arial"/>
          <w:sz w:val="17"/>
          <w:szCs w:val="17"/>
          <w:color w:val="auto"/>
        </w:rPr>
      </w:pPr>
    </w:p>
    <w:p>
      <w:pPr>
        <w:jc w:val="both"/>
        <w:ind w:left="980" w:hanging="486"/>
        <w:spacing w:after="0" w:line="272"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AMC is in production on a new, yet-to-be titled original anthology drama created by Emmy-Award winning writers Will Bridges and Brett Goldstein to premiere in 2020. The network also recently greenlit two new series, </w:t>
      </w:r>
      <w:r>
        <w:rPr>
          <w:rFonts w:ascii="Arial" w:cs="Arial" w:eastAsia="Arial" w:hAnsi="Arial"/>
          <w:sz w:val="17"/>
          <w:szCs w:val="17"/>
          <w:i w:val="1"/>
          <w:iCs w:val="1"/>
          <w:color w:val="auto"/>
        </w:rPr>
        <w:t>61st Street</w:t>
      </w:r>
      <w:r>
        <w:rPr>
          <w:rFonts w:ascii="Arial" w:cs="Arial" w:eastAsia="Arial" w:hAnsi="Arial"/>
          <w:sz w:val="17"/>
          <w:szCs w:val="17"/>
          <w:color w:val="auto"/>
        </w:rPr>
        <w:t xml:space="preserve">, from BAFTA-winner Peter Moffat and executive produced by Michael B. Jordan, and </w:t>
      </w:r>
      <w:r>
        <w:rPr>
          <w:rFonts w:ascii="Arial" w:cs="Arial" w:eastAsia="Arial" w:hAnsi="Arial"/>
          <w:sz w:val="17"/>
          <w:szCs w:val="17"/>
          <w:i w:val="1"/>
          <w:iCs w:val="1"/>
          <w:color w:val="auto"/>
        </w:rPr>
        <w:t>Kevin Can F**k Himself</w:t>
      </w:r>
      <w:r>
        <w:rPr>
          <w:rFonts w:ascii="Arial" w:cs="Arial" w:eastAsia="Arial" w:hAnsi="Arial"/>
          <w:sz w:val="17"/>
          <w:szCs w:val="17"/>
          <w:color w:val="auto"/>
        </w:rPr>
        <w:t>, from creator Valerie Armstrong and executive producers, Rashida Jones and Will McCormack, as well as Craig DiGregorio. AMC and The Walking Dead Chief Content Officer Scott Gimple have continued developing projects for The Walking Dead Universe, including the first in a series of AMC Studios Original Films, starring Andrew Lincoln, which continue the story of Rick Grimes. As part of Gimple’s multi-year plan for The Walking Dead Universe, there are other projects currently in development, including additional films, specials, series, digital content and more.</w:t>
      </w:r>
    </w:p>
    <w:p>
      <w:pPr>
        <w:spacing w:after="0" w:line="69" w:lineRule="exact"/>
        <w:rPr>
          <w:rFonts w:ascii="Arial" w:cs="Arial" w:eastAsia="Arial" w:hAnsi="Arial"/>
          <w:sz w:val="17"/>
          <w:szCs w:val="17"/>
          <w:color w:val="auto"/>
        </w:rPr>
      </w:pPr>
    </w:p>
    <w:p>
      <w:pPr>
        <w:jc w:val="both"/>
        <w:ind w:left="980" w:hanging="486"/>
        <w:spacing w:after="0" w:line="264"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AMC's film library consists of films that are licensed under long-term contracts with major studios such as Twentieth Century Fox, Warner Bros., Sony, MGM, NBC Universal, Paramount and Buena Vista. AMC generally structures its contracts for the exclusive cable television rights to air the films during identified window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64325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325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80" w:right="20" w:hanging="486"/>
        <w:spacing w:after="0" w:line="277" w:lineRule="auto"/>
        <w:tabs>
          <w:tab w:leader="none" w:pos="97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WE tv reached approximately 78 million Nielsen subscribers and had distribution agreements with all major U.S. distributors as of December 31, 2019.</w:t>
      </w:r>
    </w:p>
    <w:p>
      <w:pPr>
        <w:spacing w:after="0" w:line="62" w:lineRule="exact"/>
        <w:rPr>
          <w:rFonts w:ascii="Arial" w:cs="Arial" w:eastAsia="Arial" w:hAnsi="Arial"/>
          <w:sz w:val="18"/>
          <w:szCs w:val="18"/>
          <w:i w:val="1"/>
          <w:iCs w:val="1"/>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tv connects audiences with reality content that is authentic and relatable with compelling unscripted shows.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9" w:name="page10"/>
    <w:bookmarkEnd w:id="9"/>
    <w:p>
      <w:pPr>
        <w:ind w:left="486" w:hanging="486"/>
        <w:spacing w:after="0" w:line="277" w:lineRule="auto"/>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tv is available across all platforms: on TV, online, on demand, and social media, embracing how today's digitally-savvy, socially-engaged audiences connect through content, using it as a catalyst to drive conversation and build community.</w:t>
      </w:r>
    </w:p>
    <w:p>
      <w:pPr>
        <w:spacing w:after="0" w:line="62" w:lineRule="exact"/>
        <w:rPr>
          <w:rFonts w:ascii="Arial" w:cs="Arial" w:eastAsia="Arial" w:hAnsi="Arial"/>
          <w:sz w:val="18"/>
          <w:szCs w:val="18"/>
          <w:color w:val="auto"/>
        </w:rPr>
      </w:pPr>
    </w:p>
    <w:p>
      <w:pPr>
        <w:jc w:val="both"/>
        <w:ind w:left="486" w:hanging="486"/>
        <w:spacing w:after="0" w:line="276" w:lineRule="auto"/>
        <w:tabs>
          <w:tab w:leader="none" w:pos="481"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Driven by unscripted originals, WE tv continues to grow its target audience, fueled by its popular slate of fresh and modern original series including its popular franchises </w:t>
      </w:r>
      <w:r>
        <w:rPr>
          <w:rFonts w:ascii="Arial" w:cs="Arial" w:eastAsia="Arial" w:hAnsi="Arial"/>
          <w:sz w:val="17"/>
          <w:szCs w:val="17"/>
          <w:i w:val="1"/>
          <w:iCs w:val="1"/>
          <w:color w:val="auto"/>
        </w:rPr>
        <w:t>Love After Lockup, Growing Up Hip Hop,</w:t>
      </w:r>
      <w:r>
        <w:rPr>
          <w:rFonts w:ascii="Arial" w:cs="Arial" w:eastAsia="Arial" w:hAnsi="Arial"/>
          <w:sz w:val="17"/>
          <w:szCs w:val="17"/>
          <w:color w:val="auto"/>
        </w:rPr>
        <w:t xml:space="preserve"> and </w:t>
      </w:r>
      <w:r>
        <w:rPr>
          <w:rFonts w:ascii="Arial" w:cs="Arial" w:eastAsia="Arial" w:hAnsi="Arial"/>
          <w:sz w:val="17"/>
          <w:szCs w:val="17"/>
          <w:i w:val="1"/>
          <w:iCs w:val="1"/>
          <w:color w:val="auto"/>
        </w:rPr>
        <w:t>Marriage Boot Camp: Reality Stars</w:t>
      </w:r>
      <w:r>
        <w:rPr>
          <w:rFonts w:ascii="Arial" w:cs="Arial" w:eastAsia="Arial" w:hAnsi="Arial"/>
          <w:sz w:val="17"/>
          <w:szCs w:val="17"/>
          <w:color w:val="auto"/>
        </w:rPr>
        <w:t xml:space="preserve">, as well as Thursday night phenomenon </w:t>
      </w:r>
      <w:r>
        <w:rPr>
          <w:rFonts w:ascii="Arial" w:cs="Arial" w:eastAsia="Arial" w:hAnsi="Arial"/>
          <w:sz w:val="17"/>
          <w:szCs w:val="17"/>
          <w:i w:val="1"/>
          <w:iCs w:val="1"/>
          <w:color w:val="auto"/>
        </w:rPr>
        <w:t>Braxton Family Values</w:t>
      </w:r>
      <w:r>
        <w:rPr>
          <w:rFonts w:ascii="Arial" w:cs="Arial" w:eastAsia="Arial" w:hAnsi="Arial"/>
          <w:sz w:val="17"/>
          <w:szCs w:val="17"/>
          <w:color w:val="auto"/>
        </w:rPr>
        <w:t xml:space="preserve">, and cult favorite </w:t>
      </w:r>
      <w:r>
        <w:rPr>
          <w:rFonts w:ascii="Arial" w:cs="Arial" w:eastAsia="Arial" w:hAnsi="Arial"/>
          <w:sz w:val="17"/>
          <w:szCs w:val="17"/>
          <w:i w:val="1"/>
          <w:iCs w:val="1"/>
          <w:color w:val="auto"/>
        </w:rPr>
        <w:t>Bridezillas</w:t>
      </w:r>
      <w:r>
        <w:rPr>
          <w:rFonts w:ascii="Arial" w:cs="Arial" w:eastAsia="Arial" w:hAnsi="Arial"/>
          <w:sz w:val="17"/>
          <w:szCs w:val="17"/>
          <w:color w:val="auto"/>
        </w:rPr>
        <w:t xml:space="preserve">, which has helped to cement the network's position as the #1 U.S. cable network for African-American women on Thursday and Friday nights. WE tv’s reality series include </w:t>
      </w:r>
      <w:r>
        <w:rPr>
          <w:rFonts w:ascii="Arial" w:cs="Arial" w:eastAsia="Arial" w:hAnsi="Arial"/>
          <w:sz w:val="17"/>
          <w:szCs w:val="17"/>
          <w:i w:val="1"/>
          <w:iCs w:val="1"/>
          <w:color w:val="auto"/>
        </w:rPr>
        <w:t>Love After Lockup</w:t>
      </w:r>
      <w:r>
        <w:rPr>
          <w:rFonts w:ascii="Arial" w:cs="Arial" w:eastAsia="Arial" w:hAnsi="Arial"/>
          <w:sz w:val="17"/>
          <w:szCs w:val="17"/>
          <w:color w:val="auto"/>
        </w:rPr>
        <w:t xml:space="preserve"> as well as the spinoff </w:t>
      </w:r>
      <w:r>
        <w:rPr>
          <w:rFonts w:ascii="Arial" w:cs="Arial" w:eastAsia="Arial" w:hAnsi="Arial"/>
          <w:sz w:val="17"/>
          <w:szCs w:val="17"/>
          <w:i w:val="1"/>
          <w:iCs w:val="1"/>
          <w:color w:val="auto"/>
        </w:rPr>
        <w:t>Love After Lockup: Life After Lockup</w:t>
      </w:r>
      <w:r>
        <w:rPr>
          <w:rFonts w:ascii="Arial" w:cs="Arial" w:eastAsia="Arial" w:hAnsi="Arial"/>
          <w:sz w:val="17"/>
          <w:szCs w:val="17"/>
          <w:color w:val="auto"/>
        </w:rPr>
        <w:t>, with both shows averaging more than a million viewers in Nielsen Live + 3 ratings.</w:t>
      </w:r>
    </w:p>
    <w:p>
      <w:pPr>
        <w:spacing w:after="0" w:line="64" w:lineRule="exact"/>
        <w:rPr>
          <w:rFonts w:ascii="Arial" w:cs="Arial" w:eastAsia="Arial" w:hAnsi="Arial"/>
          <w:sz w:val="17"/>
          <w:szCs w:val="17"/>
          <w:color w:val="auto"/>
        </w:rPr>
      </w:pPr>
    </w:p>
    <w:p>
      <w:pPr>
        <w:ind w:left="486" w:hanging="486"/>
        <w:spacing w:after="0" w:line="277" w:lineRule="auto"/>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Additionally, WE tv's programming includes series such as </w:t>
      </w:r>
      <w:r>
        <w:rPr>
          <w:rFonts w:ascii="Arial" w:cs="Arial" w:eastAsia="Arial" w:hAnsi="Arial"/>
          <w:sz w:val="18"/>
          <w:szCs w:val="18"/>
          <w:i w:val="1"/>
          <w:iCs w:val="1"/>
          <w:color w:val="auto"/>
        </w:rPr>
        <w:t>CSI: Miami</w:t>
      </w:r>
      <w:r>
        <w:rPr>
          <w:rFonts w:ascii="Arial" w:cs="Arial" w:eastAsia="Arial" w:hAnsi="Arial"/>
          <w:sz w:val="18"/>
          <w:szCs w:val="18"/>
          <w:color w:val="auto"/>
        </w:rPr>
        <w:t xml:space="preserve"> and </w:t>
      </w:r>
      <w:r>
        <w:rPr>
          <w:rFonts w:ascii="Arial" w:cs="Arial" w:eastAsia="Arial" w:hAnsi="Arial"/>
          <w:sz w:val="18"/>
          <w:szCs w:val="18"/>
          <w:i w:val="1"/>
          <w:iCs w:val="1"/>
          <w:color w:val="auto"/>
        </w:rPr>
        <w:t>Law &amp; Order</w:t>
      </w:r>
      <w:r>
        <w:rPr>
          <w:rFonts w:ascii="Arial" w:cs="Arial" w:eastAsia="Arial" w:hAnsi="Arial"/>
          <w:sz w:val="18"/>
          <w:szCs w:val="18"/>
          <w:color w:val="auto"/>
        </w:rPr>
        <w:t xml:space="preserve"> as well as feature films, with certain exclusive license rights from studios such as Paramount, MGM, Disney and Warner Bros.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486" w:hanging="486"/>
        <w:spacing w:after="0" w:line="277" w:lineRule="auto"/>
        <w:tabs>
          <w:tab w:leader="none" w:pos="481"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A joint venture between AMC Networks and BBC Studios (the commercial arm of the BBC), BBC AMERICA reached approximately 77 million Nielsen subscribers and had distribution agreements with all major U.S. distributors as of December 31, 2019.</w:t>
      </w:r>
    </w:p>
    <w:p>
      <w:pPr>
        <w:spacing w:after="0" w:line="62" w:lineRule="exact"/>
        <w:rPr>
          <w:rFonts w:ascii="Arial" w:cs="Arial" w:eastAsia="Arial" w:hAnsi="Arial"/>
          <w:sz w:val="18"/>
          <w:szCs w:val="18"/>
          <w:i w:val="1"/>
          <w:iCs w:val="1"/>
          <w:color w:val="auto"/>
        </w:rPr>
      </w:pPr>
    </w:p>
    <w:p>
      <w:pPr>
        <w:jc w:val="both"/>
        <w:ind w:left="486" w:hanging="486"/>
        <w:spacing w:after="0" w:line="273" w:lineRule="auto"/>
        <w:tabs>
          <w:tab w:leader="none" w:pos="481"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network has attracted wide critical acclaim for its influential series, including its Peabody Award-winning original series </w:t>
      </w:r>
      <w:r>
        <w:rPr>
          <w:rFonts w:ascii="Arial" w:cs="Arial" w:eastAsia="Arial" w:hAnsi="Arial"/>
          <w:sz w:val="17"/>
          <w:szCs w:val="17"/>
          <w:i w:val="1"/>
          <w:iCs w:val="1"/>
          <w:color w:val="auto"/>
        </w:rPr>
        <w:t>Killing Eve</w:t>
      </w:r>
      <w:r>
        <w:rPr>
          <w:rFonts w:ascii="Arial" w:cs="Arial" w:eastAsia="Arial" w:hAnsi="Arial"/>
          <w:sz w:val="17"/>
          <w:szCs w:val="17"/>
          <w:color w:val="auto"/>
        </w:rPr>
        <w:t>. Created by multi-award winner Phoebe Waller-Bridge (Fleabag), the series stars Sandra Oh, who won the Golden Globe and Critics' Choice Award for Best Actress in a Drama Series for her role as Eve, and co-star, Jodie Comer, who won a BAFTA Award and Emmy Award for her iconic portrayal of assassin Villanelle. Killing Eve finished its first season in 2018 with an unbroken record of weekly ratings growth in the key adults 25-54 and 18-49 demos. For its second season in 2019, the series averaged nearly 2 million viewers per episode. Season three is slated to return to BBC AMERICA in April 2020 and the series was recently renewed for a fourth season.</w:t>
      </w:r>
    </w:p>
    <w:p>
      <w:pPr>
        <w:spacing w:after="0" w:line="70" w:lineRule="exact"/>
        <w:rPr>
          <w:rFonts w:ascii="Arial" w:cs="Arial" w:eastAsia="Arial" w:hAnsi="Arial"/>
          <w:sz w:val="17"/>
          <w:szCs w:val="17"/>
          <w:color w:val="auto"/>
        </w:rPr>
      </w:pPr>
    </w:p>
    <w:p>
      <w:pPr>
        <w:jc w:val="both"/>
        <w:ind w:left="486" w:hanging="486"/>
        <w:spacing w:after="0" w:line="288" w:lineRule="auto"/>
        <w:tabs>
          <w:tab w:leader="none" w:pos="481"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BBC AMERICA is the definitive home and co-producer of the most iconic natural history programming from the BBC, including </w:t>
      </w:r>
      <w:r>
        <w:rPr>
          <w:rFonts w:ascii="Arial" w:cs="Arial" w:eastAsia="Arial" w:hAnsi="Arial"/>
          <w:sz w:val="16"/>
          <w:szCs w:val="16"/>
          <w:i w:val="1"/>
          <w:iCs w:val="1"/>
          <w:color w:val="auto"/>
        </w:rPr>
        <w:t>Planet Earth</w:t>
      </w:r>
      <w:r>
        <w:rPr>
          <w:rFonts w:ascii="Arial" w:cs="Arial" w:eastAsia="Arial" w:hAnsi="Arial"/>
          <w:sz w:val="16"/>
          <w:szCs w:val="16"/>
          <w:color w:val="auto"/>
        </w:rPr>
        <w:t xml:space="preserve"> </w:t>
      </w:r>
      <w:r>
        <w:rPr>
          <w:rFonts w:ascii="Arial" w:cs="Arial" w:eastAsia="Arial" w:hAnsi="Arial"/>
          <w:sz w:val="16"/>
          <w:szCs w:val="16"/>
          <w:i w:val="1"/>
          <w:iCs w:val="1"/>
          <w:color w:val="auto"/>
        </w:rPr>
        <w:t>II</w:t>
      </w:r>
      <w:r>
        <w:rPr>
          <w:rFonts w:ascii="Arial" w:cs="Arial" w:eastAsia="Arial" w:hAnsi="Arial"/>
          <w:sz w:val="16"/>
          <w:szCs w:val="16"/>
          <w:color w:val="auto"/>
        </w:rPr>
        <w:t>,</w:t>
      </w:r>
      <w:r>
        <w:rPr>
          <w:rFonts w:ascii="Arial" w:cs="Arial" w:eastAsia="Arial" w:hAnsi="Arial"/>
          <w:sz w:val="16"/>
          <w:szCs w:val="16"/>
          <w:i w:val="1"/>
          <w:iCs w:val="1"/>
          <w:color w:val="auto"/>
        </w:rPr>
        <w:t xml:space="preserve"> Blue Planet II</w:t>
      </w:r>
      <w:r>
        <w:rPr>
          <w:rFonts w:ascii="Arial" w:cs="Arial" w:eastAsia="Arial" w:hAnsi="Arial"/>
          <w:sz w:val="16"/>
          <w:szCs w:val="16"/>
          <w:color w:val="auto"/>
        </w:rPr>
        <w:t>,</w:t>
      </w:r>
      <w:r>
        <w:rPr>
          <w:rFonts w:ascii="Arial" w:cs="Arial" w:eastAsia="Arial" w:hAnsi="Arial"/>
          <w:sz w:val="16"/>
          <w:szCs w:val="16"/>
          <w:i w:val="1"/>
          <w:iCs w:val="1"/>
          <w:color w:val="auto"/>
        </w:rPr>
        <w:t xml:space="preserve"> Dynasties</w:t>
      </w:r>
      <w:r>
        <w:rPr>
          <w:rFonts w:ascii="Arial" w:cs="Arial" w:eastAsia="Arial" w:hAnsi="Arial"/>
          <w:sz w:val="16"/>
          <w:szCs w:val="16"/>
          <w:color w:val="auto"/>
        </w:rPr>
        <w:t>, the Sir David Attenborough-narrated series</w:t>
      </w:r>
      <w:r>
        <w:rPr>
          <w:rFonts w:ascii="Arial" w:cs="Arial" w:eastAsia="Arial" w:hAnsi="Arial"/>
          <w:sz w:val="16"/>
          <w:szCs w:val="16"/>
          <w:i w:val="1"/>
          <w:iCs w:val="1"/>
          <w:color w:val="auto"/>
        </w:rPr>
        <w:t xml:space="preserve"> Seven Worlds, One Planet</w:t>
      </w:r>
      <w:r>
        <w:rPr>
          <w:rFonts w:ascii="Arial" w:cs="Arial" w:eastAsia="Arial" w:hAnsi="Arial"/>
          <w:sz w:val="16"/>
          <w:szCs w:val="16"/>
          <w:color w:val="auto"/>
        </w:rPr>
        <w:t>, which marks the first time the story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earth’s seven continents has been told in a single series, as well as the return of the Emmy® winning series </w:t>
      </w:r>
      <w:r>
        <w:rPr>
          <w:rFonts w:ascii="Arial" w:cs="Arial" w:eastAsia="Arial" w:hAnsi="Arial"/>
          <w:sz w:val="16"/>
          <w:szCs w:val="16"/>
          <w:i w:val="1"/>
          <w:iCs w:val="1"/>
          <w:color w:val="auto"/>
        </w:rPr>
        <w:t>Frozen Planet II</w:t>
      </w:r>
      <w:r>
        <w:rPr>
          <w:rFonts w:ascii="Arial" w:cs="Arial" w:eastAsia="Arial" w:hAnsi="Arial"/>
          <w:sz w:val="16"/>
          <w:szCs w:val="16"/>
          <w:color w:val="auto"/>
        </w:rPr>
        <w:t xml:space="preserve"> and </w:t>
      </w:r>
      <w:r>
        <w:rPr>
          <w:rFonts w:ascii="Arial" w:cs="Arial" w:eastAsia="Arial" w:hAnsi="Arial"/>
          <w:sz w:val="16"/>
          <w:szCs w:val="16"/>
          <w:i w:val="1"/>
          <w:iCs w:val="1"/>
          <w:color w:val="auto"/>
        </w:rPr>
        <w:t>Planet Earth III</w:t>
      </w:r>
    </w:p>
    <w:p>
      <w:pPr>
        <w:ind w:left="486"/>
        <w:spacing w:after="0" w:line="261" w:lineRule="auto"/>
        <w:rPr>
          <w:rFonts w:ascii="Arial" w:cs="Arial" w:eastAsia="Arial" w:hAnsi="Arial"/>
          <w:sz w:val="16"/>
          <w:szCs w:val="16"/>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all a part of the network’s new Saturday nature television destination, Wonderstruck, which transforms the network every Saturday into a 24-hour destination for wildlife programming.</w:t>
      </w:r>
    </w:p>
    <w:p>
      <w:pPr>
        <w:spacing w:after="0" w:line="75" w:lineRule="exact"/>
        <w:rPr>
          <w:rFonts w:ascii="Arial" w:cs="Arial" w:eastAsia="Arial" w:hAnsi="Arial"/>
          <w:sz w:val="16"/>
          <w:szCs w:val="16"/>
          <w:color w:val="auto"/>
        </w:rPr>
      </w:pPr>
    </w:p>
    <w:p>
      <w:pPr>
        <w:jc w:val="both"/>
        <w:ind w:left="486" w:right="20" w:hanging="486"/>
        <w:spacing w:after="0" w:line="312" w:lineRule="auto"/>
        <w:tabs>
          <w:tab w:leader="none" w:pos="481"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BBCA’s shows such as </w:t>
      </w:r>
      <w:r>
        <w:rPr>
          <w:rFonts w:ascii="Arial" w:cs="Arial" w:eastAsia="Arial" w:hAnsi="Arial"/>
          <w:sz w:val="16"/>
          <w:szCs w:val="16"/>
          <w:i w:val="1"/>
          <w:iCs w:val="1"/>
          <w:color w:val="auto"/>
        </w:rPr>
        <w:t>Doctor Who</w:t>
      </w:r>
      <w:r>
        <w:rPr>
          <w:rFonts w:ascii="Arial" w:cs="Arial" w:eastAsia="Arial" w:hAnsi="Arial"/>
          <w:sz w:val="16"/>
          <w:szCs w:val="16"/>
          <w:color w:val="auto"/>
        </w:rPr>
        <w:t xml:space="preserve">, </w:t>
      </w:r>
      <w:r>
        <w:rPr>
          <w:rFonts w:ascii="Arial" w:cs="Arial" w:eastAsia="Arial" w:hAnsi="Arial"/>
          <w:sz w:val="16"/>
          <w:szCs w:val="16"/>
          <w:i w:val="1"/>
          <w:iCs w:val="1"/>
          <w:color w:val="auto"/>
        </w:rPr>
        <w:t>Orphan Black</w:t>
      </w:r>
      <w:r>
        <w:rPr>
          <w:rFonts w:ascii="Arial" w:cs="Arial" w:eastAsia="Arial" w:hAnsi="Arial"/>
          <w:sz w:val="16"/>
          <w:szCs w:val="16"/>
          <w:color w:val="auto"/>
        </w:rPr>
        <w:t xml:space="preserve">, </w:t>
      </w:r>
      <w:r>
        <w:rPr>
          <w:rFonts w:ascii="Arial" w:cs="Arial" w:eastAsia="Arial" w:hAnsi="Arial"/>
          <w:sz w:val="16"/>
          <w:szCs w:val="16"/>
          <w:i w:val="1"/>
          <w:iCs w:val="1"/>
          <w:color w:val="auto"/>
        </w:rPr>
        <w:t>Luther</w:t>
      </w:r>
      <w:r>
        <w:rPr>
          <w:rFonts w:ascii="Arial" w:cs="Arial" w:eastAsia="Arial" w:hAnsi="Arial"/>
          <w:sz w:val="16"/>
          <w:szCs w:val="16"/>
          <w:color w:val="auto"/>
        </w:rPr>
        <w:t xml:space="preserve"> and </w:t>
      </w:r>
      <w:r>
        <w:rPr>
          <w:rFonts w:ascii="Arial" w:cs="Arial" w:eastAsia="Arial" w:hAnsi="Arial"/>
          <w:sz w:val="16"/>
          <w:szCs w:val="16"/>
          <w:i w:val="1"/>
          <w:iCs w:val="1"/>
          <w:color w:val="auto"/>
        </w:rPr>
        <w:t>Broadchurch</w:t>
      </w:r>
      <w:r>
        <w:rPr>
          <w:rFonts w:ascii="Arial" w:cs="Arial" w:eastAsia="Arial" w:hAnsi="Arial"/>
          <w:sz w:val="16"/>
          <w:szCs w:val="16"/>
          <w:color w:val="auto"/>
        </w:rPr>
        <w:t xml:space="preserve"> have attracted broad critical acclaim. Its unscripted slate includes the iconic car show </w:t>
      </w:r>
      <w:r>
        <w:rPr>
          <w:rFonts w:ascii="Arial" w:cs="Arial" w:eastAsia="Arial" w:hAnsi="Arial"/>
          <w:sz w:val="16"/>
          <w:szCs w:val="16"/>
          <w:i w:val="1"/>
          <w:iCs w:val="1"/>
          <w:color w:val="auto"/>
        </w:rPr>
        <w:t>Top Gear</w:t>
      </w:r>
      <w:r>
        <w:rPr>
          <w:rFonts w:ascii="Arial" w:cs="Arial" w:eastAsia="Arial" w:hAnsi="Arial"/>
          <w:sz w:val="16"/>
          <w:szCs w:val="16"/>
          <w:color w:val="auto"/>
        </w:rPr>
        <w:t xml:space="preserve">, </w:t>
      </w:r>
      <w:r>
        <w:rPr>
          <w:rFonts w:ascii="Arial" w:cs="Arial" w:eastAsia="Arial" w:hAnsi="Arial"/>
          <w:sz w:val="16"/>
          <w:szCs w:val="16"/>
          <w:i w:val="1"/>
          <w:iCs w:val="1"/>
          <w:color w:val="auto"/>
        </w:rPr>
        <w:t>The Graham Norton Show</w:t>
      </w:r>
      <w:r>
        <w:rPr>
          <w:rFonts w:ascii="Arial" w:cs="Arial" w:eastAsia="Arial" w:hAnsi="Arial"/>
          <w:sz w:val="16"/>
          <w:szCs w:val="16"/>
          <w:color w:val="auto"/>
        </w:rPr>
        <w:t xml:space="preserve"> and the world’s biggest darts championships. The network is currently in production on an upcoming series, </w:t>
      </w:r>
      <w:r>
        <w:rPr>
          <w:rFonts w:ascii="Arial" w:cs="Arial" w:eastAsia="Arial" w:hAnsi="Arial"/>
          <w:sz w:val="16"/>
          <w:szCs w:val="16"/>
          <w:i w:val="1"/>
          <w:iCs w:val="1"/>
          <w:color w:val="auto"/>
        </w:rPr>
        <w:t>The Watch</w:t>
      </w:r>
      <w:r>
        <w:rPr>
          <w:rFonts w:ascii="Arial" w:cs="Arial" w:eastAsia="Arial" w:hAnsi="Arial"/>
          <w:sz w:val="16"/>
          <w:szCs w:val="16"/>
          <w:color w:val="auto"/>
        </w:rPr>
        <w:t>, based on Sir Terry Pratchett’s “Discworld” novels, which have sold more than 90 million books worldwide.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8" w:lineRule="exact"/>
        <w:rPr>
          <w:rFonts w:ascii="Arial" w:cs="Arial" w:eastAsia="Arial" w:hAnsi="Arial"/>
          <w:sz w:val="16"/>
          <w:szCs w:val="16"/>
          <w:color w:val="auto"/>
        </w:rPr>
      </w:pPr>
    </w:p>
    <w:p>
      <w:pPr>
        <w:ind w:left="486" w:hanging="486"/>
        <w:spacing w:after="0" w:line="277" w:lineRule="auto"/>
        <w:tabs>
          <w:tab w:leader="none" w:pos="481"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IFC reached approximately 71 million Nielsen subscribers and had distribution agreements with all major U.S. distributors as of December 31, 2019.</w:t>
      </w:r>
    </w:p>
    <w:p>
      <w:pPr>
        <w:spacing w:after="0" w:line="62" w:lineRule="exact"/>
        <w:rPr>
          <w:rFonts w:ascii="Arial" w:cs="Arial" w:eastAsia="Arial" w:hAnsi="Arial"/>
          <w:sz w:val="18"/>
          <w:szCs w:val="18"/>
          <w:i w:val="1"/>
          <w:iCs w:val="1"/>
          <w:color w:val="auto"/>
        </w:rPr>
      </w:pPr>
    </w:p>
    <w:p>
      <w:pPr>
        <w:ind w:left="486" w:right="20" w:hanging="486"/>
        <w:spacing w:after="0" w:line="277" w:lineRule="auto"/>
        <w:tabs>
          <w:tab w:leader="none" w:pos="481" w:val="left"/>
        </w:tabs>
        <w:numPr>
          <w:ilvl w:val="0"/>
          <w:numId w:val="7"/>
        </w:numPr>
        <w:rPr>
          <w:rFonts w:ascii="Arial" w:cs="Arial" w:eastAsia="Arial" w:hAnsi="Arial"/>
          <w:sz w:val="18"/>
          <w:szCs w:val="18"/>
          <w:color w:val="auto"/>
        </w:rPr>
      </w:pPr>
      <w:r>
        <w:rPr>
          <w:rFonts w:ascii="Arial" w:cs="Arial" w:eastAsia="Arial" w:hAnsi="Arial"/>
          <w:sz w:val="18"/>
          <w:szCs w:val="18"/>
          <w:color w:val="auto"/>
        </w:rPr>
        <w:t>IFC is the home of offbeat, unexpected comedies that are in keeping with the network's "Always On Slightly Off" brand, which air alongside fan-favorite movies and comedic cult TV shows.</w:t>
      </w:r>
    </w:p>
    <w:p>
      <w:pPr>
        <w:spacing w:after="0" w:line="62" w:lineRule="exact"/>
        <w:rPr>
          <w:rFonts w:ascii="Arial" w:cs="Arial" w:eastAsia="Arial" w:hAnsi="Arial"/>
          <w:sz w:val="18"/>
          <w:szCs w:val="18"/>
          <w:color w:val="auto"/>
        </w:rPr>
      </w:pPr>
    </w:p>
    <w:p>
      <w:pPr>
        <w:jc w:val="both"/>
        <w:ind w:left="486" w:hanging="486"/>
        <w:spacing w:after="0" w:line="276" w:lineRule="auto"/>
        <w:tabs>
          <w:tab w:leader="none" w:pos="481"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Acclaimed series include the Emmy-nominated </w:t>
      </w:r>
      <w:r>
        <w:rPr>
          <w:rFonts w:ascii="Arial" w:cs="Arial" w:eastAsia="Arial" w:hAnsi="Arial"/>
          <w:sz w:val="17"/>
          <w:szCs w:val="17"/>
          <w:i w:val="1"/>
          <w:iCs w:val="1"/>
          <w:color w:val="auto"/>
        </w:rPr>
        <w:t>Documentary Now!</w:t>
      </w:r>
      <w:r>
        <w:rPr>
          <w:rFonts w:ascii="Arial" w:cs="Arial" w:eastAsia="Arial" w:hAnsi="Arial"/>
          <w:sz w:val="17"/>
          <w:szCs w:val="17"/>
          <w:color w:val="auto"/>
        </w:rPr>
        <w:t xml:space="preserve">, created by Seth Meyers, Bill Hader and Fred Armisen and executive produced by Lorne Michaels; </w:t>
      </w:r>
      <w:r>
        <w:rPr>
          <w:rFonts w:ascii="Arial" w:cs="Arial" w:eastAsia="Arial" w:hAnsi="Arial"/>
          <w:sz w:val="17"/>
          <w:szCs w:val="17"/>
          <w:i w:val="1"/>
          <w:iCs w:val="1"/>
          <w:color w:val="auto"/>
        </w:rPr>
        <w:t>Brockmire</w:t>
      </w:r>
      <w:r>
        <w:rPr>
          <w:rFonts w:ascii="Arial" w:cs="Arial" w:eastAsia="Arial" w:hAnsi="Arial"/>
          <w:sz w:val="17"/>
          <w:szCs w:val="17"/>
          <w:color w:val="auto"/>
        </w:rPr>
        <w:t xml:space="preserve">, starring Hank Azaria and Amanda Peet; all-female sketch comedy series </w:t>
      </w:r>
      <w:r>
        <w:rPr>
          <w:rFonts w:ascii="Arial" w:cs="Arial" w:eastAsia="Arial" w:hAnsi="Arial"/>
          <w:sz w:val="17"/>
          <w:szCs w:val="17"/>
          <w:i w:val="1"/>
          <w:iCs w:val="1"/>
          <w:color w:val="auto"/>
        </w:rPr>
        <w:t>Baroness von Sketch Show</w:t>
      </w:r>
      <w:r>
        <w:rPr>
          <w:rFonts w:ascii="Arial" w:cs="Arial" w:eastAsia="Arial" w:hAnsi="Arial"/>
          <w:sz w:val="17"/>
          <w:szCs w:val="17"/>
          <w:color w:val="auto"/>
        </w:rPr>
        <w:t xml:space="preserve">; the Critics' Choice Award-nominated </w:t>
      </w:r>
      <w:r>
        <w:rPr>
          <w:rFonts w:ascii="Arial" w:cs="Arial" w:eastAsia="Arial" w:hAnsi="Arial"/>
          <w:sz w:val="17"/>
          <w:szCs w:val="17"/>
          <w:i w:val="1"/>
          <w:iCs w:val="1"/>
          <w:color w:val="auto"/>
        </w:rPr>
        <w:t>Sherman’s Showcase</w:t>
      </w:r>
      <w:r>
        <w:rPr>
          <w:rFonts w:ascii="Arial" w:cs="Arial" w:eastAsia="Arial" w:hAnsi="Arial"/>
          <w:sz w:val="17"/>
          <w:szCs w:val="17"/>
          <w:color w:val="auto"/>
        </w:rPr>
        <w:t xml:space="preserve">, created by and starring Bashir Salahuddin and executive produced by John Legend’s Get Lifted Film Co. and RadicalMedia, and which earned a 100% Certified Fresh rating on Rotten Tomatoes and inclusion on numerous ‘Best of 2019’ lists. Upcoming series include international co-production </w:t>
      </w:r>
      <w:r>
        <w:rPr>
          <w:rFonts w:ascii="Arial" w:cs="Arial" w:eastAsia="Arial" w:hAnsi="Arial"/>
          <w:sz w:val="17"/>
          <w:szCs w:val="17"/>
          <w:i w:val="1"/>
          <w:iCs w:val="1"/>
          <w:color w:val="auto"/>
        </w:rPr>
        <w:t>Year of the Rabbit</w:t>
      </w:r>
      <w:r>
        <w:rPr>
          <w:rFonts w:ascii="Arial" w:cs="Arial" w:eastAsia="Arial" w:hAnsi="Arial"/>
          <w:sz w:val="17"/>
          <w:szCs w:val="17"/>
          <w:color w:val="auto"/>
        </w:rPr>
        <w:t>, starring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-5172075</wp:posOffset>
            </wp:positionV>
            <wp:extent cx="831850" cy="43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31850" cy="43751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-1972945</wp:posOffset>
            </wp:positionV>
            <wp:extent cx="883285"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3285" cy="51435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26"/>
          </w:cols>
          <w:pgMar w:left="734" w:top="1003" w:right="239" w:bottom="1440" w:gutter="0" w:footer="0" w:header="0"/>
        </w:sectPr>
      </w:pPr>
    </w:p>
    <w:bookmarkStart w:id="10" w:name="page11"/>
    <w:bookmarkEnd w:id="10"/>
    <w:p>
      <w:pPr>
        <w:ind w:left="486"/>
        <w:spacing w:after="0" w:line="277" w:lineRule="auto"/>
        <w:rPr>
          <w:sz w:val="20"/>
          <w:szCs w:val="20"/>
          <w:color w:val="auto"/>
        </w:rPr>
      </w:pPr>
      <w:r>
        <w:rPr>
          <w:rFonts w:ascii="Arial" w:cs="Arial" w:eastAsia="Arial" w:hAnsi="Arial"/>
          <w:sz w:val="18"/>
          <w:szCs w:val="18"/>
          <w:color w:val="auto"/>
        </w:rPr>
        <w:t>BAFTA winner Matt Berry. IFC is also the broadcast home of the Independent Spirit Awards, the first event to honor independent film exclusively and an annual celebration of the spirited pioneers who bring a unique vision to filmmaking.</w:t>
      </w:r>
    </w:p>
    <w:p>
      <w:pPr>
        <w:spacing w:after="0" w:line="62" w:lineRule="exact"/>
        <w:rPr>
          <w:sz w:val="20"/>
          <w:szCs w:val="20"/>
          <w:color w:val="auto"/>
        </w:rPr>
      </w:pPr>
    </w:p>
    <w:p>
      <w:pPr>
        <w:jc w:val="both"/>
        <w:ind w:left="486" w:hanging="486"/>
        <w:spacing w:after="0" w:line="286" w:lineRule="auto"/>
        <w:tabs>
          <w:tab w:leader="none" w:pos="481" w:val="left"/>
        </w:tabs>
        <w:numPr>
          <w:ilvl w:val="0"/>
          <w:numId w:val="8"/>
        </w:numPr>
        <w:rPr>
          <w:rFonts w:ascii="Arial" w:cs="Arial" w:eastAsia="Arial" w:hAnsi="Arial"/>
          <w:sz w:val="17"/>
          <w:szCs w:val="17"/>
          <w:color w:val="auto"/>
        </w:rPr>
      </w:pPr>
      <w:r>
        <w:rPr>
          <w:rFonts w:ascii="Arial" w:cs="Arial" w:eastAsia="Arial" w:hAnsi="Arial"/>
          <w:sz w:val="17"/>
          <w:szCs w:val="17"/>
          <w:color w:val="auto"/>
        </w:rPr>
        <w:t>Additionally, through a minority ownership stake in Funny or Die, the two comedy brands created a night of short-form original comedy from a host of up-and-coming Funny or Die talent called FODTV that currently airs Saturday nights on IFC. IFC's programming also includes films from various film distributors, including Fox, Miramax, Sony, Lionsgate, Universal, Paramount and Warner Bros.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8" w:lineRule="exact"/>
        <w:rPr>
          <w:rFonts w:ascii="Arial" w:cs="Arial" w:eastAsia="Arial" w:hAnsi="Arial"/>
          <w:sz w:val="17"/>
          <w:szCs w:val="17"/>
          <w:color w:val="auto"/>
        </w:rPr>
      </w:pPr>
    </w:p>
    <w:p>
      <w:pPr>
        <w:ind w:left="486" w:right="20" w:hanging="486"/>
        <w:spacing w:after="0" w:line="277" w:lineRule="auto"/>
        <w:tabs>
          <w:tab w:leader="none" w:pos="481"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SundanceTV reached approximately 67 million Nielsen subscribers and had distribution agreements with all major U.S. distributors as of December 31, 2019.</w:t>
      </w:r>
    </w:p>
    <w:p>
      <w:pPr>
        <w:spacing w:after="0" w:line="62" w:lineRule="exact"/>
        <w:rPr>
          <w:rFonts w:ascii="Arial" w:cs="Arial" w:eastAsia="Arial" w:hAnsi="Arial"/>
          <w:sz w:val="18"/>
          <w:szCs w:val="18"/>
          <w:i w:val="1"/>
          <w:iCs w:val="1"/>
          <w:color w:val="auto"/>
        </w:rPr>
      </w:pPr>
    </w:p>
    <w:p>
      <w:pPr>
        <w:jc w:val="both"/>
        <w:ind w:left="486" w:hanging="486"/>
        <w:spacing w:after="0" w:line="302" w:lineRule="auto"/>
        <w:tabs>
          <w:tab w:leader="none" w:pos="481" w:val="left"/>
        </w:tabs>
        <w:numPr>
          <w:ilvl w:val="0"/>
          <w:numId w:val="8"/>
        </w:numPr>
        <w:rPr>
          <w:rFonts w:ascii="Arial" w:cs="Arial" w:eastAsia="Arial" w:hAnsi="Arial"/>
          <w:sz w:val="16"/>
          <w:szCs w:val="16"/>
          <w:color w:val="auto"/>
        </w:rPr>
      </w:pPr>
      <w:r>
        <w:rPr>
          <w:rFonts w:ascii="Arial" w:cs="Arial" w:eastAsia="Arial" w:hAnsi="Arial"/>
          <w:sz w:val="16"/>
          <w:szCs w:val="16"/>
          <w:color w:val="auto"/>
        </w:rPr>
        <w:t>SundanceTV has remained true to founder Robert Redford’s mission to celebrate creativity and distinctive storytelling through unique voices and narratives found in the best independent films since its launch in 1996. From delivering critically acclaimed Emmy®, Golden Globe® and Peabody Award-winning television featuring some of the world’s most talented creators and performers, to showcasing some of the most compelling and iconic films across genres and generations, SundanceTV is a smart and thought-provoking entertainment destination.</w:t>
      </w:r>
    </w:p>
    <w:p>
      <w:pPr>
        <w:spacing w:after="0" w:line="46" w:lineRule="exact"/>
        <w:rPr>
          <w:rFonts w:ascii="Arial" w:cs="Arial" w:eastAsia="Arial" w:hAnsi="Arial"/>
          <w:sz w:val="16"/>
          <w:szCs w:val="16"/>
          <w:color w:val="auto"/>
        </w:rPr>
      </w:pPr>
    </w:p>
    <w:p>
      <w:pPr>
        <w:jc w:val="both"/>
        <w:ind w:left="486" w:hanging="486"/>
        <w:spacing w:after="0" w:line="270" w:lineRule="auto"/>
        <w:tabs>
          <w:tab w:leader="none" w:pos="481"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Working with today's most innovative talent, SundanceTV attracts viewer and critical acclaim for its original scripted programming and true-crime documentaries, including the Peabody-award winning </w:t>
      </w:r>
      <w:r>
        <w:rPr>
          <w:rFonts w:ascii="Arial" w:cs="Arial" w:eastAsia="Arial" w:hAnsi="Arial"/>
          <w:sz w:val="17"/>
          <w:szCs w:val="17"/>
          <w:i w:val="1"/>
          <w:iCs w:val="1"/>
          <w:color w:val="auto"/>
        </w:rPr>
        <w:t>Rectify, Top of the Lake</w:t>
      </w:r>
      <w:r>
        <w:rPr>
          <w:rFonts w:ascii="Arial" w:cs="Arial" w:eastAsia="Arial" w:hAnsi="Arial"/>
          <w:sz w:val="17"/>
          <w:szCs w:val="17"/>
          <w:color w:val="auto"/>
        </w:rPr>
        <w:t xml:space="preserve"> and second installment, </w:t>
      </w:r>
      <w:r>
        <w:rPr>
          <w:rFonts w:ascii="Arial" w:cs="Arial" w:eastAsia="Arial" w:hAnsi="Arial"/>
          <w:sz w:val="17"/>
          <w:szCs w:val="17"/>
          <w:i w:val="1"/>
          <w:iCs w:val="1"/>
          <w:color w:val="auto"/>
        </w:rPr>
        <w:t>Top of the Lake: China Girl</w:t>
      </w:r>
      <w:r>
        <w:rPr>
          <w:rFonts w:ascii="Arial" w:cs="Arial" w:eastAsia="Arial" w:hAnsi="Arial"/>
          <w:sz w:val="17"/>
          <w:szCs w:val="17"/>
          <w:color w:val="auto"/>
        </w:rPr>
        <w:t xml:space="preserve">, directed by Oscar-winning Jane Campion and starring Elisabeth Moss and Nicole Kidman; fan favorite </w:t>
      </w:r>
      <w:r>
        <w:rPr>
          <w:rFonts w:ascii="Arial" w:cs="Arial" w:eastAsia="Arial" w:hAnsi="Arial"/>
          <w:sz w:val="17"/>
          <w:szCs w:val="17"/>
          <w:i w:val="1"/>
          <w:iCs w:val="1"/>
          <w:color w:val="auto"/>
        </w:rPr>
        <w:t>Hap and Leonard</w:t>
      </w:r>
      <w:r>
        <w:rPr>
          <w:rFonts w:ascii="Arial" w:cs="Arial" w:eastAsia="Arial" w:hAnsi="Arial"/>
          <w:sz w:val="17"/>
          <w:szCs w:val="17"/>
          <w:color w:val="auto"/>
        </w:rPr>
        <w:t xml:space="preserve">; </w:t>
      </w:r>
      <w:r>
        <w:rPr>
          <w:rFonts w:ascii="Arial" w:cs="Arial" w:eastAsia="Arial" w:hAnsi="Arial"/>
          <w:sz w:val="17"/>
          <w:szCs w:val="17"/>
          <w:i w:val="1"/>
          <w:iCs w:val="1"/>
          <w:color w:val="auto"/>
        </w:rPr>
        <w:t>Liar</w:t>
      </w:r>
      <w:r>
        <w:rPr>
          <w:rFonts w:ascii="Arial" w:cs="Arial" w:eastAsia="Arial" w:hAnsi="Arial"/>
          <w:sz w:val="17"/>
          <w:szCs w:val="17"/>
          <w:color w:val="auto"/>
        </w:rPr>
        <w:t xml:space="preserve">, starring Golden Globe-winner and Emmy-nominated actress Joanne Froggatt (Downton Abbey); the Peabody and International Emmy-Award winning series </w:t>
      </w:r>
      <w:r>
        <w:rPr>
          <w:rFonts w:ascii="Arial" w:cs="Arial" w:eastAsia="Arial" w:hAnsi="Arial"/>
          <w:sz w:val="17"/>
          <w:szCs w:val="17"/>
          <w:i w:val="1"/>
          <w:iCs w:val="1"/>
          <w:color w:val="auto"/>
        </w:rPr>
        <w:t>Deutschland 83</w:t>
      </w:r>
      <w:r>
        <w:rPr>
          <w:rFonts w:ascii="Arial" w:cs="Arial" w:eastAsia="Arial" w:hAnsi="Arial"/>
          <w:sz w:val="17"/>
          <w:szCs w:val="17"/>
          <w:color w:val="auto"/>
        </w:rPr>
        <w:t>; original drama</w:t>
      </w:r>
      <w:r>
        <w:rPr>
          <w:rFonts w:ascii="Arial" w:cs="Arial" w:eastAsia="Arial" w:hAnsi="Arial"/>
          <w:sz w:val="17"/>
          <w:szCs w:val="17"/>
          <w:i w:val="1"/>
          <w:iCs w:val="1"/>
          <w:color w:val="auto"/>
        </w:rPr>
        <w:t xml:space="preserve"> The Split </w:t>
      </w:r>
      <w:r>
        <w:rPr>
          <w:rFonts w:ascii="Arial" w:cs="Arial" w:eastAsia="Arial" w:hAnsi="Arial"/>
          <w:sz w:val="17"/>
          <w:szCs w:val="17"/>
          <w:color w:val="auto"/>
        </w:rPr>
        <w:t>with a female-led cast and crew from BAFTA and Primetime Emmy Award®-winning writer Abi</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Morgan and BAFTA-winning Executive Producer Jane Featherstone; and true-crime series, including </w:t>
      </w:r>
      <w:r>
        <w:rPr>
          <w:rFonts w:ascii="Arial" w:cs="Arial" w:eastAsia="Arial" w:hAnsi="Arial"/>
          <w:sz w:val="17"/>
          <w:szCs w:val="17"/>
          <w:i w:val="1"/>
          <w:iCs w:val="1"/>
          <w:color w:val="auto"/>
        </w:rPr>
        <w:t>Cold Blooded: The Clutter Family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Murders </w:t>
      </w:r>
      <w:r>
        <w:rPr>
          <w:rFonts w:ascii="Arial" w:cs="Arial" w:eastAsia="Arial" w:hAnsi="Arial"/>
          <w:sz w:val="17"/>
          <w:szCs w:val="17"/>
          <w:color w:val="auto"/>
        </w:rPr>
        <w:t>from Academy Award® winning documentarian Joe Berlinger;</w:t>
      </w:r>
      <w:r>
        <w:rPr>
          <w:rFonts w:ascii="Arial" w:cs="Arial" w:eastAsia="Arial" w:hAnsi="Arial"/>
          <w:sz w:val="17"/>
          <w:szCs w:val="17"/>
          <w:i w:val="1"/>
          <w:iCs w:val="1"/>
          <w:color w:val="auto"/>
        </w:rPr>
        <w:t xml:space="preserve"> Jonestown: Terror in the Jungle </w:t>
      </w:r>
      <w:r>
        <w:rPr>
          <w:rFonts w:ascii="Arial" w:cs="Arial" w:eastAsia="Arial" w:hAnsi="Arial"/>
          <w:sz w:val="17"/>
          <w:szCs w:val="17"/>
          <w:color w:val="auto"/>
        </w:rPr>
        <w:t>from Executive Producers Leonardo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DiCaprio and Jennifer Davisson and Stephen David; as well as </w:t>
      </w:r>
      <w:r>
        <w:rPr>
          <w:rFonts w:ascii="Arial" w:cs="Arial" w:eastAsia="Arial" w:hAnsi="Arial"/>
          <w:sz w:val="17"/>
          <w:szCs w:val="17"/>
          <w:i w:val="1"/>
          <w:iCs w:val="1"/>
          <w:color w:val="auto"/>
        </w:rPr>
        <w:t>Ministry of Evil: The Twisted Cult of Tony Alamo</w:t>
      </w:r>
      <w:r>
        <w:rPr>
          <w:rFonts w:ascii="Arial" w:cs="Arial" w:eastAsia="Arial" w:hAnsi="Arial"/>
          <w:sz w:val="17"/>
          <w:szCs w:val="17"/>
          <w:color w:val="auto"/>
        </w:rPr>
        <w:t xml:space="preserve"> from Emmy Award®-winners Fenton Bailey, Randy Barbato, and Peacock Productions; and </w:t>
      </w:r>
      <w:r>
        <w:rPr>
          <w:rFonts w:ascii="Arial" w:cs="Arial" w:eastAsia="Arial" w:hAnsi="Arial"/>
          <w:sz w:val="17"/>
          <w:szCs w:val="17"/>
          <w:i w:val="1"/>
          <w:iCs w:val="1"/>
          <w:color w:val="auto"/>
        </w:rPr>
        <w:t>The Preppie Murder</w:t>
      </w:r>
      <w:r>
        <w:rPr>
          <w:rFonts w:ascii="Arial" w:cs="Arial" w:eastAsia="Arial" w:hAnsi="Arial"/>
          <w:sz w:val="17"/>
          <w:szCs w:val="17"/>
          <w:color w:val="auto"/>
        </w:rPr>
        <w:t xml:space="preserve"> with Emmy® Award- winner Robert Friedman's Bungalow Media + Entertainment and the original prosecutor in the case, Linda Fairstein.</w:t>
      </w:r>
    </w:p>
    <w:p>
      <w:pPr>
        <w:spacing w:after="0" w:line="69" w:lineRule="exact"/>
        <w:rPr>
          <w:rFonts w:ascii="Arial" w:cs="Arial" w:eastAsia="Arial" w:hAnsi="Arial"/>
          <w:sz w:val="17"/>
          <w:szCs w:val="17"/>
          <w:color w:val="auto"/>
        </w:rPr>
      </w:pPr>
    </w:p>
    <w:p>
      <w:pPr>
        <w:jc w:val="both"/>
        <w:ind w:left="486" w:hanging="486"/>
        <w:spacing w:after="0" w:line="312" w:lineRule="auto"/>
        <w:tabs>
          <w:tab w:leader="none" w:pos="481"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SundanceTV’s critically acclaimed short-form series </w:t>
      </w:r>
      <w:r>
        <w:rPr>
          <w:rFonts w:ascii="Arial" w:cs="Arial" w:eastAsia="Arial" w:hAnsi="Arial"/>
          <w:sz w:val="16"/>
          <w:szCs w:val="16"/>
          <w:i w:val="1"/>
          <w:iCs w:val="1"/>
          <w:color w:val="auto"/>
        </w:rPr>
        <w:t>State of the Union</w:t>
      </w:r>
      <w:r>
        <w:rPr>
          <w:rFonts w:ascii="Arial" w:cs="Arial" w:eastAsia="Arial" w:hAnsi="Arial"/>
          <w:sz w:val="16"/>
          <w:szCs w:val="16"/>
          <w:color w:val="auto"/>
        </w:rPr>
        <w:t>, written by Academy Award-nominated and BAFTA-winning writer Nick Hornby and directed by multi-award-winning film and TV director Stephen Frears. The series swept the 2019 Creative Arts Emmy Awards Short Form category, winning Outstanding Series, as well as Outstanding Actor and Actress for Chris O’Dowd and Rosamund Pike.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left="486" w:hanging="486"/>
        <w:spacing w:after="0" w:line="277" w:lineRule="auto"/>
        <w:tabs>
          <w:tab w:leader="none" w:pos="48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AMC Studios is our in-house studio, production and distribution operation. AMC Studios launched in 2010 with its first series, </w:t>
      </w:r>
      <w:r>
        <w:rPr>
          <w:rFonts w:ascii="Arial" w:cs="Arial" w:eastAsia="Arial" w:hAnsi="Arial"/>
          <w:sz w:val="18"/>
          <w:szCs w:val="18"/>
          <w:i w:val="1"/>
          <w:iCs w:val="1"/>
          <w:color w:val="auto"/>
        </w:rPr>
        <w:t>The Walking</w:t>
      </w:r>
      <w:r>
        <w:rPr>
          <w:rFonts w:ascii="Arial" w:cs="Arial" w:eastAsia="Arial" w:hAnsi="Arial"/>
          <w:sz w:val="18"/>
          <w:szCs w:val="18"/>
          <w:color w:val="auto"/>
        </w:rPr>
        <w:t xml:space="preserve"> </w:t>
      </w:r>
      <w:r>
        <w:rPr>
          <w:rFonts w:ascii="Arial" w:cs="Arial" w:eastAsia="Arial" w:hAnsi="Arial"/>
          <w:sz w:val="18"/>
          <w:szCs w:val="18"/>
          <w:i w:val="1"/>
          <w:iCs w:val="1"/>
          <w:color w:val="auto"/>
        </w:rPr>
        <w:t>Dead</w:t>
      </w:r>
      <w:r>
        <w:rPr>
          <w:rFonts w:ascii="Arial" w:cs="Arial" w:eastAsia="Arial" w:hAnsi="Arial"/>
          <w:sz w:val="18"/>
          <w:szCs w:val="18"/>
          <w:color w:val="auto"/>
        </w:rPr>
        <w:t>, the highest-rated series in cable history.</w:t>
      </w:r>
    </w:p>
    <w:p>
      <w:pPr>
        <w:spacing w:after="0" w:line="62" w:lineRule="exact"/>
        <w:rPr>
          <w:rFonts w:ascii="Arial" w:cs="Arial" w:eastAsia="Arial" w:hAnsi="Arial"/>
          <w:sz w:val="18"/>
          <w:szCs w:val="18"/>
          <w:color w:val="auto"/>
        </w:rPr>
      </w:pPr>
    </w:p>
    <w:p>
      <w:pPr>
        <w:jc w:val="both"/>
        <w:ind w:left="486" w:hanging="486"/>
        <w:spacing w:after="0" w:line="276" w:lineRule="auto"/>
        <w:tabs>
          <w:tab w:leader="none" w:pos="481"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Since then, AMC Studios has produced several critically acclaimed, award-winning and culturally distinctive originals for AMC, including scripted series: </w:t>
      </w:r>
      <w:r>
        <w:rPr>
          <w:rFonts w:ascii="Arial" w:cs="Arial" w:eastAsia="Arial" w:hAnsi="Arial"/>
          <w:sz w:val="17"/>
          <w:szCs w:val="17"/>
          <w:i w:val="1"/>
          <w:iCs w:val="1"/>
          <w:color w:val="auto"/>
        </w:rPr>
        <w:t>Fear the Walking Dead, The Terror anthology, Lodge 49, NOS4A2, TURN: Washington's Spies; Halt and Catch Fire; Into the</w:t>
      </w:r>
      <w:r>
        <w:rPr>
          <w:rFonts w:ascii="Arial" w:cs="Arial" w:eastAsia="Arial" w:hAnsi="Arial"/>
          <w:sz w:val="17"/>
          <w:szCs w:val="17"/>
          <w:color w:val="auto"/>
        </w:rPr>
        <w:t xml:space="preserve"> </w:t>
      </w:r>
      <w:r>
        <w:rPr>
          <w:rFonts w:ascii="Arial" w:cs="Arial" w:eastAsia="Arial" w:hAnsi="Arial"/>
          <w:sz w:val="17"/>
          <w:szCs w:val="17"/>
          <w:i w:val="1"/>
          <w:iCs w:val="1"/>
          <w:color w:val="auto"/>
        </w:rPr>
        <w:t>Badlands; The Son</w:t>
      </w:r>
      <w:r>
        <w:rPr>
          <w:rFonts w:ascii="Arial" w:cs="Arial" w:eastAsia="Arial" w:hAnsi="Arial"/>
          <w:sz w:val="17"/>
          <w:szCs w:val="17"/>
          <w:color w:val="auto"/>
        </w:rPr>
        <w:t>; upcoming</w:t>
      </w:r>
      <w:r>
        <w:rPr>
          <w:rFonts w:ascii="Arial" w:cs="Arial" w:eastAsia="Arial" w:hAnsi="Arial"/>
          <w:sz w:val="17"/>
          <w:szCs w:val="17"/>
          <w:i w:val="1"/>
          <w:iCs w:val="1"/>
          <w:color w:val="auto"/>
        </w:rPr>
        <w:t xml:space="preserve"> Dispatches From Elsewhere </w:t>
      </w:r>
      <w:r>
        <w:rPr>
          <w:rFonts w:ascii="Arial" w:cs="Arial" w:eastAsia="Arial" w:hAnsi="Arial"/>
          <w:sz w:val="17"/>
          <w:szCs w:val="17"/>
          <w:color w:val="auto"/>
        </w:rPr>
        <w:t>and the new anthology series from Will Bridges and Brett Goldstein,</w:t>
      </w:r>
      <w:r>
        <w:rPr>
          <w:rFonts w:ascii="Arial" w:cs="Arial" w:eastAsia="Arial" w:hAnsi="Arial"/>
          <w:sz w:val="17"/>
          <w:szCs w:val="17"/>
          <w:i w:val="1"/>
          <w:iCs w:val="1"/>
          <w:color w:val="auto"/>
        </w:rPr>
        <w:t xml:space="preserve"> 61st Street</w:t>
      </w:r>
      <w:r>
        <w:rPr>
          <w:rFonts w:ascii="Arial" w:cs="Arial" w:eastAsia="Arial" w:hAnsi="Arial"/>
          <w:sz w:val="17"/>
          <w:szCs w:val="17"/>
          <w:color w:val="auto"/>
        </w:rPr>
        <w:t>, and</w:t>
      </w:r>
      <w:r>
        <w:rPr>
          <w:rFonts w:ascii="Arial" w:cs="Arial" w:eastAsia="Arial" w:hAnsi="Arial"/>
          <w:sz w:val="17"/>
          <w:szCs w:val="17"/>
          <w:i w:val="1"/>
          <w:iCs w:val="1"/>
          <w:color w:val="auto"/>
        </w:rPr>
        <w:t xml:space="preserve"> Kevin Can F**k Himself</w:t>
      </w:r>
      <w:r>
        <w:rPr>
          <w:rFonts w:ascii="Arial" w:cs="Arial" w:eastAsia="Arial" w:hAnsi="Arial"/>
          <w:sz w:val="17"/>
          <w:szCs w:val="17"/>
          <w:color w:val="auto"/>
        </w:rPr>
        <w:t>; as well as unscripted series:</w:t>
      </w:r>
      <w:r>
        <w:rPr>
          <w:rFonts w:ascii="Arial" w:cs="Arial" w:eastAsia="Arial" w:hAnsi="Arial"/>
          <w:sz w:val="17"/>
          <w:szCs w:val="17"/>
          <w:i w:val="1"/>
          <w:iCs w:val="1"/>
          <w:color w:val="auto"/>
        </w:rPr>
        <w:t xml:space="preserve"> Ride with Norman Reedus</w:t>
      </w:r>
      <w:r>
        <w:rPr>
          <w:rFonts w:ascii="Arial" w:cs="Arial" w:eastAsia="Arial" w:hAnsi="Arial"/>
          <w:sz w:val="17"/>
          <w:szCs w:val="17"/>
          <w:color w:val="auto"/>
        </w:rPr>
        <w:t>, Robert Kirkman's</w:t>
      </w:r>
      <w:r>
        <w:rPr>
          <w:rFonts w:ascii="Arial" w:cs="Arial" w:eastAsia="Arial" w:hAnsi="Arial"/>
          <w:sz w:val="17"/>
          <w:szCs w:val="17"/>
          <w:i w:val="1"/>
          <w:iCs w:val="1"/>
          <w:color w:val="auto"/>
        </w:rPr>
        <w:t xml:space="preserve"> Secret History of Comics</w:t>
      </w:r>
      <w:r>
        <w:rPr>
          <w:rFonts w:ascii="Arial" w:cs="Arial" w:eastAsia="Arial" w:hAnsi="Arial"/>
          <w:sz w:val="17"/>
          <w:szCs w:val="17"/>
          <w:color w:val="auto"/>
        </w:rPr>
        <w:t>, James Cameron's</w:t>
      </w:r>
      <w:r>
        <w:rPr>
          <w:rFonts w:ascii="Arial" w:cs="Arial" w:eastAsia="Arial" w:hAnsi="Arial"/>
          <w:sz w:val="17"/>
          <w:szCs w:val="17"/>
          <w:i w:val="1"/>
          <w:iCs w:val="1"/>
          <w:color w:val="auto"/>
        </w:rPr>
        <w:t xml:space="preserve"> Story Of Science Fiction</w:t>
      </w:r>
      <w:r>
        <w:rPr>
          <w:rFonts w:ascii="Arial" w:cs="Arial" w:eastAsia="Arial" w:hAnsi="Arial"/>
          <w:sz w:val="17"/>
          <w:szCs w:val="17"/>
          <w:color w:val="auto"/>
        </w:rPr>
        <w:t>, Eli Roth’s</w:t>
      </w:r>
      <w:r>
        <w:rPr>
          <w:rFonts w:ascii="Arial" w:cs="Arial" w:eastAsia="Arial" w:hAnsi="Arial"/>
          <w:sz w:val="17"/>
          <w:szCs w:val="17"/>
          <w:i w:val="1"/>
          <w:iCs w:val="1"/>
          <w:color w:val="auto"/>
        </w:rPr>
        <w:t xml:space="preserve"> History of Horror</w:t>
      </w:r>
      <w:r>
        <w:rPr>
          <w:rFonts w:ascii="Arial" w:cs="Arial" w:eastAsia="Arial" w:hAnsi="Arial"/>
          <w:sz w:val="17"/>
          <w:szCs w:val="17"/>
          <w:color w:val="auto"/>
        </w:rPr>
        <w:t>, and</w:t>
      </w:r>
      <w:r>
        <w:rPr>
          <w:rFonts w:ascii="Arial" w:cs="Arial" w:eastAsia="Arial" w:hAnsi="Arial"/>
          <w:sz w:val="17"/>
          <w:szCs w:val="17"/>
          <w:i w:val="1"/>
          <w:iCs w:val="1"/>
          <w:color w:val="auto"/>
        </w:rPr>
        <w:t xml:space="preserve"> Hip Hop: The Songs That Shook America</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486" w:right="20" w:hanging="486"/>
        <w:spacing w:after="0" w:line="277" w:lineRule="auto"/>
        <w:tabs>
          <w:tab w:leader="none" w:pos="48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Studio also produced BBC AMERICA’s </w:t>
      </w:r>
      <w:r>
        <w:rPr>
          <w:rFonts w:ascii="Arial" w:cs="Arial" w:eastAsia="Arial" w:hAnsi="Arial"/>
          <w:sz w:val="18"/>
          <w:szCs w:val="18"/>
          <w:i w:val="1"/>
          <w:iCs w:val="1"/>
          <w:color w:val="auto"/>
        </w:rPr>
        <w:t>Dirk Gently</w:t>
      </w:r>
      <w:r>
        <w:rPr>
          <w:rFonts w:ascii="Arial" w:cs="Arial" w:eastAsia="Arial" w:hAnsi="Arial"/>
          <w:sz w:val="18"/>
          <w:szCs w:val="18"/>
          <w:color w:val="auto"/>
        </w:rPr>
        <w:t xml:space="preserve"> and SundanceTV’s Peabody Award-winning </w:t>
      </w:r>
      <w:r>
        <w:rPr>
          <w:rFonts w:ascii="Arial" w:cs="Arial" w:eastAsia="Arial" w:hAnsi="Arial"/>
          <w:sz w:val="18"/>
          <w:szCs w:val="18"/>
          <w:i w:val="1"/>
          <w:iCs w:val="1"/>
          <w:color w:val="auto"/>
        </w:rPr>
        <w:t>Rectify</w:t>
      </w:r>
      <w:r>
        <w:rPr>
          <w:rFonts w:ascii="Arial" w:cs="Arial" w:eastAsia="Arial" w:hAnsi="Arial"/>
          <w:sz w:val="18"/>
          <w:szCs w:val="18"/>
          <w:color w:val="auto"/>
        </w:rPr>
        <w:t xml:space="preserve">, original series </w:t>
      </w:r>
      <w:r>
        <w:rPr>
          <w:rFonts w:ascii="Arial" w:cs="Arial" w:eastAsia="Arial" w:hAnsi="Arial"/>
          <w:sz w:val="18"/>
          <w:szCs w:val="18"/>
          <w:i w:val="1"/>
          <w:iCs w:val="1"/>
          <w:color w:val="auto"/>
        </w:rPr>
        <w:t>Hap and Leonard</w:t>
      </w:r>
      <w:r>
        <w:rPr>
          <w:rFonts w:ascii="Arial" w:cs="Arial" w:eastAsia="Arial" w:hAnsi="Arial"/>
          <w:sz w:val="18"/>
          <w:szCs w:val="18"/>
          <w:color w:val="auto"/>
        </w:rPr>
        <w:t xml:space="preserve">, and unscripted series </w:t>
      </w:r>
      <w:r>
        <w:rPr>
          <w:rFonts w:ascii="Arial" w:cs="Arial" w:eastAsia="Arial" w:hAnsi="Arial"/>
          <w:sz w:val="18"/>
          <w:szCs w:val="18"/>
          <w:i w:val="1"/>
          <w:iCs w:val="1"/>
          <w:color w:val="auto"/>
        </w:rPr>
        <w:t>Cold Blooded: The Clutter Family Murders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Preppy Murder: Death in Central Park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-4950460</wp:posOffset>
            </wp:positionV>
            <wp:extent cx="1260475"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0475" cy="24892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-1751330</wp:posOffset>
            </wp:positionV>
            <wp:extent cx="154368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6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26"/>
          </w:cols>
          <w:pgMar w:left="734" w:top="100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AMC Networks Broadcasting &amp; Technology</w:t>
      </w:r>
    </w:p>
    <w:p>
      <w:pPr>
        <w:spacing w:after="0" w:line="347" w:lineRule="exact"/>
        <w:rPr>
          <w:sz w:val="20"/>
          <w:szCs w:val="20"/>
          <w:color w:val="auto"/>
        </w:rPr>
      </w:pPr>
    </w:p>
    <w:p>
      <w:pPr>
        <w:ind w:left="760" w:hanging="486"/>
        <w:spacing w:after="0" w:line="277" w:lineRule="auto"/>
        <w:tabs>
          <w:tab w:leader="none" w:pos="7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AMC Networks Broadcasting &amp; Technology is a full-service network programming feed origination and distribution company, which primarily services most of the national programming networks of the Company.</w:t>
      </w:r>
    </w:p>
    <w:p>
      <w:pPr>
        <w:spacing w:after="0" w:line="62" w:lineRule="exact"/>
        <w:rPr>
          <w:rFonts w:ascii="Arial" w:cs="Arial" w:eastAsia="Arial" w:hAnsi="Arial"/>
          <w:sz w:val="18"/>
          <w:szCs w:val="18"/>
          <w:color w:val="auto"/>
        </w:rPr>
      </w:pPr>
    </w:p>
    <w:p>
      <w:pPr>
        <w:jc w:val="both"/>
        <w:ind w:left="760" w:hanging="486"/>
        <w:spacing w:after="0" w:line="276" w:lineRule="auto"/>
        <w:tabs>
          <w:tab w:leader="none" w:pos="755" w:val="left"/>
        </w:tabs>
        <w:numPr>
          <w:ilvl w:val="0"/>
          <w:numId w:val="9"/>
        </w:numPr>
        <w:rPr>
          <w:rFonts w:ascii="Arial" w:cs="Arial" w:eastAsia="Arial" w:hAnsi="Arial"/>
          <w:sz w:val="17"/>
          <w:szCs w:val="17"/>
          <w:color w:val="auto"/>
        </w:rPr>
      </w:pPr>
      <w:r>
        <w:rPr>
          <w:rFonts w:ascii="Arial" w:cs="Arial" w:eastAsia="Arial" w:hAnsi="Arial"/>
          <w:sz w:val="17"/>
          <w:szCs w:val="17"/>
          <w:color w:val="auto"/>
        </w:rPr>
        <w:t>AMC Networks Broadcasting &amp; Technology's operations are located in Bethpage, New York, where AMC Networks Broadcasting &amp; Technology consolidates origination and satellite communications functions in a 67,000 square-foot facility designed to keep AMC Networks at the forefront of network origination and distribution technology. AMC Networks Broadcasting &amp; Technology has 30 plus years of experience across its network services groups, including network origination, affiliate engineering, network transmission, traffic and scheduling that provide day-to-day delivery of any programming network, in high definition or standard definition.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International and Other segment includes the operations of AMCNI, AMC Networks SVOD, IFC Films and Levity.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AMC Networks International</w:t>
      </w:r>
    </w:p>
    <w:p>
      <w:pPr>
        <w:spacing w:after="0" w:line="117" w:lineRule="exact"/>
        <w:rPr>
          <w:sz w:val="20"/>
          <w:szCs w:val="20"/>
          <w:color w:val="auto"/>
        </w:rPr>
      </w:pPr>
    </w:p>
    <w:p>
      <w:pPr>
        <w:ind w:left="760" w:hanging="486"/>
        <w:spacing w:after="0" w:line="308" w:lineRule="auto"/>
        <w:tabs>
          <w:tab w:leader="none" w:pos="7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AMCNI, the international division of the Company, delivers entertaining and acclaimed programming that reaches subscribers in more than 125 countries and territories around the world, through operational centers in London, Madrid, Budapest, Miami and Buenos Aires.</w:t>
      </w:r>
    </w:p>
    <w:p>
      <w:pPr>
        <w:spacing w:after="0" w:line="38" w:lineRule="exact"/>
        <w:rPr>
          <w:rFonts w:ascii="Arial" w:cs="Arial" w:eastAsia="Arial" w:hAnsi="Arial"/>
          <w:sz w:val="17"/>
          <w:szCs w:val="17"/>
          <w:color w:val="auto"/>
        </w:rPr>
      </w:pPr>
    </w:p>
    <w:p>
      <w:pPr>
        <w:ind w:left="760" w:hanging="486"/>
        <w:spacing w:after="0" w:line="342" w:lineRule="auto"/>
        <w:tabs>
          <w:tab w:leader="none" w:pos="7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AMCNI consists of our premiere global brands, AMC and SundanceTV, as well as a portfolio of popular, locally recognized brands delivering programming in a wide range of genres. Channels reaching different countries are programmed for local audiences, languages and markets.</w:t>
      </w:r>
    </w:p>
    <w:p>
      <w:pPr>
        <w:spacing w:after="0" w:line="15" w:lineRule="exact"/>
        <w:rPr>
          <w:rFonts w:ascii="Arial" w:cs="Arial" w:eastAsia="Arial" w:hAnsi="Arial"/>
          <w:sz w:val="16"/>
          <w:szCs w:val="16"/>
          <w:color w:val="auto"/>
        </w:rPr>
      </w:pPr>
    </w:p>
    <w:p>
      <w:pPr>
        <w:jc w:val="both"/>
        <w:ind w:left="760" w:hanging="486"/>
        <w:spacing w:after="0" w:line="286" w:lineRule="auto"/>
        <w:tabs>
          <w:tab w:leader="none" w:pos="7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AMCNI also operates a number of joint venture partnerships and managed channel services as well as direct to consumer services. A joint venture with CBS Studios, delivers a portfolio of entertainment channels which is managed from London. A joint venture in Madrid with Hearst delivers The History Channel Iberia and with NOS in Portugal delivers Canal Hollywood, Canal Panda and Biggs.</w:t>
      </w:r>
    </w:p>
    <w:p>
      <w:pPr>
        <w:spacing w:after="0" w:line="57" w:lineRule="exact"/>
        <w:rPr>
          <w:rFonts w:ascii="Arial" w:cs="Arial" w:eastAsia="Arial" w:hAnsi="Arial"/>
          <w:sz w:val="17"/>
          <w:szCs w:val="17"/>
          <w:color w:val="auto"/>
        </w:rPr>
      </w:pPr>
    </w:p>
    <w:p>
      <w:pPr>
        <w:ind w:left="760" w:hanging="48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Highlights of the top four AMCNI locally recognized channels, in terms of subscribers, are detailed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760" w:hanging="486"/>
        <w:spacing w:after="0"/>
        <w:tabs>
          <w:tab w:leader="none" w:pos="7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Elgourmet is a Latin American family oriented culinary channel with broad appeal across all ages and socioeconomic classes.</w:t>
      </w:r>
    </w:p>
    <w:p>
      <w:pPr>
        <w:spacing w:after="0" w:line="10" w:lineRule="exact"/>
        <w:rPr>
          <w:rFonts w:ascii="Arial" w:cs="Arial" w:eastAsia="Arial" w:hAnsi="Arial"/>
          <w:sz w:val="22"/>
          <w:szCs w:val="22"/>
          <w:color w:val="auto"/>
        </w:rPr>
      </w:pPr>
    </w:p>
    <w:p>
      <w:pPr>
        <w:ind w:left="760" w:hanging="486"/>
        <w:spacing w:after="0" w:line="221" w:lineRule="auto"/>
        <w:tabs>
          <w:tab w:leader="none" w:pos="7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channel was launched over 20 years ago and has 200+ hours of original content featuring local and international talent.</w:t>
      </w:r>
    </w:p>
    <w:p>
      <w:pPr>
        <w:spacing w:after="0" w:line="12" w:lineRule="exact"/>
        <w:rPr>
          <w:rFonts w:ascii="Arial" w:cs="Arial" w:eastAsia="Arial" w:hAnsi="Arial"/>
          <w:sz w:val="22"/>
          <w:szCs w:val="22"/>
          <w:color w:val="auto"/>
        </w:rPr>
      </w:pPr>
    </w:p>
    <w:p>
      <w:pPr>
        <w:ind w:left="760" w:hanging="486"/>
        <w:spacing w:after="0" w:line="232" w:lineRule="auto"/>
        <w:tabs>
          <w:tab w:leader="none" w:pos="7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 xml:space="preserve">Elgourmet has won the Martin Fierro Award 14 times (granted by the Association of Argentine Television and Radio Journalists) and has won the Taste Award with </w:t>
      </w:r>
      <w:r>
        <w:rPr>
          <w:rFonts w:ascii="Arial" w:cs="Arial" w:eastAsia="Arial" w:hAnsi="Arial"/>
          <w:sz w:val="18"/>
          <w:szCs w:val="18"/>
          <w:i w:val="1"/>
          <w:iCs w:val="1"/>
          <w:color w:val="auto"/>
        </w:rPr>
        <w:t>Abuelita linda</w:t>
      </w:r>
      <w:r>
        <w:rPr>
          <w:rFonts w:ascii="Arial" w:cs="Arial" w:eastAsia="Arial" w:hAnsi="Arial"/>
          <w:sz w:val="18"/>
          <w:szCs w:val="18"/>
          <w:color w:val="auto"/>
        </w:rPr>
        <w:t xml:space="preserve"> as best Latin American Series.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3" w:lineRule="exact"/>
        <w:rPr>
          <w:rFonts w:ascii="Arial" w:cs="Arial" w:eastAsia="Arial" w:hAnsi="Arial"/>
          <w:sz w:val="22"/>
          <w:szCs w:val="22"/>
          <w:color w:val="auto"/>
        </w:rPr>
      </w:pPr>
    </w:p>
    <w:p>
      <w:pPr>
        <w:ind w:left="760" w:hanging="486"/>
        <w:spacing w:after="0" w:line="277" w:lineRule="auto"/>
        <w:tabs>
          <w:tab w:leader="none" w:pos="7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U.K. business operates a joint venture with CBS Studios delivering a portfolio of entertainment channels in the U.K. including CBS Reality, CBS Europa, CBS Justice and Horror Channel.</w:t>
      </w:r>
    </w:p>
    <w:p>
      <w:pPr>
        <w:spacing w:after="0" w:line="62" w:lineRule="exact"/>
        <w:rPr>
          <w:rFonts w:ascii="Arial" w:cs="Arial" w:eastAsia="Arial" w:hAnsi="Arial"/>
          <w:sz w:val="18"/>
          <w:szCs w:val="18"/>
          <w:color w:val="auto"/>
        </w:rPr>
      </w:pPr>
    </w:p>
    <w:p>
      <w:pPr>
        <w:ind w:left="760" w:hanging="486"/>
        <w:spacing w:after="0" w:line="277" w:lineRule="auto"/>
        <w:tabs>
          <w:tab w:leader="none" w:pos="7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CBS Reality is increasingly airing owned locally produced ‘true crime’ content aimed at women in the 50+ demographic. These documentary style programs re-visit famous U.K. based crimes and investigate the psychology of a killer.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-2463165</wp:posOffset>
            </wp:positionV>
            <wp:extent cx="54864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640" cy="53149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-979805</wp:posOffset>
            </wp:positionV>
            <wp:extent cx="524827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482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460" w:top="895"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646430</wp:posOffset>
            </wp:positionV>
            <wp:extent cx="754380" cy="480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54380" cy="480060"/>
                    </a:xfrm>
                    <a:prstGeom prst="rect">
                      <a:avLst/>
                    </a:prstGeom>
                    <a:noFill/>
                  </pic:spPr>
                </pic:pic>
              </a:graphicData>
            </a:graphic>
          </wp:anchor>
        </w:drawing>
      </w:r>
    </w:p>
    <w:p>
      <w:pPr>
        <w:spacing w:after="0" w:line="228"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Jim Jam is a pre-school kids channel aimed at 2-6 year-olds, focusing on education and teaching English.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Popular content includes </w:t>
      </w:r>
      <w:r>
        <w:rPr>
          <w:rFonts w:ascii="Arial" w:cs="Arial" w:eastAsia="Arial" w:hAnsi="Arial"/>
          <w:sz w:val="18"/>
          <w:szCs w:val="18"/>
          <w:i w:val="1"/>
          <w:iCs w:val="1"/>
          <w:color w:val="auto"/>
        </w:rPr>
        <w:t>Bob The Builder</w:t>
      </w:r>
      <w:r>
        <w:rPr>
          <w:rFonts w:ascii="Arial" w:cs="Arial" w:eastAsia="Arial" w:hAnsi="Arial"/>
          <w:sz w:val="18"/>
          <w:szCs w:val="18"/>
          <w:color w:val="auto"/>
        </w:rPr>
        <w:t xml:space="preserve">, </w:t>
      </w:r>
      <w:r>
        <w:rPr>
          <w:rFonts w:ascii="Arial" w:cs="Arial" w:eastAsia="Arial" w:hAnsi="Arial"/>
          <w:sz w:val="18"/>
          <w:szCs w:val="18"/>
          <w:i w:val="1"/>
          <w:iCs w:val="1"/>
          <w:color w:val="auto"/>
        </w:rPr>
        <w:t>Fireman Sam</w:t>
      </w:r>
      <w:r>
        <w:rPr>
          <w:rFonts w:ascii="Arial" w:cs="Arial" w:eastAsia="Arial" w:hAnsi="Arial"/>
          <w:sz w:val="18"/>
          <w:szCs w:val="18"/>
          <w:color w:val="auto"/>
        </w:rPr>
        <w:t xml:space="preserve">, </w:t>
      </w:r>
      <w:r>
        <w:rPr>
          <w:rFonts w:ascii="Arial" w:cs="Arial" w:eastAsia="Arial" w:hAnsi="Arial"/>
          <w:sz w:val="18"/>
          <w:szCs w:val="18"/>
          <w:i w:val="1"/>
          <w:iCs w:val="1"/>
          <w:color w:val="auto"/>
        </w:rPr>
        <w:t>Thomas and Friends</w:t>
      </w:r>
      <w:r>
        <w:rPr>
          <w:rFonts w:ascii="Arial" w:cs="Arial" w:eastAsia="Arial" w:hAnsi="Arial"/>
          <w:sz w:val="18"/>
          <w:szCs w:val="18"/>
          <w:color w:val="auto"/>
        </w:rPr>
        <w:t xml:space="preserve"> and </w:t>
      </w:r>
      <w:r>
        <w:rPr>
          <w:rFonts w:ascii="Arial" w:cs="Arial" w:eastAsia="Arial" w:hAnsi="Arial"/>
          <w:sz w:val="18"/>
          <w:szCs w:val="18"/>
          <w:i w:val="1"/>
          <w:iCs w:val="1"/>
          <w:color w:val="auto"/>
        </w:rPr>
        <w:t>Chuggington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Jim Jam reaches subscribers in over 60 EMEA countries.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Mas Chic is a lifestyle channel targeting Latin American women in the upper middle socioeconomic class.</w:t>
      </w:r>
    </w:p>
    <w:p>
      <w:pPr>
        <w:spacing w:after="0" w:line="10" w:lineRule="exact"/>
        <w:rPr>
          <w:rFonts w:ascii="Arial" w:cs="Arial" w:eastAsia="Arial" w:hAnsi="Arial"/>
          <w:sz w:val="22"/>
          <w:szCs w:val="22"/>
          <w:color w:val="auto"/>
        </w:rPr>
      </w:pPr>
    </w:p>
    <w:p>
      <w:pPr>
        <w:ind w:left="980" w:hanging="486"/>
        <w:spacing w:after="0" w:line="221"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Programming is divided into four thematic blocks: beauty, fashion, design and well-being.</w:t>
      </w:r>
    </w:p>
    <w:p>
      <w:pPr>
        <w:spacing w:after="0" w:line="10" w:lineRule="exact"/>
        <w:rPr>
          <w:rFonts w:ascii="Arial" w:cs="Arial" w:eastAsia="Arial" w:hAnsi="Arial"/>
          <w:sz w:val="22"/>
          <w:szCs w:val="22"/>
          <w:color w:val="auto"/>
        </w:rPr>
      </w:pPr>
    </w:p>
    <w:p>
      <w:pPr>
        <w:ind w:left="980" w:hanging="486"/>
        <w:spacing w:after="0" w:line="221"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 xml:space="preserve">The channel was named winner of the Taste Awards “Breakout fashionista of the year” with </w:t>
      </w:r>
      <w:r>
        <w:rPr>
          <w:rFonts w:ascii="Arial" w:cs="Arial" w:eastAsia="Arial" w:hAnsi="Arial"/>
          <w:sz w:val="18"/>
          <w:szCs w:val="18"/>
          <w:i w:val="1"/>
          <w:iCs w:val="1"/>
          <w:color w:val="auto"/>
        </w:rPr>
        <w:t>De Compras en Mexico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-1010920</wp:posOffset>
            </wp:positionV>
            <wp:extent cx="514350"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 cy="4800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AMC Networks SVOD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83185</wp:posOffset>
            </wp:positionV>
            <wp:extent cx="488823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8823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980" w:hanging="486"/>
        <w:spacing w:after="0" w:line="264"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also own and operate four targeted SVOD services through our direct to consumer business. The four services are Acorn TV, Shudder, Sundance Now, and Urban Movie Channel ("UMC"). These services are available in the United States, Canada, parts of Latin America and Europe, Australia and New Zealand.</w:t>
      </w:r>
    </w:p>
    <w:p>
      <w:pPr>
        <w:spacing w:after="0" w:line="73"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AMC Networks' four targeted SVOD services reached over 2 million paid subscribers as of December 31, 2019.</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Acorn TV features high-quality British and International mysteries and dramas.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Shudder is dedicated to films in the horror, suspense and thriller genres.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Sundance Now features independent film, TV shows, documentaries, and original series.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UMC showcases quality urban programming including feature films, documentaries, original series, stand-up comedy and other exclusive content for African-American and urban audiences.</w:t>
      </w:r>
    </w:p>
    <w:p>
      <w:pPr>
        <w:spacing w:after="0" w:line="62" w:lineRule="exact"/>
        <w:rPr>
          <w:rFonts w:ascii="Arial" w:cs="Arial" w:eastAsia="Arial" w:hAnsi="Arial"/>
          <w:sz w:val="18"/>
          <w:szCs w:val="18"/>
          <w:color w:val="auto"/>
        </w:rPr>
      </w:pPr>
    </w:p>
    <w:p>
      <w:pPr>
        <w:jc w:val="both"/>
        <w:ind w:left="980" w:hanging="486"/>
        <w:spacing w:after="0" w:line="279" w:lineRule="auto"/>
        <w:tabs>
          <w:tab w:leader="none" w:pos="9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addition, we own a majority interest in Agatha Christie Ltd., a popular world-class franchise and control, co-produce, and either own or have long-term distribution rights to a large library of content primarily consisting of British mysteries and dramas, independent feature films and urban content. In addition to supporting our streaming services, we monetize our library through distribution operations across virtually all available media platforms and is distributed in the United States, Canada, U.K. and Australia.</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54" w:lineRule="exact"/>
        <w:rPr>
          <w:rFonts w:ascii="Arial" w:cs="Arial" w:eastAsia="Arial" w:hAnsi="Arial"/>
          <w:sz w:val="17"/>
          <w:szCs w:val="17"/>
          <w:color w:val="auto"/>
        </w:rPr>
      </w:pPr>
    </w:p>
    <w:p>
      <w:pPr>
        <w:jc w:val="both"/>
        <w:ind w:left="980" w:hanging="486"/>
        <w:spacing w:after="0" w:line="259"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IFC Films, our independent film distribution business, is a leading distributor of high-quality, talent-driven independent films and operates three distribution labels: IFC Films, Sundance Selects, and IFC Midnight, all of which distribute independent films across virtually all available media platforms, including in theaters, on cable/satellite video on demand, cable network television, streaming/downloading to internet-connected screens and DVDs. IFC Films has a film library consisting of more than 800 titles.</w:t>
      </w:r>
    </w:p>
    <w:p>
      <w:pPr>
        <w:spacing w:after="0" w:line="78" w:lineRule="exact"/>
        <w:rPr>
          <w:rFonts w:ascii="Arial" w:cs="Arial" w:eastAsia="Arial" w:hAnsi="Arial"/>
          <w:sz w:val="18"/>
          <w:szCs w:val="18"/>
          <w:color w:val="auto"/>
        </w:rPr>
      </w:pPr>
    </w:p>
    <w:p>
      <w:pPr>
        <w:jc w:val="both"/>
        <w:ind w:left="980" w:hanging="486"/>
        <w:spacing w:after="0" w:line="279" w:lineRule="auto"/>
        <w:tabs>
          <w:tab w:leader="none" w:pos="9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part of its strategy to grow the marketplace for independent films, IFC Films also operates the IFC Center as well as several film festivals. IFC Center is an independent movie theater located in the heart of New York City's Greenwich Village. DOC NYC, which is the largest non-fiction film festival in the U.S., is an annual festival celebrating documentary storytelling in film, photography, prose and other media. Split Screens festival is an annual event celebrating the art and cultural impact of television that takes place at the IFC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-1596390</wp:posOffset>
            </wp:positionV>
            <wp:extent cx="1551940"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1940" cy="3429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jc w:val="both"/>
        <w:ind w:left="980" w:hanging="486"/>
        <w:spacing w:after="0" w:line="302" w:lineRule="auto"/>
        <w:tabs>
          <w:tab w:leader="none" w:pos="9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Notable recent releases include the acclaimed </w:t>
      </w:r>
      <w:r>
        <w:rPr>
          <w:rFonts w:ascii="Arial" w:cs="Arial" w:eastAsia="Arial" w:hAnsi="Arial"/>
          <w:sz w:val="16"/>
          <w:szCs w:val="16"/>
          <w:i w:val="1"/>
          <w:iCs w:val="1"/>
          <w:color w:val="auto"/>
        </w:rPr>
        <w:t>The Death of Stalin</w:t>
      </w:r>
      <w:r>
        <w:rPr>
          <w:rFonts w:ascii="Arial" w:cs="Arial" w:eastAsia="Arial" w:hAnsi="Arial"/>
          <w:sz w:val="16"/>
          <w:szCs w:val="16"/>
          <w:color w:val="auto"/>
        </w:rPr>
        <w:t xml:space="preserve">, with Steve Buscemi, which was awarded Best Screenplay by the prestigious National Society of Film Critics. The film was also widely recognized in critics’ annual End-of-Year “Best of” lists, including The New York Times, Indiewire, Vulture, The Washington Post and Buzzfeed. The Paul Dano-directed </w:t>
      </w:r>
      <w:r>
        <w:rPr>
          <w:rFonts w:ascii="Arial" w:cs="Arial" w:eastAsia="Arial" w:hAnsi="Arial"/>
          <w:sz w:val="16"/>
          <w:szCs w:val="16"/>
          <w:i w:val="1"/>
          <w:iCs w:val="1"/>
          <w:color w:val="auto"/>
        </w:rPr>
        <w:t>Wildlife</w:t>
      </w:r>
      <w:r>
        <w:rPr>
          <w:rFonts w:ascii="Arial" w:cs="Arial" w:eastAsia="Arial" w:hAnsi="Arial"/>
          <w:sz w:val="16"/>
          <w:szCs w:val="16"/>
          <w:color w:val="auto"/>
        </w:rPr>
        <w:t>, starring Carey Mulligan and Jake Gyllenhaal, debuted in early 2018 at the Sundance Film Festival and went on to open the prestigious Critics’ Week at the Cannes Film Festival.</w:t>
      </w:r>
    </w:p>
    <w:p>
      <w:pPr>
        <w:spacing w:after="0" w:line="46" w:lineRule="exact"/>
        <w:rPr>
          <w:rFonts w:ascii="Arial" w:cs="Arial" w:eastAsia="Arial" w:hAnsi="Arial"/>
          <w:sz w:val="16"/>
          <w:szCs w:val="16"/>
          <w:color w:val="auto"/>
        </w:rPr>
      </w:pPr>
    </w:p>
    <w:p>
      <w:pPr>
        <w:ind w:left="98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Other notable releases include </w:t>
      </w:r>
      <w:r>
        <w:rPr>
          <w:rFonts w:ascii="Arial" w:cs="Arial" w:eastAsia="Arial" w:hAnsi="Arial"/>
          <w:sz w:val="18"/>
          <w:szCs w:val="18"/>
          <w:i w:val="1"/>
          <w:iCs w:val="1"/>
          <w:color w:val="auto"/>
        </w:rPr>
        <w:t>The Clovehitch Killer</w:t>
      </w:r>
      <w:r>
        <w:rPr>
          <w:rFonts w:ascii="Arial" w:cs="Arial" w:eastAsia="Arial" w:hAnsi="Arial"/>
          <w:sz w:val="18"/>
          <w:szCs w:val="18"/>
          <w:color w:val="auto"/>
        </w:rPr>
        <w:t xml:space="preserve"> (distributed under the IFC Midnight label), </w:t>
      </w:r>
      <w:r>
        <w:rPr>
          <w:rFonts w:ascii="Arial" w:cs="Arial" w:eastAsia="Arial" w:hAnsi="Arial"/>
          <w:sz w:val="18"/>
          <w:szCs w:val="18"/>
          <w:i w:val="1"/>
          <w:iCs w:val="1"/>
          <w:color w:val="auto"/>
        </w:rPr>
        <w:t>Ghost Stories</w:t>
      </w:r>
      <w:r>
        <w:rPr>
          <w:rFonts w:ascii="Arial" w:cs="Arial" w:eastAsia="Arial" w:hAnsi="Arial"/>
          <w:sz w:val="18"/>
          <w:szCs w:val="18"/>
          <w:color w:val="auto"/>
        </w:rPr>
        <w:t xml:space="preserve">, and Lars von Trier’s </w:t>
      </w:r>
      <w:r>
        <w:rPr>
          <w:rFonts w:ascii="Arial" w:cs="Arial" w:eastAsia="Arial" w:hAnsi="Arial"/>
          <w:sz w:val="18"/>
          <w:szCs w:val="18"/>
          <w:i w:val="1"/>
          <w:iCs w:val="1"/>
          <w:color w:val="auto"/>
        </w:rPr>
        <w:t>The House</w:t>
      </w:r>
      <w:r>
        <w:rPr>
          <w:rFonts w:ascii="Arial" w:cs="Arial" w:eastAsia="Arial" w:hAnsi="Arial"/>
          <w:sz w:val="18"/>
          <w:szCs w:val="18"/>
          <w:color w:val="auto"/>
        </w:rPr>
        <w:t xml:space="preserve"> </w:t>
      </w:r>
      <w:r>
        <w:rPr>
          <w:rFonts w:ascii="Arial" w:cs="Arial" w:eastAsia="Arial" w:hAnsi="Arial"/>
          <w:sz w:val="18"/>
          <w:szCs w:val="18"/>
          <w:i w:val="1"/>
          <w:iCs w:val="1"/>
          <w:color w:val="auto"/>
        </w:rPr>
        <w:t>That Jack Built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8"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April 2018, we acquired a controlling interest in Levity, an entertainment company that owns and operates comedy venues and produces original content for distribution on multiple platforms, including live, digital and linear television.</w:t>
      </w:r>
    </w:p>
    <w:p>
      <w:pPr>
        <w:spacing w:after="0" w:line="62" w:lineRule="exact"/>
        <w:rPr>
          <w:rFonts w:ascii="Arial" w:cs="Arial" w:eastAsia="Arial" w:hAnsi="Arial"/>
          <w:sz w:val="18"/>
          <w:szCs w:val="18"/>
          <w:color w:val="auto"/>
        </w:rPr>
      </w:pPr>
    </w:p>
    <w:p>
      <w:pPr>
        <w:jc w:val="both"/>
        <w:ind w:left="980" w:hanging="486"/>
        <w:spacing w:after="0" w:line="286" w:lineRule="auto"/>
        <w:tabs>
          <w:tab w:leader="none" w:pos="975"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Levity is a leading player in live comedy with premium comedy venues in the U.S., including the legendary comedy brand, The Improv. Levity also operates a talent management business and produces television content, including prime time specials with some of the biggest names in comedy, including Trevor Noah, Tracy Morgan, Margaret Cho, Sebastian Maniscalco and Gad Elmaleh.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-1445895</wp:posOffset>
            </wp:positionV>
            <wp:extent cx="771525" cy="600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60007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businesses are subject to and affected by regulations of U.S. federal, state and local government authorities, and our international operations are subject to laws and regulations of the countries in which they operate, as well as international bodies, such as the European Union. The Federal Communications Commission (the "FCC") regulates U.S. programming networks directly in some respects; other FCC regulations, although imposed on cable television operators and satellite operators, affect programming networks indirectly. The rules, regulations, policies and procedures affecting our businesses are constantly subject to change and increasingly, legislative and regulatory proposals seek to cover all sources of content, including the digital platforms over which we offer content, which may affect our regulatory burdens in the future. The descriptions below are summary in nature and do not purport to describe all present and proposed laws and regulations affecting our businesses.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Closed Captioning</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Certain of our networks must provide closed-captioning of programming for the hearing impaired, and we must provide closed captioning on certain video content that we offer on the Internet or through other Internet Protocol distribution methods.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CALM Act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FCC rules require multichannel video programming distributors to ensure that all commercials comply with specified volume standards, and our distribution agreements generally require us to certify compliance with such standards.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Obscenity Restrictions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Cable operators and other multichannel video programming distributors are prohibited from transmitting obscene programming, and our distribution agreements generally require us to refrain from including such programming on our networks.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Packaging Programming and Volume Discounts</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FCC from time to time examines whether to adopt rules restricting how programmers package and price their networks, or whether to impose other restrictions on carriage agreements between programmers and multichannel video programming distributors. We do not currently require distributors to carry more than one of our national programming networks in order to obtain the right to carry a particular national programming network. However, we generally negotiate with a distributor for the carriage of all of our national networks concurrently, and we offer volume discounts to distributors who make our programming available to larger numbers of subscribers or who carry more of our programming networks.</w:t>
      </w:r>
    </w:p>
    <w:p>
      <w:pPr>
        <w:spacing w:after="0" w:line="6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Some states also have sought to regulate the manner in which multichannel video programming distributors package and offer programming, including Maine, which recently enacted a law purporting to require cable operators to offer all programs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on an a la carte basis. While the Maine law has been enjoined while a lawsuit progresses, we generally do not allow our networks today to be offered by distributors on an a la carte basis.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Effect of "Must-Carry" and "Retransmission Consent" Requirements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FCC's implementation of the statutory "must-carry" obligations requires cable and DBS operators to give certain broadcasters preferential access to channel space, and FCC "retransmission consent" rules allow broadcasters to require cable and DBS operators to carry broadcast-affiliated networks as a condition of access to the local broadcast station and to charge substantial fees for both carriage of the local broadcast station and the broadcast-affiliated networks. In contrast, programming networks, such as ours, have no guaranteed right of carriage on cable television or DBS systems. These carriage laws may reduce the amount of channel space that is available for carriage of our networks by cable television systems and DBS operators, or the amount of programming funds that cable and DBS operators have available for carriage of our networks.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Website Requirements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maintain various websites that provide information regarding our businesses and offer content for sale. The operation of these websites may be subject to a range of federal, state and local laws such as privacy, data security, accessibility, child safety and consumer protection regulations. For example, most states have enacted laws that impose data security and security breach obligations, and new frameworks regulating consumer privacy have recently been established at the state level and overseas, including the European Union's General Data Protection Regulation, or GDPR, which became effective in May 2018, and the California Consumer Privacy Act, or CCPA, which became effective January 1, 2020. The GDPR and the CCPA impose, among other things, more stringent operational requirements for processors and controllers of personal data, including expanded disclosures about how personal information is to be used, and increased liability for violations.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FCC also imposes rules that may impact us regarding a variety of issues such as advertising in children's television, and telemarketing. Programming businesses are subject to regulation by the country in which they operate, as well as international bodies, such as the European Union. These regulations may include restrictions on types of advertising that can be sold on our networks, programming content requirements, requirements to make programming available on non-discriminatory terms, and local content quotas.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programming networks operate in three highly competitive markets. First, our programming networks compete with other programming networks and other types of programming services to obtain distribution on cable television systems and other multichannel video programming distribution systems, and ultimately for viewing by each distributor's subscribers. Second, our programming networks compete with other programming networks and other sources of video content, to secure desired entertainment programming. Third, our programming networks compete with other sellers of advertising time and space, including other cable programming networks, radio, newspapers, outdoor media and, increasingly, internet sites. The success of our businesses depends on our ability to license and produce content for our programming networks that is adequate in quantity and quality and will generate satisfactory viewer ratings. In each of these cases, some of our competitors are large publicly held companies that have greater financial resources than we do.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 of Programming Networks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business of distributing programming networks to cable television systems and other multichannel video programming distributors and licensing of original programming for distribution is highly competitive. Our programming networks face competition from other programming networks for carriage by a particular multichannel video programming distributor, and for the carriage on the service tier that will attract the most subscribers. Once our programming network is selected by a distributor for carriage, that network competes for viewers not only with the other programming networks available on the distributor's system, but also with over-the-air broadcast television, Internet-based video and other online services, mobile services, radio, print media, motion picture theaters, DVDs, and other sources of information and entertainment.</w:t>
      </w:r>
    </w:p>
    <w:p>
      <w:pPr>
        <w:spacing w:after="0" w:line="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Important to our success in each area of competition we face are the prices we charge for our programming networks, the quantity, quality and variety of the programming offered on our networks, and the effectiveness of our networks' marketing efforts. The competition for viewers among advertiser supported networks is directly correlated with the competition for advertising revenues with each of our competitors.</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successfully compete with other networks may be hampered because the cable television systems or other multichannel video programming distributors through which we seek distribution may be affiliated with other programming networks. In addition,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if such affiliated distributors carry our programming networks, such distributors may place their affiliated programming network on a more desirable tier, thereby giving the affiliated programming network a competitive advantage over our own.</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New or existing programming networks that are affiliated with broadcasting networks like ABC, CBS, Fox or NBC may also have a competitive advantage over our programming networks in obtaining distribution through the "bundling" of agreements to carry those programming networks with agreements giving the distributor the right to carry a broadcast station affiliated with the broadcasting network.</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Part of our strategy involves exploiting identified segments of the cable television viewing audience that are generally well defined and limited in size. Our networks have faced and will continue to face increasing competition as other programming networks and online or other services seek to serve the same or similar niches.</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seek to increase our content licensing revenues by expanding the opportunities for licensing our programming through other media platforms and we compete with other programming companies in this market based on the desirability of our programming.</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Programming</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compete with other programming networks and other distributors including digital distribution platforms to secure desired programming. Most of our original programming and all of our acquired programming is obtained through agreements with other parties that have produced or own the rights to such programming. Competition for this programming will increase as the number of programming networks and other distributors increases. Other programming networks that are affiliated with programming sources such as movie or television studios or film libraries may have a competitive advantage over us in this area.</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With respect to the acquisition of entertainment programming, such as syndicated programs and movies that are not produced by or specifically for networks, our competitors include national broadcast television networks, local broadcast television stations, other cable programming networks, Internet-based video content distributors, and video-on-demand programs. Some of these competitors have exclusive contracts with motion picture studios or independent motion picture distributors or own film libraries.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 for Advertising Revenue</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programming networks must compete with other sellers of advertising time and space, including other multichannel video programming distributors, radio, newspapers, outdoor media and increasing shifts in spending toward online and mobile offerings from more traditional media. We compete for advertisers on the basis of rates we charge and also on the number and demographic nature of viewers who watch our programming. Advertisers will often seek to target their advertising content to those demographic categories they consider most likely to purchase the product or service they advertise. Accordingly, the demographic make-up of our viewership can be equally or more important than the number of viewers watching our programming.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As of December 31, 2019 we had 2,114 full-time employees and 948 part-time employees. In addition, for certain of our productions, the Company, through in-house and third party production service companies, engages the services of writers, directors, actors and various crew members who are subject to certain specially negotiated collective bargaining agreements. Since these agreements are generally entered into on a per-project basis, negotiations occur on various agreements throughout the year. We believe that our relations with the labor unions and our employees are generally good.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corporate website is http://www.amcnetworks.com and the investor relations section of our website is located at http://investor.amcnetworks.com. We make available, free of charge through the investor relations section of our website, our annual reports on Form 10-K, quarterly reports on Form 10-Q and current reports on Form 8-K and amendments to those reports filed or furnished pursuant to Section 13(a) or 15(d) of the Securities Exchange Act of 1934, as well as our proxy statements, as soon as reasonably practicable after we electronically file such material with, or furnish it to, the Securities and Exchange Commission ("SEC"). References to our website in this Annual Report on Form 10-K (this "Annual Report") are provided as a convenience and the information contained on, or available through, the website is not part of this or any other report we file with or furnish to the SEC.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 wide range of risks may affect our business, financial condition and results of operations, now and in the future. We consider the risks described below to be the most significant. There may be other currently unknown or unpredictable economic, business, competitive, regulatory or other factors that could have material adverse effects on our future results.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business depends on the appeal of our programming to our U.S. and international viewers and our distributors, which may be unpredictable and volatile.</w:t>
      </w:r>
    </w:p>
    <w:p>
      <w:pPr>
        <w:spacing w:after="0" w:line="6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business depends, in part, upon viewer preferences and audience acceptance in the United States and internationally of the programming on our networks. These factors are often unpredictable and volatile, and subject to influences that are beyond our control, such as the quality and appeal of competing programming, general economic conditions and the availability of other entertainment activities. We may not be able to anticipate and react effectively to shifts in viewer preferences and/or interests in our markets. A change in viewer preferences has caused, and could in the future continue to cause, the audience for certain of our programming to decline, which has resulted in, and could in the future continue to result in, a reduction of advertising revenues and jeopardize our bargaining position with distributors. In addition, certain of our competitors may have more flexible programming arrangements, as well as greater amounts of available content, distribution and capital resources, and may react more quickly than we might to shifts in tastes and interests.</w:t>
      </w:r>
    </w:p>
    <w:p>
      <w:pPr>
        <w:spacing w:after="0" w:line="5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To an increasing extent, the success of our business depends on original programming, and our ability to accurately predict how audiences will respond to our original programming is particularly important. Because original programming often involves a greater degree of commitment on our part, as compared to acquired programming that we license from third parties, and because our network branding strategies depend significantly on a relatively small number of original programs such as </w:t>
      </w:r>
      <w:r>
        <w:rPr>
          <w:rFonts w:ascii="Arial" w:cs="Arial" w:eastAsia="Arial" w:hAnsi="Arial"/>
          <w:sz w:val="17"/>
          <w:szCs w:val="17"/>
          <w:i w:val="1"/>
          <w:iCs w:val="1"/>
          <w:color w:val="auto"/>
        </w:rPr>
        <w:t>The Walking Dead</w:t>
      </w:r>
      <w:r>
        <w:rPr>
          <w:rFonts w:ascii="Arial" w:cs="Arial" w:eastAsia="Arial" w:hAnsi="Arial"/>
          <w:sz w:val="17"/>
          <w:szCs w:val="17"/>
          <w:color w:val="auto"/>
        </w:rPr>
        <w:t>, a failure to anticipate viewer preferences for such programs could be especially detrimental to our business. We periodically review the programming usefulness of our program rights based on a series of factors, including ratings, type and quality of program material, standards and practices, and fitness for exhibition. We have incurred write-offs of programming rights in the past, and may incur future programming rights write-offs if it is determined that program rights have limited, or no, future usefulness.</w:t>
      </w:r>
    </w:p>
    <w:p>
      <w:pPr>
        <w:spacing w:after="0" w:line="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feature films constitute a significant portion of the programming on our AMC, IFC and SundanceTV programming networks. In general, the popularity of feature-film content on linear television is declining, due in part to the broad availability of such content through an increasing number of distribution platforms. If the popularity of feature-film programming further declines, we may lose viewership, which could increase our costs.</w:t>
      </w:r>
    </w:p>
    <w:p>
      <w:pPr>
        <w:spacing w:after="0" w:line="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If our programming does not gain the level of audience acceptance we expect, or if we are unable to maintain the popularity of our programming, our ratings may suffer, which will negatively affect advertising revenues, and we may have a diminished bargaining position with distributors, which could reduce our distribution revenues. Ratings for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have declined in recent years, which has had a negative effect on our advertising revenues and our financial results. We cannot assure you that we will be able to maintain the success of any of our current programming or generate sufficient demand and market acceptance for our new programming.</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failure to develop popular new programming to replace programming that is older or ending can have adverse impacts on our business and results of operations.</w:t>
      </w:r>
    </w:p>
    <w:p>
      <w:pPr>
        <w:spacing w:after="0" w:line="6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Changes in the operating environment of multichannel distributors, including declines in the number of subscribers, could have a material negative effect on our business and results of operations.</w:t>
      </w:r>
    </w:p>
    <w:p>
      <w:pPr>
        <w:spacing w:after="0" w:line="6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business derives a substantial portion of its revenues and income from cable television providers and other multichannel video programming distributors. The U.S. television industry is continuing to evolve rapidly, with developments in technology leading to new methods for the distribution of video content and changes in when, where and how audiences consume video content. These changes pose risks to the traditional U.S. television industry, including (i) the disruption of the traditional television content distribution model by subscription streaming services and virtual multichannel video programming services, which are increasing in number and some of which have a significant and growing subscriber base, and (ii) the disruption of the advertising supported television model resulting from increased video consumption through subscription streaming services and virtual multichannel video programing services with no advertising or less advertising than on television networks, and time shifted viewing of television programming. In part as a result of these changes, over the past few years, the number of subscribers to traditional multichannel video programming distributors in the United States has declined and the U.S. television industry has experienced declines in ratings for programming, which has negatively affected subscription and advertising revenues. Developments in technology and new content delivery products and services have also led to an increasing amount of video content, as well as changes in consumers' expectations regarding the availability of video content, their willingness to pay for access to or ownership of such content, their perception of what quality entertainment is and their tolerance for commercial interruptions. We are engaged in efforts to respond to and mitigate the risks from these changes, but the success of some of these initiatives depends in part on the cooperation of measurement companies, advertisers and affiliates and, therefore, is not within our control. We may incur significant costs to implement our strategy and initiatives, and if they are not successful, our competitive position, businesses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7" w:name="page18"/>
    <w:bookmarkEnd w:id="17"/>
    <w:p>
      <w:pPr>
        <w:ind w:left="420" w:right="20"/>
        <w:spacing w:after="0" w:line="277" w:lineRule="auto"/>
        <w:rPr>
          <w:sz w:val="20"/>
          <w:szCs w:val="20"/>
          <w:color w:val="auto"/>
        </w:rPr>
      </w:pPr>
      <w:r>
        <w:rPr>
          <w:rFonts w:ascii="Arial" w:cs="Arial" w:eastAsia="Arial" w:hAnsi="Arial"/>
          <w:sz w:val="18"/>
          <w:szCs w:val="18"/>
          <w:b w:val="1"/>
          <w:bCs w:val="1"/>
          <w:i w:val="1"/>
          <w:iCs w:val="1"/>
          <w:color w:val="auto"/>
        </w:rPr>
        <w:t>Our programming networks' success depends upon the availability of programming that is adequate in quantity and quality, and we may be unable to secure or maintain such programming.</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programming networks' success depends upon the availability of quality programming, particularly original programming and films, that is suitable for our target markets. While we produce certain of our original programming through our studio operations, we obtain most of the programming on our networks (including original programming, films and other acquired programming) through agreements with third parties that have produced or control the rights to such programming. These agreements expire at varying times and may be terminated by the other parties if we are not in compliance with their terms.</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Competition for programming has increased as the number of programming networks has increased. Other programming networks that are affiliated with programming sources such as movie or television studios or film libraries may have a competitive advantage over us in this area. In addition to other cable programming networks, we also compete for programming with national broadcast television networks, local broadcast television stations, video on demand services and subscription video on demand services, such as Netflix, Hulu and Amazon Prime. Some of these competitors have exclusive contracts with motion picture studios or independent motion picture distributors or own film libraries.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cannot assure you that we will ultimately be successful in producing or obtaining the quality programming our networks need to be successful.</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programming costs may adversely affect our profits.</w:t>
      </w:r>
    </w:p>
    <w:p>
      <w:pPr>
        <w:spacing w:after="0" w:line="117"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We produce a significant amount of original programming and other content and continue to invest in this area, the costs of which are significant. We also acquire programming and television series, as well as a variety of digital content and other ancillary rights from other companies, and we pay license fees, royalties or contingent compensation in connection with these acquired rights. Our investments in original and acquired programming are significant and involve complex negotiations with numerous third parties. These costs may not be recouped when the content is broadcast or distributed and higher costs may lead to decreased profitability or potential write-downs. Increased competition from additional entrants into the market for development and production of original programming, such as Apple, Netflix, Amazon Prime and Hulu, may increase our programming content costs.</w:t>
      </w:r>
    </w:p>
    <w:p>
      <w:pPr>
        <w:spacing w:after="0" w:line="70"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We incur costs for the creative talent, including actors, writers and producers, who create our original programming. Some of our original programming has achieved significant popularity and critical acclaim, which has increased and could continue to increase the costs of such programming in the future. In addition, from time to time we have disputes with writers, producers and other creative talent over the amount of royalty and other payments (See Item 3. – Legal Proceedings for additional information). We believe that disputes of this type are endemic to our business and similar disputes may arise from time to time in the future. An increase in the costs of programming may lead to decreased profitability or otherwise adversely affect our business.</w:t>
      </w:r>
    </w:p>
    <w:p>
      <w:pPr>
        <w:spacing w:after="0" w:line="5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Original programming requires substantial financial commitment. In some cases, the financial commitment may be partially offset by foreign, state or local tax incentives. However, there is a risk that the tax incentives will not remain available for the duration of a series. If tax incentives are no longer available, reduced substantially, or cannot be utilized, we may incur higher costs in order to complete the production or produce additional seasons. If we are unable to produce original programming content on a cost effective basis our business, financial condition and results of operations may be materially adversely affected.</w:t>
      </w:r>
    </w:p>
    <w:p>
      <w:pPr>
        <w:spacing w:after="0" w:line="80"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Theft of our content, including digital copyright theft and other unauthorized exhibitions of our content, may decrease revenue received from our programming and adversely affect our businesses and profitability.</w:t>
      </w:r>
    </w:p>
    <w:p>
      <w:pPr>
        <w:spacing w:after="0" w:line="6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success of our businesses depends in part on our ability to maintain and monetize our intellectual property rights to our entertainment content. We are fundamentally a content company and theft of our brands, programming, digital content and other intellectual property has the potential to significantly affect us and the value of our content. Copyright theft is particularly prevalent in many parts of the world that lack effective copyright and technical protective measures similar to those existing in the United States or that lack effective enforcement of such measures, including some of the jurisdictions in which we operate. The interpretation of copyright, privacy and other laws as applied to our content, and piracy detection and enforcement efforts, remain in flux. The failure to strengthen, or the weakening of, existing intellectual property laws could make it more difficult for us to adequately protect our intellectual property and negatively affect its value and our results of operations.</w:t>
      </w:r>
    </w:p>
    <w:p>
      <w:pPr>
        <w:spacing w:after="0" w:line="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Content theft has been made easier by the wide availability of higher bandwidth and reduced storage costs, as well as tools that undermine security features such as encryption and the ability of pirates to cloak their identities online. In addition, we and our numerous production and distribution partners operate various technology systems in connection with the production and distribution of our programming, and intentional, or unintentional, acts could result in unauthorized access to our content, a disruption of our services, or improper disclosure of confidential information. The increasing use of digital formats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technologies heightens this risk. Unauthorized access to our content could result in the premature release of our programming, which may have a significant adverse effect on the value of the affected programming.</w:t>
      </w:r>
    </w:p>
    <w:p>
      <w:pPr>
        <w:spacing w:after="0" w:line="6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Copyright theft has an adverse effect on our business because it reduces the revenue that we are able to receive from the legitimate sale and distribution of our content, undermines lawful distribution channels and inhibits our ability to recoup or profit from the costs incurred to create such content. A change in the laws of one jurisdiction may also have an impact on our ability to protect our intellectual property rights across other jurisdictions. In addition, many parts of the world where piracy is prevalent lack effective copyright and other legal protections or enforcement measures. Efforts to prevent the unauthorized distribution, performance and copying of our content may affect our profitability and may not be successful in preventing harm to our business.</w:t>
      </w:r>
    </w:p>
    <w:p>
      <w:pPr>
        <w:spacing w:after="0" w:line="5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Litigation may be necessary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Our failure to protect our intellectual property rights, particularly our brand, in a meaningful manner or challenges to related contractual rights could result in erosion of our brand and limit our ability to control marketing of our networks, which could have a materially adverse effect on our business, financial condition and results of operations.</w:t>
      </w:r>
    </w:p>
    <w:p>
      <w:pPr>
        <w:spacing w:after="0" w:line="50"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b w:val="1"/>
          <w:bCs w:val="1"/>
          <w:i w:val="1"/>
          <w:iCs w:val="1"/>
          <w:color w:val="auto"/>
        </w:rPr>
        <w:t>Because a limited number of distributors account for a large portion of our business, failure to renew our programming networks' distribution agreements, renewal on less favorable terms, or the termination of those agreements, both in the United States and internationally, could have a material adverse effect on our business.</w:t>
      </w:r>
    </w:p>
    <w:p>
      <w:pPr>
        <w:spacing w:after="0" w:line="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programming networks depend upon agreements with a limited number of cable television system operators and other multichannel video programming distributors. The loss of any significant distributor could have a material adverse effect on our consolidated results of operations.</w:t>
      </w:r>
    </w:p>
    <w:p>
      <w:pPr>
        <w:spacing w:after="0" w:line="3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Currently our programming networks have distribution agreements with staggered expiration dates through 2026</w:t>
      </w:r>
      <w:r>
        <w:rPr>
          <w:rFonts w:ascii="Arial" w:cs="Arial" w:eastAsia="Arial" w:hAnsi="Arial"/>
          <w:sz w:val="16"/>
          <w:szCs w:val="16"/>
          <w:i w:val="1"/>
          <w:iCs w:val="1"/>
          <w:color w:val="auto"/>
        </w:rPr>
        <w:t>.</w:t>
      </w:r>
      <w:r>
        <w:rPr>
          <w:rFonts w:ascii="Arial" w:cs="Arial" w:eastAsia="Arial" w:hAnsi="Arial"/>
          <w:sz w:val="16"/>
          <w:szCs w:val="16"/>
          <w:color w:val="auto"/>
        </w:rPr>
        <w:t xml:space="preserve"> Failure to renew distribution agreements, or renewal on less favorable terms (including with respect to price, packaging, positioning and other marketing opportunities), or the termination of distribution agreements could have a material adverse effect on our results of operations</w:t>
      </w:r>
      <w:r>
        <w:rPr>
          <w:rFonts w:ascii="Arial" w:cs="Arial" w:eastAsia="Arial" w:hAnsi="Arial"/>
          <w:sz w:val="16"/>
          <w:szCs w:val="16"/>
          <w:i w:val="1"/>
          <w:iCs w:val="1"/>
          <w:color w:val="auto"/>
        </w:rPr>
        <w:t>.</w:t>
      </w:r>
      <w:r>
        <w:rPr>
          <w:rFonts w:ascii="Arial" w:cs="Arial" w:eastAsia="Arial" w:hAnsi="Arial"/>
          <w:sz w:val="16"/>
          <w:szCs w:val="16"/>
          <w:color w:val="auto"/>
        </w:rPr>
        <w:t xml:space="preserve"> A reduced distribution of our programming networks would adversely affect our distribution revenues, and impact our ability to sell advertising or the rates we charge for such advertising. Even if distribution agreements are renewed, there is no assurance that the renewal rates will equal or exceed the rates that we currently charge these distributors.</w:t>
      </w:r>
    </w:p>
    <w:p>
      <w:pPr>
        <w:spacing w:after="0" w:line="5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addition, we have, in some instances, made upfront payments to distributors in exchange for additional subscribers or have agreed to waive or accept lower subscription fees if certain numbers of additional subscribers are provided. We also may help fund our distributors' efforts to market our programming networks or we may permit distributors to offer promotional periods without payment of subscriber fees. As we continue our efforts to add viewing subscribers, our net revenues may be negatively affected by these deferred carriage fee arrangements, discounted subscriber fees or other payments.</w:t>
      </w:r>
    </w:p>
    <w:p>
      <w:pPr>
        <w:spacing w:after="0" w:line="46"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Consolidation among cable, satellite and telecommunications service providers has had, and could continue to have, an adverse effect on our revenue and profitability.</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Consolidation among cable and satellite distributors and telecommunications service providers has given the largest operators considerable leverage and market power in their relationships with programmers. We currently have agreements in place with the major U.S. cable and satellite operators and telecommunications service providers and this consolidation has affected, and could continue to affect, our ability to maximize the value of our content through those distributors. In addition, many of the countries and territories in which we distribute our networks also have a small number of dominant distributors.</w:t>
      </w:r>
    </w:p>
    <w:p>
      <w:pPr>
        <w:spacing w:after="0" w:line="8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connection with consolidation in the industry, in some cases, if a distributor is acquired, the agreement of the acquiring distributor will govern following the acquisition. In those circumstances, the acquisition of a distributor that is party to one or more distribution agreements with our programming networks on terms that are more favorable to us could adversely impact our financial condition and results of operations. Continued consolidation within the industry could reduce the number of distributors that carry our programming and further increase the negotiating leverage of the cable and satellite television system operators, which could have an adverse effect on our financial condition or results of operations.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subject to intense competition, which may have a negative effect on our profitability or on our ability to expand our business.</w:t>
      </w:r>
    </w:p>
    <w:p>
      <w:pPr>
        <w:spacing w:after="0" w:line="1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programming industry is highly competitive. Our programming networks compete with other programming networks and other types of video programming services for marketing and distribution by cable and other multichannel video programming distribution systems and ultimately for viewing by their subscribers. We compete with other providers of programming networks for the right to be carried by a particular cable or other multichannel video programming distribution system and for the right to be carried by such system on a particular "tier" of service. The increasing offerings by virtual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9" w:name="page20"/>
    <w:bookmarkEnd w:id="19"/>
    <w:p>
      <w:pPr>
        <w:jc w:val="both"/>
        <w:spacing w:after="0" w:line="308" w:lineRule="auto"/>
        <w:rPr>
          <w:sz w:val="20"/>
          <w:szCs w:val="20"/>
          <w:color w:val="auto"/>
        </w:rPr>
      </w:pPr>
      <w:r>
        <w:rPr>
          <w:rFonts w:ascii="Arial" w:cs="Arial" w:eastAsia="Arial" w:hAnsi="Arial"/>
          <w:sz w:val="17"/>
          <w:szCs w:val="17"/>
          <w:color w:val="auto"/>
        </w:rPr>
        <w:t>multichannel video programming distributors through alternative distribution methods creates competition for carriage on those platforms. Our programming networks compete with other programming networks and other sources of video content to secure desired entertainment programming.</w:t>
      </w:r>
    </w:p>
    <w:p>
      <w:pPr>
        <w:spacing w:after="0" w:line="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Competition for content, audiences and advertising is intense and comes from broadcast television, other cable networks, distributors, including subscription streaming services and virtual multichannel video programming services, social media content distributors, and other entertainment outlets and platforms, as well as from search, social networks, program guides and "second screen" applications.</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Increased competition from additional entrants into the market for development and production of original programming, such as Apple, Facebook, YouTube, Netflix, Amazon Prime and Hulu, increases our content costs as creating competing high quality, original content requires significant investment. In addition, as competition with these entrants for the creation and acquisition of quality programming continues to escalate, the complexity of negotiations over acquired rights to the content and the value of the rights we acquire or retain may increase, leading to increased acquisition costs, and our ability to successfully acquire content of the highest quality may face greater uncertainty.</w:t>
      </w:r>
    </w:p>
    <w:p>
      <w:pPr>
        <w:spacing w:after="0" w:line="8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ability to compete successfully depends on a number of factors, including our ability to create or acquire high quality and popular programs, adapt to new technologies and distribution platforms, and achieve widespread distribution for our content. More content consumption options increase competition for viewers as well as for programming and creative talent, which can decrease our audience ratings, and therefore potentially our advertising revenues.</w:t>
      </w:r>
    </w:p>
    <w:p>
      <w:pPr>
        <w:spacing w:after="0" w:line="3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Certain programming networks affiliated with broadcast networks like ABC, CBS, Fox or NBC or other key free-to-air programming networks in countries where our networks are distributed may have a competitive advantage over our programming networks in obtaining distribution through the "bundling" of carriage agreements for such programming networks with a distributor's right to carry the affiliated broadcasting network. In addition, our ability to compete with certain programming networks for distribution may be hampered because the cable television or other multichannel video programming distributors through which we seek distribution may be affiliated with these programming networks.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the affiliated distributors carry our programming networks, they may place their affiliated programming network on a more desirable tier, thereby giving their affiliated programming network a competitive advantage over our own. Our competitors could also have preferential access to important technologies, customer data or other competitive information.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6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our competitors include market participants with interests in multiple media businesses that are often vertically integrated, whereas our businesses generally rely on distribution relationships with third parties. As more cable and satellite operators, Internet service providers, subscription streaming services, other content distributors, aggregators and search providers create or acquire their own content, they may have significant competitive advantages, which could adversely affect our ability to negotiate favorable terms and distribution or otherwise compete effectively in the delivery marketplace. Our competitors could also have preferential access to important technologies, customer data or other competitive information.</w:t>
      </w:r>
    </w:p>
    <w:p>
      <w:pPr>
        <w:spacing w:after="0" w:line="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can be no assurance that we will be able to compete successfully in the future against existing or new competitors, or that competition will not have a material adverse effect on our business, financial condition or results of operations.</w:t>
      </w:r>
    </w:p>
    <w:p>
      <w:pPr>
        <w:spacing w:after="0" w:line="6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may not be able to adapt to new content distribution platforms and to changes in consumer behavior resulting from these new technologies, which may adversely affect our business.</w:t>
      </w:r>
    </w:p>
    <w:p>
      <w:pPr>
        <w:spacing w:after="0" w:line="6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must successfully adapt to technological advances in our industry, including alternative distribution platforms. Our ability to exploit new distribution platforms and viewing technologies will affect our ability to maintain or grow our business. New forms of content distribution may provide different economic models and compete with current distribution methods in ways that are not entirely predictable. Such competition has reduced and could continue to reduce demand for our traditional television offerings or for the offerings of digital platforms and, in turn, reduce our revenue from these sources. Accordingly, we must adapt to changing consumer behavior driven by advances such as virtual multichannel video programming distributors, video on demand, subscription video on demand, including services such as Netflix, Hulu, Apple TV, Google TV and Amazon Prime and mobile devices. Gaming and other consoles such as Microsoft's Xbox and Roku are establishing themselves as alternative providers of video services. Such changes may impact the revenues we are able to generate from our traditional distribution methods, either by decreasing the viewership of our programming networks on cable and other multichannel video programming distribution systems which are almost entirely directed at television video delivery or by making advertising on our programming networks less valuable to advertisers. If we fail to adapt our distribution methods and content to new technologies, our appeal to our targeted audiences might decline and there could be a negative effect on our business. In addition, advertising revenues could be significantly impacted by new technologies, since advertising sales are dependent 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audience measurement provided by third parties, and the results of audience measurement techniques can vary independent of the size of the audience for a variety of reasons, including difficulties related to the employed statistical sampling methods, new distribution platforms and viewing technologies, and the shifting of the marketplace to the use of measurement of different viewer behaviors, such as delayed viewing. Moreover, devices that allow users to fast forward or skip programming, including commercials, are causing changes in consumer behavior that may affect the desirability of our programming services to advertisers.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efforts to attract and retain SVOD subscribers may not be successful, which may adversely affect our business</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ability to continue to attract subscribers will depend in part on our ability to consistently provide compelling content choices, effectively market our SVOD services, as well as provide a quality experience for subscribers. Furthermore, the relative service levels, content offerings, pricing and related features of competitors to our service may adversely impact our ability to attract and retain subscribers. We must continually add new subscriptions both to replace canceled subscriptions and to grow our SVOD services beyond our current subscription base. While we permit multiple users within the same household to share a single account for noncommercial purposes, if account sharing is abused, our ability to add new subscribers may be hindered and our results of operations may be adversely impacted. If we do not grow as expected, given, in particular, that our content costs are largely fixed in nature and contracted over several years, we may not be able to adjust our expenditures or increase our (per subscription) revenues commensurate with the lowered growth rate such that our margins, liquidity and results of operation may be adversely impacted. If we are unable to successfully compete with current and new competitors in both retaining our existing subscriptions and attracting new subscriptions, our SVOD services will be adversely affected. Further, if excessive numbers of subscribers cancel our services, we may be required to incur significantly higher marketing expenditures than we currently anticipate to replace these subscribers with new subscribers.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Advertising market conditions in specific markets could cause our revenues and operating results to decline significantly in any given period.</w:t>
      </w:r>
    </w:p>
    <w:p>
      <w:pPr>
        <w:spacing w:after="0" w:line="1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derive substantial revenues from the sale of advertising on a variety of platforms, and a decline in advertising expenditures could have a significant adverse effect on our revenues and operating results in any given period. The strength of the advertising market can fluctuate in response to the economic prospects of specific advertisers or industries, advertisers' current spending priorities and the economy in general, and this may adversely affect the growth rate of our advertising revenues.</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the pricing and volume of advertising may be affected by shifts in spending toward online and mobile offerings from more traditional media, or toward new ways of purchasing advertising, such as through automated purchasing, dynamic advertising insertion, third parties selling local advertising spots and advertising exchanges, some or all of which may not be as advantageous to us as current advertising methods. The increasing number of entertainment choices available to consumers has intensified audience fragmentation and reduced the viewing of content through traditional and virtual multichannel video programming providers, which has caused, and may continue to cause, audience ratings declines for our programming networks and may adversely affect the pricing and volume of advertising</w:t>
      </w:r>
    </w:p>
    <w:p>
      <w:pPr>
        <w:spacing w:after="0" w:line="8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Advertising sales are dependent on audience measurement, and the results of audience measurement techniques can vary independent of the size of the audience for a variety of reasons, including variations in the employed statistical sampling methods. While Nielsen's statistical sampling method is the primary measurement technique used in our television advertising sales, we measure and monetize our campaign reach and frequency on and across digital platforms based on other third-party data using a variety of methods including the number of impressions served and demographics. In addition, multi-platform campaign verification is in its infancy, and viewership on tablets and smartphones, which is growing rapidly, is presently not measured by any one consistently applied method. These variations and changes could have a significant effect on advertising revenues.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face risks from doing business internationally.</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operations through which we distribute programming outside the United States. As a result, our business is subject to certain risks inherent in international business, many of which are beyond our control. These risks include:</w:t>
      </w:r>
    </w:p>
    <w:p>
      <w:pPr>
        <w:spacing w:after="0" w:line="62" w:lineRule="exact"/>
        <w:rPr>
          <w:sz w:val="20"/>
          <w:szCs w:val="20"/>
          <w:color w:val="auto"/>
        </w:rPr>
      </w:pPr>
    </w:p>
    <w:p>
      <w:pPr>
        <w:ind w:left="660" w:right="320" w:hanging="247"/>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and policies affecting trade and taxes, including laws and policies relating to the repatriation of funds and withholding taxes, and changes in these laws;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local regulatory requirements, including restrictions on content, imposition of local content quotas and restrictions on foreign ownership;</w:t>
      </w:r>
    </w:p>
    <w:p>
      <w:pPr>
        <w:spacing w:after="0" w:line="86" w:lineRule="exact"/>
        <w:rPr>
          <w:rFonts w:ascii="Arial" w:cs="Arial" w:eastAsia="Arial" w:hAnsi="Arial"/>
          <w:sz w:val="16"/>
          <w:szCs w:val="16"/>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exchange controls, tariffs and other trade barriers;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degrees of protection for intellectual property and varying attitudes towards the piracy of intellectual property;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1" w:name="page22"/>
    <w:bookmarkEnd w:id="21"/>
    <w:p>
      <w:pPr>
        <w:ind w:left="660" w:hanging="247"/>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foreign privacy and data protection laws and regulations, as well as data localization requirements, and changes in these laws and requirements;</w:t>
      </w:r>
    </w:p>
    <w:p>
      <w:pPr>
        <w:spacing w:after="0" w:line="86" w:lineRule="exact"/>
        <w:rPr>
          <w:rFonts w:ascii="Arial" w:cs="Arial" w:eastAsia="Arial" w:hAnsi="Arial"/>
          <w:sz w:val="16"/>
          <w:szCs w:val="16"/>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instability of foreign economies and governments;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 and acts of terrorism; and</w:t>
      </w:r>
    </w:p>
    <w:p>
      <w:pPr>
        <w:spacing w:after="0" w:line="63" w:lineRule="exact"/>
        <w:rPr>
          <w:rFonts w:ascii="Arial" w:cs="Arial" w:eastAsia="Arial" w:hAnsi="Arial"/>
          <w:sz w:val="18"/>
          <w:szCs w:val="18"/>
          <w:color w:val="auto"/>
        </w:rPr>
      </w:pPr>
    </w:p>
    <w:p>
      <w:pPr>
        <w:ind w:left="660" w:right="140" w:hanging="247"/>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anti-corruption laws and regulations such as the Foreign Corrupt Practices Act and the U.K. Bribery Act that impose stringent requirements on how we conduct our foreign operations and changes in these laws and regulations.</w:t>
      </w:r>
    </w:p>
    <w:p>
      <w:pPr>
        <w:spacing w:after="0" w:line="6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Events or developments related to the risks described above as well as other risks associated with international trade could adversely affect our revenues from non-U.S. sources, which could have a material adverse effect on our business, financial condition, operating results, liquidity and prospects.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Economic problems in the United States or in other parts of the world could adversely affect our results of operations.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business is affected by prevailing economic and financial conditions in the United States and other countries. We derive substantial revenues from advertisers, and these expenditures are sensitive to general economic conditions and consumer buying patterns. Financial instability or a general decline in economic conditions, including as a result of disruptions to financial markets, inflation, recession, high unemployment or geopolitical events in the United States and other countries where our networks are distributed could adversely affect advertising rates and volume, which may result in a decrease in our advertising revenues.</w:t>
      </w:r>
    </w:p>
    <w:p>
      <w:pPr>
        <w:spacing w:after="0" w:line="8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Decreases in consumer discretionary spending in the U.S and other countries where our networks are distributed may affect cable television and other video service subscriptions, in particular with respect to digital service tiers on which certain of our programming networks are carried. This could lead to a decrease in the number of subscribers receiving our programming from multichannel video programming distributors, which could, in turn, have a negative impact on our viewing subscribers and subscription fee revenues. Similarly, a decrease in viewing subscribers could have a negative impact on the number of viewers actually watching the programs on our programming networks, thereby impacting the rates we are able to charge advertisers.</w:t>
      </w:r>
    </w:p>
    <w:p>
      <w:pPr>
        <w:spacing w:after="0" w:line="10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Economic conditions affect a number of aspects of our businesses worldwide and impact the businesses of advertisers on our networks. Adverse economic conditions could result in advertisers reducing their spending on advertising and could also negatively affect the ability of those with whom we do business to satisfy their obligations to us. The worsening of current global economic conditions could adversely affect our business, financial condition or results of operations, and worsening of economic conditions in certain specific parts of the world could impact the expansion and success of our businesses in such areas. Furthermore, some foreign markets in which we operate may be more adversely affected by worsening economic conditions than the United States or other countries.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exchange rates could have an adverse effect on our results of operations.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significant operations in a number of foreign jurisdictions and certain of our operations are conducted in foreign currencies. The value of these currencies fluctuates relative to the U.S. dollar. As a result, we are exposed to exchange rate fluctuations, which have had, and may in the future have, an adverse effect on our results of operations in a given period.</w:t>
      </w:r>
    </w:p>
    <w:p>
      <w:pPr>
        <w:spacing w:after="0" w:line="7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Specifically, we are exposed to foreign currency exchange rate risk to the extent that we enter into transactions denominated in currencies other than ours or our subsidiaries' respective functional currencies, such as trade receivables, programming contracts, notes payable and notes receivable (including intercompany amounts) that are denominated in a currency other than the applicable functional currency. Changes in exchange rates with respect to amounts recorded in our consolidated balance sheets related to these items will result in unrealized or realized (based upon period-end exchange rates) foreign currency transaction gains or losses upon settlement of the transactions. Moreover, to the extent that our revenue, costs and expenses are denominated in currencies other than our or our subsidiaries' respective functional currencies, we will experience fluctuations in our revenue, costs and expenses solely as a result of changes in foreign currency exchange rates.</w:t>
      </w:r>
    </w:p>
    <w:p>
      <w:pPr>
        <w:spacing w:after="0" w:line="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We also are exposed to unfavorable and potentially volatile fluctuations of the U.S. dollar (our reporting currency) against the currencies of our non-U.S. dollar functional currency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foreign currency translation. Our primary exposure to foreign currency risk from a foreign currency translation perspective is to the euro, British pound and, to a lesser extent, other local currencies in Europe. We generally do not hedge against the risk that we may incur non-cash losses upon the translation of the financial statements of our non-U.S. dollar functional currency operating subsidiaries and affiliates into U.S. dollars.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2" w:name="page23"/>
    <w:bookmarkEnd w:id="22"/>
    <w:p>
      <w:pPr>
        <w:ind w:left="420"/>
        <w:spacing w:after="0"/>
        <w:rPr>
          <w:sz w:val="20"/>
          <w:szCs w:val="20"/>
          <w:color w:val="auto"/>
        </w:rPr>
      </w:pPr>
      <w:r>
        <w:rPr>
          <w:rFonts w:ascii="Arial" w:cs="Arial" w:eastAsia="Arial" w:hAnsi="Arial"/>
          <w:sz w:val="18"/>
          <w:szCs w:val="18"/>
          <w:b w:val="1"/>
          <w:bCs w:val="1"/>
          <w:i w:val="1"/>
          <w:iCs w:val="1"/>
          <w:color w:val="auto"/>
        </w:rPr>
        <w:t>Our business is limited by United States regulatory constraints which may adversely impact our operations.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Although most aspects of our business generally are not directly regulated by the FCC, there are certain FCC regulations that govern our business either directly or indirectly. See Item 1, "Business—Regulation" in this Annual Report. Furthermore, to the extent that regulations and laws, either presently in force or proposed, hinder or stimulate the growth of the cable television, satellite or other multichannel video programming distributors, our business could be affected.</w:t>
      </w:r>
    </w:p>
    <w:p>
      <w:pPr>
        <w:spacing w:after="0" w:line="79"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United States Congress and the FCC currently have under consideration, and may in the future adopt, new laws, regulations and policies regarding a wide variety of matters that could, directly or indirectly, affect our operations.</w:t>
      </w:r>
    </w:p>
    <w:p>
      <w:pPr>
        <w:spacing w:after="0" w:line="62"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The regulation of cable television services, satellite carriers, and other video programming distributors is subject to the political process and has been in constant flux over the past two decades. Further changes in the law and regulatory requirements, including material ones, may be proposed or adopted in the future. We cannot assure you that our business will not be adversely affected by future legislation, new regulation or deregulation.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businesses are subject to risks of adverse regulation by foreign governments.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Programming businesses are subject to the regulations of the countries in which they operate as well as international bodies, such as the European Union ("E.U."). These regulations may include restrictions on the types of advertisements that can be sold on our networks, programming content requirements, requirements to make programming available on non-discriminatory terms, local levies or taxes applied to our networks and local content quotas.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85"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Proposed or new legislation and regulations could also significantly affect our business. For example, the E.U. has adopted GDPR, which expands the regulation of personal data processing throughout the E.U. and significantly increases penalties for non-compliance. Complying with these laws and regulations could be costly, require us to change our business practices, or limit or restrict aspects of our business in a manner adverse to our business operations. In particular, data privacy laws may require monitoring of, and changes to, our practices related to the collection, use, disclosure and storage of personal information. Many of these laws and regulations continue to evolve, and sometimes conflict among the countries in which we operate, and substantial uncertainty surrounds their scope and application. Our failure to comply with these law and regulations could result in exposure to enforcement actions by foreign governments, as well as significant negative publicity and reputational damage.</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Adverse changes in rules and regulations could have a significant adverse impact on our profitability.</w:t>
      </w:r>
    </w:p>
    <w:p>
      <w:pPr>
        <w:spacing w:after="0" w:line="117"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As a company that has operations in the United Kingdom, the United Kingdom's withdrawal from the E.U., commonly known as "Brexit," could have an adverse impact on our business, results of operations and financial position.</w:t>
      </w:r>
    </w:p>
    <w:p>
      <w:pPr>
        <w:spacing w:after="0" w:line="6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On January 31 2020, the U.K. withdrew from the E.U., though the relationship between the U.K. and the E.U. beyond that date remains uncertain. Following the withdrawal, the U.K. and the E.U. have entered into an ongoing transition period to provide time for them to negotiate the details of their future relationship, during which time E.U. rules will continue to apply to the U.K. The transition period is currently expected to end on December 31, 2020, and, if no agreement is reached, the default scenario would be a "no deal" Brexit. In that event, the U.K. would leave the E.U. with no agreements in place other than any temporary agreements with the E.U. or individual E.U. member states. Accordingly, there continues to be uncertainty with respect to the process surrounding Brexit, the outcome of the ongoing Brexit negotiations and the future economic relationship between the U.K. and the rest of the world (including the E.U.). Brexit has affected, and may continue to impact, the markets we serve, which could cause us to lose subscribers, distributors and employees, as well as have a detrimental impact on the U.K. television advertising market and our U.K. revenue from advertising sales. If the U.K. loses access to the single E.U. market and the global trade deals negotiated by the E.U., there could be a detrimental impact on our U.K. business. Such a decline could also make our doing business in Europe more difficult, which could delay and reduce the scope of our distribution and licensing agreements. Without access to the single E.U. market, it may be more challenging and costly to obtain intellectual property rights for our content within the U.K. or distribute our services in Europe. In addition, Brexit could lead to legal uncertainty and potentially divergent national laws and regulations as the U.K. determines which E.U. laws to replace or replicate. If there are changes to U.K. immigration policy as a result of Brexit, this could affect the ability of our U.K. business to recruit the employees it requires.</w:t>
      </w:r>
    </w:p>
    <w:p>
      <w:pPr>
        <w:spacing w:after="0" w:line="77"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b w:val="1"/>
          <w:bCs w:val="1"/>
          <w:i w:val="1"/>
          <w:iCs w:val="1"/>
          <w:color w:val="auto"/>
        </w:rPr>
        <w:t>We face continually evolving cybersecurity risks, which could result in the disclosure, theft or destruction of confidential information, disruption of our programming, damage to our brands and reputation, legal exposure and financial losses.</w:t>
      </w:r>
    </w:p>
    <w:p>
      <w:pPr>
        <w:spacing w:after="0" w:line="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maintain information, including confidential and proprietary information regarding our content, distributors, advertisers, viewers and employees, in digital form as necessary to conduct our business. We also rely on third-party vendors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17"/>
          <w:szCs w:val="17"/>
          <w:color w:val="auto"/>
        </w:rPr>
        <w:t>provide certain services in connection with the storage, processing and transmission of digital information. Data maintained in digital form is subject to the risk of cybersecurity attacks, tampering and theft. We develop and maintain systems to monitor and prevent this from occurring, but the development and maintenance of these systems is costly and requires ongoing monitoring and updating as technologies change and efforts to overcome security measures become more sophisticated. Despite our efforts, the risks of a data breach cannot be entirely eliminated and our third-party vendors' information technology and other systems that maintain and transmit consumer, distributor, advertiser, Company, employee and other confidential information may be compromised by a malicious penetration of our network security, or that of a third party provider due to employee error, computer malware or ransomware, viruses, hacking and phishing attacks, or otherwise. Additionally, outside parties may attempt to fraudulently induce employees or users to disclose sensitive or confidential information in order to gain access to data.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our or our third-party providers' data systems are compromised, our ability to conduct our business may be impaired, we may lose profitable opportunities or the value of those opportunities may be diminished and, as described above, we may lose revenue as a result of unlicensed use of our intellectual property. Further, a penetration of our or our third-party providers' network security or other misappropriation or misuse of personal consumer or employee information could subject us to business, regulatory, litigation and reputation risk, which could have a negative effect on our business, financial condition and results of operations.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If our technology facilities fail or their operations are disrupted, or if we lose access to third party satellites, our performance could be hindered.</w:t>
      </w:r>
    </w:p>
    <w:p>
      <w:pPr>
        <w:spacing w:after="0" w:line="14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programming is transmitted using technology facilities at certain of our subsidiaries. These technology facilities are used for a variety of purposes, including signal processing, program editing, promotions, creation of programming segments to fill short gaps between featured programs, quality control, and live and recorded playback. These facilities are subject to interruption from fire, lightning, adverse weather conditions and other natural causes. Equipment failure, employee misconduct or outside interference could also disrupt the facilities' services. We maintain a full time disaster recovery site in Chandler, Arizona, which is capable of providing simultaneous playout of AMC and evergreen programming for SundanceTV, IFC and WE tv in the event of a disruption of operations at our main facility in Bethpage, NY. In the event of a catastrophic failure of the Bethpage facility, the disaster recovery site can be operational within one to two hours. Evergreen programming would be replaced with scheduled programming within 12-24 hours for SundanceTV, IFC and WE tv.</w:t>
      </w:r>
    </w:p>
    <w:p>
      <w:pPr>
        <w:spacing w:after="0" w:line="8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we rely on third-party satellites in order to transmit our programming signals to our distributors. As with all satellites, there is a risk that the satellites we use will be damaged as a result of natural or man-made causes, or will otherwise fail to operate properly. Although we maintain in-orbit protection providing us with back-up satellite transmission facilities should our primary satellites fail, there can be no assurance that such back-up transmission facilities will be effective or will not themselves fail. Further, there are a limited number of communications satellites available for the transmission of programming, and, in the event of a disruption, we may not be able to secure an alternate distribution source in a timely manner.</w:t>
      </w:r>
    </w:p>
    <w:p>
      <w:pPr>
        <w:spacing w:after="0" w:line="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Any significant interruption at any of our technology facilities affecting the distribution of our programming, or any failure in satellite transmission of our programming signals, could have an adverse effect on our operating results and financial condition.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any of our key personnel and artistic talent could adversely affect our business.</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believe that our success depends to a significant extent upon the performance of our senior executives and other key employees and on our ability to identify, attract, hire train and retain such personnel. We generally do not maintain "key man" insurance, and there is no assurance of the continued services of our senior executives or other key employees. In addition, we depend on the availability of third-party production companies to create some of our original programming. For certain of our productions, through in-house and third party production service companies, we engage the services of writers, directors, actors and various crew members who are subject to certain specially negotiated collective bargaining agreements. Any labor disputes or a strike by one or more unions representing any of these parties who are essential to our original programming could have a material adverse effect on our original programming, disrupt our operations and reduce our revenues. The loss of any significant personnel or artistic talent, or our artistic talent losing their audience base, could also have a material adverse effect on our business.</w:t>
      </w:r>
    </w:p>
    <w:p>
      <w:pPr>
        <w:spacing w:after="0" w:line="206"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inability to successfully make investments in, and/or acquire and integrate, other businesses, assets, products or technologies could harm our business, financial condition or operating results.</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success may depend on opportunities to buy other businesses or technologies that could complement, enhance or expand our current business or products or that might otherwise offer us growth opportunities. We have acquired, and have made strategic investments in, a number of companies (including through joint ventures) in the past, and we expect to make additional acquisitions and strategic investments in the future. Such transactions may result in dilutive issuances of our equity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securities, use of our cash resources, and incurrence of debt and amortization expenses related to intangible assets. Any acquisitions and strategic investments that we are able to identify and complete may be accompanied by a number of risks, including:</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difficulty of assimilating the operations and personnel of acquired companies into our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incurrence of additional operating losses and operating expenses of the businesses we acquired or in which we invested;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difficulty of integrating acquired technology and rights into our services and unanticipated expenses related to such integration;</w:t>
      </w:r>
    </w:p>
    <w:p>
      <w:pPr>
        <w:spacing w:after="0" w:line="63"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to successfully further develop an acquired business or technology and any resulting impairment of amounts currently capitalized as intangible assets;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strategic investments to perform as expected or to meet financial projections;</w:t>
      </w:r>
    </w:p>
    <w:p>
      <w:pPr>
        <w:spacing w:after="0" w:line="63"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for patent and trademark infringement and data privacy and security claims against the acquired companies, or companies in which we have invested;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other claims in connection with acquisitions, acquired companies, or companies in which we have invested;</w:t>
      </w:r>
    </w:p>
    <w:p>
      <w:pPr>
        <w:spacing w:after="0" w:line="6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8"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impairment of relationships with, or failure to retain, employees of acquired companies or our existing employees as a result of integration of new personnel;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difficulty of integrating operations, systems, and controls as a result of cultural, regulatory, systems, and operational differences;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management of companies in which we invest but do not control;</w:t>
      </w:r>
    </w:p>
    <w:p>
      <w:pPr>
        <w:spacing w:after="0" w:line="6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foreign acquisitions and investments, the impact of particular economic, tax, currency, political, legal and regulatory risks associated with specific countries; and</w:t>
      </w:r>
    </w:p>
    <w:p>
      <w:pPr>
        <w:spacing w:after="0" w:line="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have exposure to additional tax liabilities.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are subject to income taxes as well as non-income based taxes, such as payroll, sales, use, value-added, net worth, property and goods and services taxes, in both the United States and various foreign jurisdictions.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both the United States and various foreign jurisdictions. Although we believe that our tax estimates are reasonable,</w:t>
      </w:r>
    </w:p>
    <w:p>
      <w:pPr>
        <w:spacing w:after="0" w:line="2" w:lineRule="exact"/>
        <w:rPr>
          <w:sz w:val="20"/>
          <w:szCs w:val="20"/>
          <w:color w:val="auto"/>
        </w:rPr>
      </w:pPr>
    </w:p>
    <w:p>
      <w:pPr>
        <w:jc w:val="both"/>
        <w:ind w:firstLine="8"/>
        <w:spacing w:after="0" w:line="255" w:lineRule="auto"/>
        <w:tabs>
          <w:tab w:leader="none" w:pos="2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no assurance that the final determination of tax audits or tax disputes will not be different from what is reflected in our historical income tax provisions, expense amounts for non-income based taxes and accruals and (2) any material differences could have an adverse effect on our financial position and results of operations in the period or periods for which determination is made.</w:t>
      </w:r>
    </w:p>
    <w:p>
      <w:pPr>
        <w:spacing w:after="0" w:line="8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Although a portion of our revenue and operating income is generated outside the United States, we are subject to potential current U.S. income tax on this income due to our being a U.S. corporation, resulting in potentially higher effective tax rate for the Company. This includes (i) what is referred to as "Subpart F Income," which generally includes, but is not limited to, such items as interest, dividends, royalties, gains from the disposition of certain property, certain currency exchange gains in excess of currency exchange losses, and certain related party sales and services income and (ii) what is referred to as “global intangible low-taxed income,” which generally equals certain foreign earnings in excess of 10 percent of the foreign subsidiaries’ tangible business assets. While we may mitigate any potential negative impacts of the aforementioned regimes through claiming a foreign tax credit against our U.S. federal income taxes or potentially have foreign or U.S. taxes reduced under applicable income tax treaties, we are subject to various limitations on claiming foreign tax credits or we may lack treaty protections in certain jurisdictions that will potentially limit any reduction of the increased effective tax rate. A higher effective tax rate may also result to the extent that losses are incurred in non-U.S. subsidiaries that do not reduce our U.S. taxable income.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5" w:name="page26"/>
    <w:bookmarkEnd w:id="25"/>
    <w:p>
      <w:pPr>
        <w:jc w:val="both"/>
        <w:ind w:firstLine="405"/>
        <w:spacing w:after="0" w:line="293" w:lineRule="auto"/>
        <w:rPr>
          <w:sz w:val="20"/>
          <w:szCs w:val="20"/>
          <w:color w:val="auto"/>
        </w:rPr>
      </w:pPr>
      <w:r>
        <w:rPr>
          <w:rFonts w:ascii="Arial" w:cs="Arial" w:eastAsia="Arial" w:hAnsi="Arial"/>
          <w:sz w:val="16"/>
          <w:szCs w:val="16"/>
          <w:color w:val="auto"/>
        </w:rPr>
        <w:t>We are subject to changing tax laws, treaties and regulations in and between countries in which we operate, including treaties between the United States and other nations. A change in these tax laws, treaties or regulations, including those in and involving the United States, or in the interpretation thereof, could result in a materially higher or lower income or non-income tax expense. Also, various income tax proposals in the countries in which we operate, such as those relating to fundamental U.S. international tax reform and measures in response to the economic uncertainty in certain European jurisdictions in which we operate, could result in changes to the existing tax laws under which our taxes are calculated. We are unable to predict whether any of these or other proposals in the United States or foreign jurisdictions will ultimately be enacted. Any such changes could negatively impact our business.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 significant amount of our book value consists of intangible assets that may not generate cash in the event of a voluntary or involuntary sale.</w:t>
      </w:r>
    </w:p>
    <w:p>
      <w:pPr>
        <w:spacing w:after="0" w:line="140"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At December 31, 2019, our consolidated financial statements included approximately $5.6 billion of consolidated total assets, of which approximately $1.2 billion were classified as intangible assets. Intangible assets primarily include affiliation agreements and affiliate relationships, advertiser relationships, trademarks and goodwill. While we believe that the carrying values of our intangible assets are recoverable, there is no assurance that we would receive any cash from the voluntary or involuntary sale of these intangible assets, particularly if we were not continuing as an operating business.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substantial long-term debt and high leverage could adversely affect our business.</w:t>
      </w:r>
    </w:p>
    <w:p>
      <w:pPr>
        <w:spacing w:after="0" w:line="11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have a significant amount of long-term debt. As of December 31, 2019, we had $3.1 billion principal amount of total long-term debt (excluding finance leases), $731.3 million of which is senior secured debt under our Credit Facility and $2.4 billion of which is senior unsecured debt.</w:t>
      </w:r>
    </w:p>
    <w:p>
      <w:pPr>
        <w:spacing w:after="0" w:line="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make payments on, or repay or refinance, our debt, and to fund planned distributions and capital expenditures, will depend largely upon our future operating performance. Our future performance, to a certain extent, is subject to general economic, financial, competitive, regulatory and other factors that are beyond our control. In addition, our ability to borrow funds in the future to make payments on our debt will depend on the satisfaction of the covenants in the Credit Facility and our other debt agreements, including the indentures governing our notes and other agreements we may enter into in the future.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substantial amount of debt could have important consequences. For example, it could:</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63" w:lineRule="exact"/>
        <w:rPr>
          <w:rFonts w:ascii="Arial" w:cs="Arial" w:eastAsia="Arial" w:hAnsi="Arial"/>
          <w:sz w:val="18"/>
          <w:szCs w:val="18"/>
          <w:color w:val="auto"/>
        </w:rPr>
      </w:pPr>
    </w:p>
    <w:p>
      <w:pPr>
        <w:ind w:left="660" w:right="20" w:hanging="328"/>
        <w:spacing w:after="0" w:line="26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programming investments, capital expenditures, working capital, business activities and other general corporate requirements;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long-term, we do not expect to generate sufficient cash from operations to repay at maturity our outstanding debt obligations. As a result, we will be dependent upon our ability to access the capital and credit markets. Failure to raise significant amounts of funding to repay these obligations at maturity could adversely affect our business. If we are unable to raise such amounts, we would need to take other actions including selling assets, seeking strategic investments from third parties or reducing other discretionary uses of cash. The Credit Facility and indentures governing our notes will restrict, and market or business conditions may limit, our ability to do some of these things.</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significant portion of our debt bears interest at variable rates. While we have entered into hedging agreements limiting our exposure to higher interest rates, such agreements do not offer complete protection from this risk.</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agreements governing our debt contain various covenants that impose restrictions on us that may affect our ability to operate our business.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agreements governing the Credit Facility and the indentures governing our notes contain covenants that, among other things, limit our ability to:</w:t>
      </w:r>
    </w:p>
    <w:p>
      <w:pPr>
        <w:spacing w:after="0" w:line="8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on or redeem or repurchase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specified types of investments;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6" w:name="page27"/>
    <w:bookmarkEnd w:id="26"/>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Credit Facility requires us to comply with a Cash Flow Ratio and an Interest Coverage Ratio, each as defined in the Credit Facility. Compliance with these covenants may limit our ability to take actions that might be to our advantage or to the advantage of our stockholders.</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covenants and maintain these financial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85"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Despite our current levels of debt, we may still be able to incur substantially more debt. This could further exacerbate the risks associated with our substantial debt.</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may be able to incur additional debt in the future. The terms of the Credit Facility and indentures governing our notes allow us to incur substantial amounts of additional debt, subject to certain limitations. In addition, as we have in the past, we may in the future refinance all or a portion of our debt, including borrowings under the Credit Facility, and obtain the ability to incur more debt as a result. If new debt is added to our current debt levels, the related risks we could face would be magnified.</w:t>
      </w:r>
    </w:p>
    <w:p>
      <w:pPr>
        <w:spacing w:after="0" w:line="7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securities by rating agencies may further increase our future borrowing costs and reduce our access to capital.</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debt ratings for our notes are below the "investment grade" category, which results in higher borrowing costs as well as a reduced pool of potential purchasers of our debt as some investors will not purchase debt securities that are not rated "investment grade". In addition, there can be no assurance that any rating assigned will remain for any given period of time or that a rating will not be lowered or withdrawn entirely by a rating agency, if in that rating agency's judgment, future circumstances, such as adverse changes to economic conditions that could impact an issuer's ability to meet its financial commitments, so warrant. A lowering or withdrawal of the ratings assigned to our debt securities may further increase our future borrowing costs and reduce our access to capital.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Controlled Ownership</w:t>
      </w:r>
    </w:p>
    <w:p>
      <w:pPr>
        <w:spacing w:after="0" w:line="121" w:lineRule="exact"/>
        <w:rPr>
          <w:sz w:val="20"/>
          <w:szCs w:val="20"/>
          <w:color w:val="auto"/>
        </w:rPr>
      </w:pPr>
    </w:p>
    <w:p>
      <w:pPr>
        <w:ind w:left="420" w:right="260"/>
        <w:spacing w:after="0" w:line="375" w:lineRule="auto"/>
        <w:rPr>
          <w:sz w:val="20"/>
          <w:szCs w:val="20"/>
          <w:color w:val="auto"/>
        </w:rPr>
      </w:pPr>
      <w:r>
        <w:rPr>
          <w:rFonts w:ascii="Arial" w:cs="Arial" w:eastAsia="Arial" w:hAnsi="Arial"/>
          <w:sz w:val="15"/>
          <w:szCs w:val="15"/>
          <w:b w:val="1"/>
          <w:bCs w:val="1"/>
          <w:i w:val="1"/>
          <w:iCs w:val="1"/>
          <w:color w:val="auto"/>
        </w:rPr>
        <w:t>We are controlled by the Dolan family and trusts for their benefit, which may create certain conflicts of interest. In addition, as a result of their control, the Dolan family has the ability to prevent or cause a change in control or approve, prevent or influence certain actions by the Company.</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two classes of common stock:</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 A Common Stock, which is entitled to one vote per share and is entitled collectively to elect 25% of our Board of Directors.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 B Common Stock, which is generally entitled to ten votes per share and is entitled collectively to elect the remaining 75% of our Board of Directors.</w:t>
      </w:r>
    </w:p>
    <w:p>
      <w:pPr>
        <w:spacing w:after="0" w:line="62"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As of December 31, 2019, the Dolan family, including trusts for the benefit of members of the Dolan family (collectively "the Dolan Family Group"), own all of our Class B Common Stock, approximately 2% of our outstanding Class A Common Stock and approximately 73% of the total voting power of all our outstanding common stock. The members of the Dolan Family Group have executed a voting agreement (the "Stockholders Agreement") that has the effect of causing the voting power of the holders of our Class B Common Stock to be cast as provided therein with respect to all matters to be voted on by holders of Class B Common Stock. Under the Stockholders Agreement, the shares of Class B Common Stock owned by members of the Dolan Family Group are to be voted on all matters in accordance with the determination of the Dolan Family Committee, except that the decisions of the Dolan Family Committee are non-binding with respect to the Class B Common Stock owned by certain Dolan family trusts (the "Excluded Trusts") that collectively own 48% of the outstanding Class B Common Stock. The Dolan Family Committee consists of Charles F. Dolan and his six children, James L. Dolan, Thomas C. Dolan, Patrick F. Dolan, Kathleen M. Dolan, Marianne E. Dolan and Deborah A. Dolan-Sweeney (collectively, the "Dolan Siblings"). The Dolan Family Committee generally acts by vote of a majority of the Dolan Siblings, except that a vote on a going-private transaction must be approved by a two-thirds vote of the Dolan siblings and a vote on a change-in-control transaction must be approved by not less than all but one of the Dolan Siblings. The Dolan Family Group is able to prevent a change in control of our Company and no person interested in acquiring us would be able to do so without obtaining the consent of the Dolan Family Group.</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7" w:name="page28"/>
    <w:bookmarkEnd w:id="27"/>
    <w:p>
      <w:pPr>
        <w:jc w:val="both"/>
        <w:ind w:firstLine="446"/>
        <w:spacing w:after="0" w:line="286" w:lineRule="auto"/>
        <w:rPr>
          <w:sz w:val="20"/>
          <w:szCs w:val="20"/>
          <w:color w:val="auto"/>
        </w:rPr>
      </w:pPr>
      <w:r>
        <w:rPr>
          <w:rFonts w:ascii="Arial" w:cs="Arial" w:eastAsia="Arial" w:hAnsi="Arial"/>
          <w:sz w:val="17"/>
          <w:szCs w:val="17"/>
          <w:color w:val="auto"/>
        </w:rPr>
        <w:t>Shares of Class B Common Stock owned by Excluded Trusts are to be voted on all matters in accordance with the determination of the Excluded Trusts holding a majority of the Class B Common Stock held by all Excluded Trusts, except in the case of a vote on a going-private transaction or a change in control transaction, in which case a vote of trusts holding two-thirds of the Class B Common Stock owned by Excluded Trusts is required.</w:t>
      </w:r>
    </w:p>
    <w:p>
      <w:pPr>
        <w:spacing w:after="0" w:line="5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Dolan Family Group by virtue of their stock ownership, have the power to elect all of our directors subject to election by holders of Class B Common Stock and are able collectively to control stockholder decisions on matters on which holders of all classes of our common stock vote together as a single class. These matters could include the amendment of some provisions of our certificate of incorporation and the approval of fundamental corporate transactions.</w:t>
      </w:r>
    </w:p>
    <w:p>
      <w:pPr>
        <w:spacing w:after="0" w:line="79"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addition, the affirmative vote or consent of the holders of at least 66 2/3% of the outstanding shares of the Class B Common Stock, voting separately as a class, is required to approve:</w:t>
      </w:r>
    </w:p>
    <w:p>
      <w:pPr>
        <w:spacing w:after="0" w:line="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authorization or issuance of any additional shares of Class B Common Stock, and</w:t>
      </w:r>
    </w:p>
    <w:p>
      <w:pPr>
        <w:spacing w:after="0" w:line="63"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amendment, alteration or repeal of any of the provisions of our certificate of incorporation that adversely affects the powers, preferences or rights of the Class B Common Stock.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Dolan Family Group has the power to prevent such issuance or amendment.</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have adopted a written policy whereby an independent committee of our Board of Directors will review and approve or take such other action as it may deem appropriate with respect to certain transactions involving the Company and its subsidiaries, on the one hand, and certain related parties, including Charles F. Dolan and certain of his family members and related entities on the other hand. This policy does not address all possible conflicts which may arise, and there can be no assurance that this policy will be effective in dealing with conflict scenarios.</w:t>
      </w:r>
    </w:p>
    <w:p>
      <w:pPr>
        <w:spacing w:after="0" w:line="7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are a "controlled company" for the purposes of The NASDAQ Stock Market LLC, which allows us not to comply with certain of the corporate governance rules of The NASDAQ Stock Market LLC.</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Members of the Dolan Family Group have entered into the Stockholders Agreement, which relates to, among other things, the voting and transfer of their shares of our Class B Common Stock. As a result, we are a "controlled company" under the corporate governance rules of The NASDAQ Stock Market LLC ("NASDAQ"). As a controlled company, we have the right to elect not to comply with the corporate governance rules of NASDAQ requiring: (i) a majority of independent directors on our Board of Directors, (ii) an independent compensation committee and (iii) an independent corporate governance and nominating committee. Our Board of Directors has elected for the Company to be treated as a "controlled company" under NASDAQ corporate governance rules and not to comply with the NASDAQ requirement for a majority independent board of directors and an independent corporate governance and nominating committee because of our status as a controlled company.</w:t>
      </w:r>
    </w:p>
    <w:p>
      <w:pPr>
        <w:spacing w:after="0" w:line="81"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Future stock sales, including as a result of the exercise of registration rights by certain of our shareholders, could adversely affect the trading price of our Class A Common Stock.</w:t>
      </w:r>
    </w:p>
    <w:p>
      <w:pPr>
        <w:spacing w:after="0" w:line="62"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Certain parties have registration rights covering a portion of our shares. We have entered into registration rights agreements with Charles F. Dolan, members of his family, certain Dolan family interests and the Dolan Family Foundations that provide them with "demand" and "piggyback" registration rights with respect to approximately 12.6 million shares of Class A Common Stock, including shares issuable upon conversion of shares of Class B Common Stock. Sales of a substantial number of shares of Class A Common Stock, including sales pursuant to these registration rights agreements, could adversely affect the market price of the Class A Common Stock and could impair our future ability to raise capital through an offering of our equity securities.</w:t>
      </w:r>
    </w:p>
    <w:p>
      <w:pPr>
        <w:spacing w:after="0" w:line="50"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share certain executives and directors with The Madison Square Garden Company("MSG") and MSG Networks Inc.("MSG Networks"), which may give rise to conflicts.</w:t>
      </w:r>
    </w:p>
    <w:p>
      <w:pPr>
        <w:spacing w:after="0" w:line="62"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One of our executives, Gregg G. Seibert, serves as a Vice Chairman of the Company and as a Vice Chairman of MSG and MSG Networks (collectively MSG and MSG Networks, the "Other Entities"). Each of the Other Entities and the Company are affiliates by virtue of being under common control of the Dolan family. As a result, he will not be devoting his full time and attention to the Company's affairs. Six members of our Board of Directors are directors of MSG and four members of our Board of Directors are directors of MSG Networks. These directors may have actual or apparent conflicts of interest with respect to matters involving or affecting each company. For example, the potential for a conflict of interest exists when we on one hand, and either MSG or MSG Networks (each, an Other Entity) on the other hand, consider acquisitions and other corporate opportunities that may be suitable for us and for the Other Entity. Also, conflicts may arise if there are issues or disputes under the commercial arrangements that exist between the Other Entities and us. In addition, certain of our directors and officers own stock, restricted stock units and options to purchase stock in one or more of the Other Entities, as well as cash performance awards with any payout based on the performance of one or more of the Other Entities. These ownership interests could create actual, apparent or potential conflicts of interest when these individuals are faced with decisions that could have different implications for our Company and one or more of the Other Entities. See "Certain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—Certain Relationships and Potential Conflicts of Interest" in our proxy statement filed with the SEC on April 29, 2019 for a description of our related party transaction approval policy that we have adopted to help address such potential conflicts that may arise.</w:t>
      </w:r>
    </w:p>
    <w:p>
      <w:pPr>
        <w:spacing w:after="0" w:line="62" w:lineRule="exact"/>
        <w:rPr>
          <w:sz w:val="20"/>
          <w:szCs w:val="20"/>
          <w:color w:val="auto"/>
        </w:rPr>
      </w:pPr>
    </w:p>
    <w:p>
      <w:pPr>
        <w:ind w:left="420"/>
        <w:spacing w:after="0" w:line="308" w:lineRule="auto"/>
        <w:rPr>
          <w:sz w:val="20"/>
          <w:szCs w:val="20"/>
          <w:color w:val="auto"/>
        </w:rPr>
      </w:pPr>
      <w:r>
        <w:rPr>
          <w:rFonts w:ascii="Arial" w:cs="Arial" w:eastAsia="Arial" w:hAnsi="Arial"/>
          <w:sz w:val="17"/>
          <w:szCs w:val="17"/>
          <w:b w:val="1"/>
          <w:bCs w:val="1"/>
          <w:i w:val="1"/>
          <w:iCs w:val="1"/>
          <w:color w:val="auto"/>
        </w:rPr>
        <w:t>Our overlapping directors and executives with the Other Entities may result in the diversion of corporate opportunities to and other conflicts with the Other Entities and provisions in our governance documents may provide us no remedy in that circumstance.</w:t>
      </w:r>
    </w:p>
    <w:p>
      <w:pPr>
        <w:spacing w:after="0" w:line="38"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Our amended and restated certificate of incorporation acknowledges that directors and officers of the Company may also be serving as directors, officers, employees, consultants or agents of MSG and its subsidiaries and that we may engage in material business transactions with such entity. Our policy concerning certain matters relating to MSG Networks, including responsibilities of overlapping directors and officers (the "overlap policy" and together with the applicable provisions of the amended and restated certificate of incorporation, the "Overlap Provisions") acknowledges that directors and officers of the Company may also be serving as directors, officers, employees, consultants or agents of MSG Networks and its subsidiaries and that we may engage in material business transactions with such entity. The Company has renounced its rights to certain business opportunities and the Overlap Provisions provide that no director or officer of the Company who is also serving as a director, officer, employee, consultant or agent of an Other Entity or any subsidiary of an Other Entity will be liable to the Company or its stockholders for breach of any fiduciary duty that would otherwise exist by reason of the fact that such individual directs a corporate opportunity (other than certain limited types of opportunities set forth in our amended and restated certificate of incorporation) to the Other Entity or any of its subsidiaries, or does not refer or communicate information regarding such corporate opportunities to the Company. The Overlap Provisions also expressly validate certain contracts, agreements, assignments and transactions (and amendments, modifications or terminations thereof) between the Company and the Other Entities and their subsidiaries and, to the fullest extent permitted by law, provide that the actions of the overlapping directors or officers in connection therewith are not breaches of fiduciary duties owed to the Company, any of its subsidiaries or their respective stockholders.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We lease approximately 657,000 square feet of space in the U.S., including approximately 326,000 square feet of office space that we lease at 11 Penn Plaza, New York, NY 10001, under lease arrangements with remaining terms through 2027. We use this space as our corporate headquarters and as the principal business location of our Company. We also lease approximately 67,000 square-feet of space for our broadcasting and technology center in Bethpage, New York under a lease arrangement with a term through 2029, from which AMC Networks Broadcasting &amp; Technology conducts its operations. In addition, we lease other properties in New York, California, Florida, Maryland and Illinois.</w:t>
      </w:r>
    </w:p>
    <w:p>
      <w:pPr>
        <w:spacing w:after="0" w:line="6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 lease approximately 195,000 square feet of space outside of the U.S., including in Spain, Hungary and the United Kingdom that support our international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properties are adequate for our use.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9" w:name="page30"/>
    <w:bookmarkEnd w:id="29"/>
    <w:p>
      <w:pPr>
        <w:jc w:val="both"/>
        <w:ind w:firstLine="446"/>
        <w:spacing w:after="0" w:line="270" w:lineRule="auto"/>
        <w:rPr>
          <w:sz w:val="20"/>
          <w:szCs w:val="20"/>
          <w:color w:val="auto"/>
        </w:rPr>
      </w:pPr>
      <w:r>
        <w:rPr>
          <w:rFonts w:ascii="Arial" w:cs="Arial" w:eastAsia="Arial" w:hAnsi="Arial"/>
          <w:sz w:val="17"/>
          <w:szCs w:val="17"/>
          <w:color w:val="auto"/>
        </w:rPr>
        <w:t xml:space="preserve">On January 18, 2018, the 2013 Plaintiffs filed a second action in New York Supreme Court in connection with Darabont’s services on </w:t>
      </w:r>
      <w:r>
        <w:rPr>
          <w:rFonts w:ascii="Arial" w:cs="Arial" w:eastAsia="Arial" w:hAnsi="Arial"/>
          <w:sz w:val="17"/>
          <w:szCs w:val="17"/>
          <w:i w:val="1"/>
          <w:iCs w:val="1"/>
          <w:color w:val="auto"/>
        </w:rPr>
        <w:t>The Walking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Dead </w:t>
      </w:r>
      <w:r>
        <w:rPr>
          <w:rFonts w:ascii="Arial" w:cs="Arial" w:eastAsia="Arial" w:hAnsi="Arial"/>
          <w:sz w:val="17"/>
          <w:szCs w:val="17"/>
          <w:color w:val="auto"/>
        </w:rPr>
        <w:t>television series and agreements between the parties related thereto. The claims in the action allegedly arise from Plaintiffs' audit of their participation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covering the accounting period from inception of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Complaint, and on September 19, 2018, the Company answered. The parties have agreed to consolidate this action for a joint trial with the action Plaintiffs filed in the New York Supreme Court on December 17, 2013. Following the conclusion of discovery, the Company filed a motion for summary judgment seeking the dismissal of the second action which is expected to be fully briefed by March 2, 2020. Pending the outcome of the Company’s motion for summary judgment, the trial is scheduled to begin on June 1, 2020.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70"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Fear the Walking Dead</w:t>
      </w:r>
      <w:r>
        <w:rPr>
          <w:rFonts w:ascii="Arial" w:cs="Arial" w:eastAsia="Arial" w:hAnsi="Arial"/>
          <w:sz w:val="16"/>
          <w:szCs w:val="16"/>
          <w:color w:val="auto"/>
        </w:rPr>
        <w:t xml:space="preserve"> and/or </w:t>
      </w:r>
      <w:r>
        <w:rPr>
          <w:rFonts w:ascii="Arial" w:cs="Arial" w:eastAsia="Arial" w:hAnsi="Arial"/>
          <w:sz w:val="16"/>
          <w:szCs w:val="16"/>
          <w:i w:val="1"/>
          <w:iCs w:val="1"/>
          <w:color w:val="auto"/>
        </w:rPr>
        <w:t>Talking Dead</w:t>
      </w:r>
      <w:r>
        <w:rPr>
          <w:rFonts w:ascii="Arial" w:cs="Arial" w:eastAsia="Arial" w:hAnsi="Arial"/>
          <w:sz w:val="16"/>
          <w:szCs w:val="16"/>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On August 8, 2019, the judge in the California Action ordered a trial to resolve certain issues of contract interpretation only. Such trial commenced on February 10, 2020 and is expected to conclude on March 9 and 10, 2020. At this time, no determination can be made as to the ultimate outcome of this litigation or the potential liability, if any, on the part of the Company.</w:t>
      </w:r>
    </w:p>
    <w:p>
      <w:pPr>
        <w:spacing w:after="0" w:line="6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0" w:name="page31"/>
    <w:bookmarkEnd w:id="30"/>
    <w:p>
      <w:pPr>
        <w:ind w:left="54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Our Class A Common Stock is listed on NASDAQ under the symbol "AMCX." Our Class B Common Stock is not listed on any exchange. Our Class A Common Stock began trading on NASDAQ on July 1, 2011.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Performance Graph</w:t>
      </w:r>
    </w:p>
    <w:p>
      <w:pPr>
        <w:spacing w:after="0" w:line="117"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The following graph compares the performance of the Company's Class A Common Stock with the performance of the S&amp;P Mid-Cap 400 Index and a peer group (the "Peer Group Index") by measuring the changes in our Class A Common Stock prices from July 1, 2011, the first day our Class A Common Stock began regular-way trading on NASDAQ, through December 31, 2019. Because no published index of comparable media companies currently reports values on a dividends-reinvested basis, the Company has created a Peer Group Index for purposes of this graph in accordance with the requirements of the SEC. The Peer Group Index is made up of companies that engage in cable television programming as a significant element of their business, although not all of the companies included in the Peer Group Index participate in all of the lines of business in which the Company is engaged, and some of the companies included in the Peer Group Index also engage in lines of business in which the Company does not participate. Additionally, the market capitalizations of many of the companies included in the Peer Group are quite different from that of the Company. The common stocks of the following companies have been included in the Peer Group Index: Discovery Inc., the Walt Disney Company, Fox Corporation (included from March 19, 2019, when trading began), Lions Gate Entertainment Corporation, and ViacomCBS Inc. The chart assumes $100 was invested on December 31, 2014 in each of: i) Company's Class A Common Stock, ii) the S&amp;P Mid-Cap 400 Index, and iii) in this Peer Group weighted by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204470</wp:posOffset>
            </wp:positionV>
            <wp:extent cx="5625465" cy="3198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2546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INDEXED RETURNS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Period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Company Name / Index</w:t>
            </w:r>
          </w:p>
        </w:tc>
        <w:tc>
          <w:tcPr>
            <w:tcW w:w="120" w:type="dxa"/>
            <w:vAlign w:val="bottom"/>
            <w:vMerge w:val="restart"/>
          </w:tcPr>
          <w:p>
            <w:pPr>
              <w:spacing w:after="0"/>
              <w:rPr>
                <w:sz w:val="13"/>
                <w:szCs w:val="13"/>
                <w:color w:val="auto"/>
              </w:rPr>
            </w:pPr>
          </w:p>
        </w:tc>
        <w:tc>
          <w:tcPr>
            <w:tcW w:w="1260" w:type="dxa"/>
            <w:vAlign w:val="bottom"/>
            <w:gridSpan w:val="2"/>
          </w:tcPr>
          <w:p>
            <w:pPr>
              <w:ind w:left="220"/>
              <w:spacing w:after="0" w:line="156" w:lineRule="exact"/>
              <w:rPr>
                <w:sz w:val="20"/>
                <w:szCs w:val="20"/>
                <w:color w:val="auto"/>
              </w:rPr>
            </w:pPr>
            <w:r>
              <w:rPr>
                <w:rFonts w:ascii="Arial" w:cs="Arial" w:eastAsia="Arial" w:hAnsi="Arial"/>
                <w:sz w:val="14"/>
                <w:szCs w:val="14"/>
                <w:b w:val="1"/>
                <w:bCs w:val="1"/>
                <w:color w:val="auto"/>
              </w:rPr>
              <w:t>Base Period</w:t>
            </w:r>
          </w:p>
        </w:tc>
        <w:tc>
          <w:tcPr>
            <w:tcW w:w="11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12/31/15</w:t>
            </w:r>
          </w:p>
        </w:tc>
        <w:tc>
          <w:tcPr>
            <w:tcW w:w="120" w:type="dxa"/>
            <w:vAlign w:val="bottom"/>
          </w:tcPr>
          <w:p>
            <w:pPr>
              <w:spacing w:after="0"/>
              <w:rPr>
                <w:sz w:val="13"/>
                <w:szCs w:val="13"/>
                <w:color w:val="auto"/>
              </w:rPr>
            </w:pPr>
          </w:p>
        </w:tc>
        <w:tc>
          <w:tcPr>
            <w:tcW w:w="11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12/31/16</w:t>
            </w:r>
          </w:p>
        </w:tc>
        <w:tc>
          <w:tcPr>
            <w:tcW w:w="100" w:type="dxa"/>
            <w:vAlign w:val="bottom"/>
          </w:tcPr>
          <w:p>
            <w:pPr>
              <w:spacing w:after="0"/>
              <w:rPr>
                <w:sz w:val="13"/>
                <w:szCs w:val="13"/>
                <w:color w:val="auto"/>
              </w:rPr>
            </w:pPr>
          </w:p>
        </w:tc>
        <w:tc>
          <w:tcPr>
            <w:tcW w:w="11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12/31/17</w:t>
            </w:r>
          </w:p>
        </w:tc>
        <w:tc>
          <w:tcPr>
            <w:tcW w:w="120" w:type="dxa"/>
            <w:vAlign w:val="bottom"/>
          </w:tcPr>
          <w:p>
            <w:pPr>
              <w:spacing w:after="0"/>
              <w:rPr>
                <w:sz w:val="13"/>
                <w:szCs w:val="13"/>
                <w:color w:val="auto"/>
              </w:rPr>
            </w:pPr>
          </w:p>
        </w:tc>
        <w:tc>
          <w:tcPr>
            <w:tcW w:w="11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12/31/18</w:t>
            </w:r>
          </w:p>
        </w:tc>
        <w:tc>
          <w:tcPr>
            <w:tcW w:w="100" w:type="dxa"/>
            <w:vAlign w:val="bottom"/>
          </w:tcPr>
          <w:p>
            <w:pPr>
              <w:spacing w:after="0"/>
              <w:rPr>
                <w:sz w:val="13"/>
                <w:szCs w:val="13"/>
                <w:color w:val="auto"/>
              </w:rPr>
            </w:pPr>
          </w:p>
        </w:tc>
        <w:tc>
          <w:tcPr>
            <w:tcW w:w="11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12/31/19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12/31/14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AMC Networks Inc.</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87"/>
              </w:rPr>
              <w:t>117.11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8"/>
                <w:szCs w:val="18"/>
                <w:color w:val="auto"/>
                <w:w w:val="93"/>
              </w:rPr>
              <w:t>82.08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88"/>
              </w:rPr>
              <w:t>84.80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93"/>
              </w:rPr>
              <w:t>86.06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88"/>
              </w:rPr>
              <w:t>61.94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S&amp;P MidCap 400 Index</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21"/>
                <w:szCs w:val="21"/>
                <w:color w:val="auto"/>
              </w:rPr>
            </w:pPr>
          </w:p>
        </w:tc>
        <w:tc>
          <w:tcPr>
            <w:tcW w:w="1160" w:type="dxa"/>
            <w:vAlign w:val="bottom"/>
          </w:tcPr>
          <w:p>
            <w:pPr>
              <w:jc w:val="center"/>
              <w:ind w:right="34"/>
              <w:spacing w:after="0"/>
              <w:rPr>
                <w:sz w:val="20"/>
                <w:szCs w:val="20"/>
                <w:color w:val="auto"/>
              </w:rPr>
            </w:pPr>
            <w:r>
              <w:rPr>
                <w:rFonts w:ascii="Arial" w:cs="Arial" w:eastAsia="Arial" w:hAnsi="Arial"/>
                <w:sz w:val="18"/>
                <w:szCs w:val="18"/>
                <w:color w:val="auto"/>
                <w:w w:val="88"/>
              </w:rPr>
              <w:t>97.82</w:t>
            </w:r>
          </w:p>
        </w:tc>
        <w:tc>
          <w:tcPr>
            <w:tcW w:w="120" w:type="dxa"/>
            <w:vAlign w:val="bottom"/>
          </w:tcPr>
          <w:p>
            <w:pPr>
              <w:spacing w:after="0"/>
              <w:rPr>
                <w:sz w:val="21"/>
                <w:szCs w:val="21"/>
                <w:color w:val="auto"/>
              </w:rPr>
            </w:pPr>
          </w:p>
        </w:tc>
        <w:tc>
          <w:tcPr>
            <w:tcW w:w="1160" w:type="dxa"/>
            <w:vAlign w:val="bottom"/>
          </w:tcPr>
          <w:p>
            <w:pPr>
              <w:jc w:val="center"/>
              <w:ind w:right="59"/>
              <w:spacing w:after="0"/>
              <w:rPr>
                <w:sz w:val="20"/>
                <w:szCs w:val="20"/>
                <w:color w:val="auto"/>
              </w:rPr>
            </w:pPr>
            <w:r>
              <w:rPr>
                <w:rFonts w:ascii="Arial" w:cs="Arial" w:eastAsia="Arial" w:hAnsi="Arial"/>
                <w:sz w:val="18"/>
                <w:szCs w:val="18"/>
                <w:color w:val="auto"/>
                <w:w w:val="90"/>
              </w:rPr>
              <w:t>118.11</w:t>
            </w:r>
          </w:p>
        </w:tc>
        <w:tc>
          <w:tcPr>
            <w:tcW w:w="100" w:type="dxa"/>
            <w:vAlign w:val="bottom"/>
          </w:tcPr>
          <w:p>
            <w:pPr>
              <w:spacing w:after="0"/>
              <w:rPr>
                <w:sz w:val="21"/>
                <w:szCs w:val="21"/>
                <w:color w:val="auto"/>
              </w:rPr>
            </w:pPr>
          </w:p>
        </w:tc>
        <w:tc>
          <w:tcPr>
            <w:tcW w:w="1160" w:type="dxa"/>
            <w:vAlign w:val="bottom"/>
          </w:tcPr>
          <w:p>
            <w:pPr>
              <w:jc w:val="center"/>
              <w:ind w:right="34"/>
              <w:spacing w:after="0"/>
              <w:rPr>
                <w:sz w:val="20"/>
                <w:szCs w:val="20"/>
                <w:color w:val="auto"/>
              </w:rPr>
            </w:pPr>
            <w:r>
              <w:rPr>
                <w:rFonts w:ascii="Arial" w:cs="Arial" w:eastAsia="Arial" w:hAnsi="Arial"/>
                <w:sz w:val="18"/>
                <w:szCs w:val="18"/>
                <w:color w:val="auto"/>
                <w:w w:val="87"/>
              </w:rPr>
              <w:t>137.30</w:t>
            </w:r>
          </w:p>
        </w:tc>
        <w:tc>
          <w:tcPr>
            <w:tcW w:w="120" w:type="dxa"/>
            <w:vAlign w:val="bottom"/>
          </w:tcPr>
          <w:p>
            <w:pPr>
              <w:spacing w:after="0"/>
              <w:rPr>
                <w:sz w:val="21"/>
                <w:szCs w:val="21"/>
                <w:color w:val="auto"/>
              </w:rPr>
            </w:pPr>
          </w:p>
        </w:tc>
        <w:tc>
          <w:tcPr>
            <w:tcW w:w="1160" w:type="dxa"/>
            <w:vAlign w:val="bottom"/>
          </w:tcPr>
          <w:p>
            <w:pPr>
              <w:jc w:val="center"/>
              <w:ind w:right="54"/>
              <w:spacing w:after="0"/>
              <w:rPr>
                <w:sz w:val="20"/>
                <w:szCs w:val="20"/>
                <w:color w:val="auto"/>
              </w:rPr>
            </w:pPr>
            <w:r>
              <w:rPr>
                <w:rFonts w:ascii="Arial" w:cs="Arial" w:eastAsia="Arial" w:hAnsi="Arial"/>
                <w:sz w:val="18"/>
                <w:szCs w:val="18"/>
                <w:color w:val="auto"/>
                <w:w w:val="90"/>
              </w:rPr>
              <w:t>122.08</w:t>
            </w:r>
          </w:p>
        </w:tc>
        <w:tc>
          <w:tcPr>
            <w:tcW w:w="100" w:type="dxa"/>
            <w:vAlign w:val="bottom"/>
          </w:tcPr>
          <w:p>
            <w:pPr>
              <w:spacing w:after="0"/>
              <w:rPr>
                <w:sz w:val="21"/>
                <w:szCs w:val="21"/>
                <w:color w:val="auto"/>
              </w:rPr>
            </w:pPr>
          </w:p>
        </w:tc>
        <w:tc>
          <w:tcPr>
            <w:tcW w:w="1160" w:type="dxa"/>
            <w:vAlign w:val="bottom"/>
          </w:tcPr>
          <w:p>
            <w:pPr>
              <w:jc w:val="center"/>
              <w:ind w:right="34"/>
              <w:spacing w:after="0"/>
              <w:rPr>
                <w:sz w:val="20"/>
                <w:szCs w:val="20"/>
                <w:color w:val="auto"/>
              </w:rPr>
            </w:pPr>
            <w:r>
              <w:rPr>
                <w:rFonts w:ascii="Arial" w:cs="Arial" w:eastAsia="Arial" w:hAnsi="Arial"/>
                <w:sz w:val="18"/>
                <w:szCs w:val="18"/>
                <w:color w:val="auto"/>
                <w:w w:val="87"/>
              </w:rPr>
              <w:t>154.07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87"/>
              </w:rPr>
              <w:t>105.45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8"/>
                <w:szCs w:val="18"/>
                <w:color w:val="auto"/>
                <w:w w:val="90"/>
              </w:rPr>
              <w:t>110.25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87"/>
              </w:rPr>
              <w:t>112.22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74"/>
              <w:spacing w:after="0"/>
              <w:rPr>
                <w:sz w:val="20"/>
                <w:szCs w:val="20"/>
                <w:color w:val="auto"/>
              </w:rPr>
            </w:pPr>
            <w:r>
              <w:rPr>
                <w:rFonts w:ascii="Arial" w:cs="Arial" w:eastAsia="Arial" w:hAnsi="Arial"/>
                <w:sz w:val="18"/>
                <w:szCs w:val="18"/>
                <w:color w:val="auto"/>
                <w:w w:val="87"/>
              </w:rPr>
              <w:t>111.13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87"/>
              </w:rPr>
              <w:t>139.32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43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1" w:name="page32"/>
    <w:bookmarkEnd w:id="31"/>
    <w:p>
      <w:pPr>
        <w:jc w:val="both"/>
        <w:ind w:firstLine="446"/>
        <w:spacing w:after="0" w:line="264"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73" w:lineRule="exact"/>
        <w:rPr>
          <w:sz w:val="20"/>
          <w:szCs w:val="20"/>
          <w:color w:val="auto"/>
        </w:rPr>
      </w:pPr>
    </w:p>
    <w:p>
      <w:pPr>
        <w:ind w:left="460" w:right="460"/>
        <w:spacing w:after="0" w:line="375" w:lineRule="auto"/>
        <w:rPr>
          <w:sz w:val="20"/>
          <w:szCs w:val="20"/>
          <w:color w:val="auto"/>
        </w:rPr>
      </w:pPr>
      <w:r>
        <w:rPr>
          <w:rFonts w:ascii="Arial" w:cs="Arial" w:eastAsia="Arial" w:hAnsi="Arial"/>
          <w:sz w:val="18"/>
          <w:szCs w:val="18"/>
          <w:color w:val="auto"/>
        </w:rPr>
        <w:t xml:space="preserve">As of February 14, 2020 there were 661 holders of record of our Class A Common Stock and 33 holders of record of our Class B Common Stock. </w:t>
      </w:r>
      <w:r>
        <w:rPr>
          <w:rFonts w:ascii="Arial" w:cs="Arial" w:eastAsia="Arial" w:hAnsi="Arial"/>
          <w:sz w:val="18"/>
          <w:szCs w:val="18"/>
          <w:u w:val="single" w:color="auto"/>
          <w:color w:val="auto"/>
        </w:rPr>
        <w:t>Stock Repurchase Program</w:t>
      </w:r>
    </w:p>
    <w:p>
      <w:pPr>
        <w:spacing w:after="0" w:line="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Company's Board of Directors has authorized a program to repurchase up to $1.5 billion of the Company's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 For the year ended December 31, 2019, the Company repurchased 1.3 million shares of its Class A common stock at an average purchase price of $54.24 per share. As of December 31, 2019, the Company has $488.8 million available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The operating data for each of the three years ended December 31, 2019 and balance sheet data as of December 31, 2019 and 2018 included in the table below have been derived from the audited consolidated financial statements of the Company included in this Annual Report and should be read in conjunction with Item 7, "Management's Discussion and Analysis of Financial Condition and Results of Operations" and the accompanying consolidated financial statements and related notes. The operating data for the years ended December 31, 2016 and 2015 and balance sheet data as of December 31, 2017, 2016 and 2015 included in the table below have been derived from the audited consolidated financial statements of the Company, not included in this Annual Report.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4"/>
                <w:szCs w:val="14"/>
                <w:b w:val="1"/>
                <w:bCs w:val="1"/>
                <w:color w:val="auto"/>
                <w:w w:val="92"/>
              </w:rPr>
              <w:t>Years Ended December 31,</w:t>
            </w: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9"/>
        </w:trPr>
        <w:tc>
          <w:tcPr>
            <w:tcW w:w="4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2"/>
              <w:spacing w:after="0" w:line="189" w:lineRule="exact"/>
              <w:rPr>
                <w:sz w:val="20"/>
                <w:szCs w:val="20"/>
                <w:color w:val="auto"/>
              </w:rPr>
            </w:pPr>
            <w:r>
              <w:rPr>
                <w:rFonts w:ascii="Arial" w:cs="Arial" w:eastAsia="Arial" w:hAnsi="Arial"/>
                <w:sz w:val="21"/>
                <w:szCs w:val="21"/>
                <w:b w:val="1"/>
                <w:bCs w:val="1"/>
                <w:color w:val="auto"/>
                <w:vertAlign w:val="subscript"/>
              </w:rPr>
              <w:t>2019</w:t>
            </w:r>
            <w:r>
              <w:rPr>
                <w:rFonts w:ascii="Arial" w:cs="Arial" w:eastAsia="Arial" w:hAnsi="Arial"/>
                <w:sz w:val="8"/>
                <w:szCs w:val="8"/>
                <w:b w:val="1"/>
                <w:bCs w:val="1"/>
                <w:color w:val="auto"/>
              </w:rPr>
              <w:t xml:space="preserve"> (1)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3"/>
              <w:spacing w:after="0" w:line="189" w:lineRule="exact"/>
              <w:rPr>
                <w:sz w:val="20"/>
                <w:szCs w:val="20"/>
                <w:color w:val="auto"/>
              </w:rPr>
            </w:pPr>
            <w:r>
              <w:rPr>
                <w:rFonts w:ascii="Arial" w:cs="Arial" w:eastAsia="Arial" w:hAnsi="Arial"/>
                <w:sz w:val="21"/>
                <w:szCs w:val="21"/>
                <w:b w:val="1"/>
                <w:bCs w:val="1"/>
                <w:color w:val="auto"/>
                <w:vertAlign w:val="subscript"/>
              </w:rPr>
              <w:t>2018</w:t>
            </w:r>
            <w:r>
              <w:rPr>
                <w:rFonts w:ascii="Arial" w:cs="Arial" w:eastAsia="Arial" w:hAnsi="Arial"/>
                <w:sz w:val="8"/>
                <w:szCs w:val="8"/>
                <w:b w:val="1"/>
                <w:bCs w:val="1"/>
                <w:color w:val="auto"/>
              </w:rPr>
              <w:t xml:space="preserve"> (1) (2)</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2"/>
              <w:spacing w:after="0" w:line="189" w:lineRule="exact"/>
              <w:rPr>
                <w:sz w:val="20"/>
                <w:szCs w:val="20"/>
                <w:color w:val="auto"/>
              </w:rPr>
            </w:pPr>
            <w:r>
              <w:rPr>
                <w:rFonts w:ascii="Arial" w:cs="Arial" w:eastAsia="Arial" w:hAnsi="Arial"/>
                <w:sz w:val="21"/>
                <w:szCs w:val="21"/>
                <w:b w:val="1"/>
                <w:bCs w:val="1"/>
                <w:color w:val="auto"/>
                <w:vertAlign w:val="subscript"/>
              </w:rPr>
              <w:t>2017</w:t>
            </w:r>
            <w:r>
              <w:rPr>
                <w:rFonts w:ascii="Arial" w:cs="Arial" w:eastAsia="Arial" w:hAnsi="Arial"/>
                <w:sz w:val="8"/>
                <w:szCs w:val="8"/>
                <w:b w:val="1"/>
                <w:bCs w:val="1"/>
                <w:color w:val="auto"/>
              </w:rPr>
              <w:t xml:space="preserve"> (1) (2)</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9"/>
                <w:szCs w:val="9"/>
                <w:b w:val="1"/>
                <w:bCs w:val="1"/>
                <w:color w:val="auto"/>
              </w:rPr>
              <w:t>(2)</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9"/>
                <w:szCs w:val="9"/>
                <w:b w:val="1"/>
                <w:bCs w:val="1"/>
                <w:color w:val="auto"/>
              </w:rPr>
              <w:t>(2)</w:t>
            </w:r>
          </w:p>
        </w:tc>
      </w:tr>
      <w:tr>
        <w:trPr>
          <w:trHeight w:val="190"/>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Data:</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Revenues,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3,060,321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2,971,929</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2,805,691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2,755,654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2,580,935</w:t>
            </w:r>
          </w:p>
        </w:tc>
      </w:tr>
      <w:tr>
        <w:trPr>
          <w:trHeight w:val="33"/>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625,277</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726,909</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722,359</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657,556</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709,193</w:t>
            </w: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Net income including noncontrolling interests</w:t>
            </w:r>
          </w:p>
        </w:tc>
        <w:tc>
          <w:tcPr>
            <w:tcW w:w="240" w:type="dxa"/>
            <w:vAlign w:val="bottom"/>
          </w:tcPr>
          <w:p>
            <w:pPr>
              <w:spacing w:after="0"/>
              <w:rPr>
                <w:sz w:val="19"/>
                <w:szCs w:val="19"/>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407,716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463,967</w:t>
            </w:r>
          </w:p>
        </w:tc>
        <w:tc>
          <w:tcPr>
            <w:tcW w:w="420" w:type="dxa"/>
            <w:vAlign w:val="bottom"/>
          </w:tcPr>
          <w:p>
            <w:pPr>
              <w:spacing w:after="0"/>
              <w:rPr>
                <w:sz w:val="19"/>
                <w:szCs w:val="19"/>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489,637</w:t>
            </w:r>
          </w:p>
        </w:tc>
        <w:tc>
          <w:tcPr>
            <w:tcW w:w="360" w:type="dxa"/>
            <w:vAlign w:val="bottom"/>
          </w:tcPr>
          <w:p>
            <w:pPr>
              <w:spacing w:after="0"/>
              <w:rPr>
                <w:sz w:val="19"/>
                <w:szCs w:val="19"/>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289,963</w:t>
            </w:r>
          </w:p>
        </w:tc>
        <w:tc>
          <w:tcPr>
            <w:tcW w:w="36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381,704</w:t>
            </w:r>
          </w:p>
        </w:tc>
      </w:tr>
      <w:tr>
        <w:trPr>
          <w:trHeight w:val="33"/>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(27,230)</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(17,780)</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(18,321)</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(19,453)</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(14,916)</w:t>
            </w: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Net income attributable to AMC Networks' stockholders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380,486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446,187</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471,316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270,510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366,788</w:t>
            </w:r>
          </w:p>
        </w:tc>
      </w:tr>
      <w:tr>
        <w:trPr>
          <w:trHeight w:val="33"/>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2"/>
        </w:trPr>
        <w:tc>
          <w:tcPr>
            <w:tcW w:w="4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w w:val="97"/>
              </w:rPr>
              <w:t>Net income per share attributable to AMC Networks' stockholders: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3"/>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6.77</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7.26</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3.77</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5.06</w:t>
            </w: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6.67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7.57</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7.18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3.74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5.01</w:t>
            </w:r>
          </w:p>
        </w:tc>
      </w:tr>
      <w:tr>
        <w:trPr>
          <w:trHeight w:val="33"/>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 at period end:</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816,170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554,886</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558,783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481,389</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316,321</w:t>
            </w:r>
          </w:p>
        </w:tc>
      </w:tr>
      <w:tr>
        <w:trPr>
          <w:trHeight w:val="33"/>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5,596,686</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5,278,563</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5,032,985</w:t>
            </w: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4,480,595</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4,250,609</w:t>
            </w: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Long-term debt (including finance/capital leases)</w:t>
            </w:r>
          </w:p>
        </w:tc>
        <w:tc>
          <w:tcPr>
            <w:tcW w:w="240" w:type="dxa"/>
            <w:vAlign w:val="bottom"/>
          </w:tcPr>
          <w:p>
            <w:pPr>
              <w:spacing w:after="0"/>
              <w:rPr>
                <w:sz w:val="19"/>
                <w:szCs w:val="19"/>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3,117,494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3,136,072</w:t>
            </w:r>
          </w:p>
        </w:tc>
        <w:tc>
          <w:tcPr>
            <w:tcW w:w="420" w:type="dxa"/>
            <w:vAlign w:val="bottom"/>
          </w:tcPr>
          <w:p>
            <w:pPr>
              <w:spacing w:after="0"/>
              <w:rPr>
                <w:sz w:val="19"/>
                <w:szCs w:val="19"/>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3,130,381</w:t>
            </w:r>
          </w:p>
        </w:tc>
        <w:tc>
          <w:tcPr>
            <w:tcW w:w="360" w:type="dxa"/>
            <w:vAlign w:val="bottom"/>
          </w:tcPr>
          <w:p>
            <w:pPr>
              <w:spacing w:after="0"/>
              <w:rPr>
                <w:sz w:val="19"/>
                <w:szCs w:val="19"/>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2,859,129</w:t>
            </w:r>
          </w:p>
        </w:tc>
        <w:tc>
          <w:tcPr>
            <w:tcW w:w="36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2,701,148</w:t>
            </w:r>
          </w:p>
        </w:tc>
      </w:tr>
      <w:tr>
        <w:trPr>
          <w:trHeight w:val="33"/>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(deficiency)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665,781</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316,680</w:t>
            </w: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134,944</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(30,082)</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(39,277)</w:t>
            </w:r>
          </w:p>
        </w:tc>
      </w:tr>
      <w:tr>
        <w:trPr>
          <w:trHeight w:val="33"/>
        </w:trPr>
        <w:tc>
          <w:tcPr>
            <w:tcW w:w="4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260" w:hanging="252"/>
        <w:spacing w:after="0" w:line="227" w:lineRule="auto"/>
        <w:tabs>
          <w:tab w:leader="none" w:pos="203"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The 2019, 2018 and 2017 results include impairment and related charges of $106.6 million, $4.5 million and $28.1 million, respectively (see Note 4 to the accompanying consolidated financial statements).</w:t>
      </w:r>
    </w:p>
    <w:p>
      <w:pPr>
        <w:spacing w:after="0" w:line="94" w:lineRule="exact"/>
        <w:rPr>
          <w:rFonts w:ascii="Arial" w:cs="Arial" w:eastAsia="Arial" w:hAnsi="Arial"/>
          <w:sz w:val="23"/>
          <w:szCs w:val="23"/>
          <w:color w:val="auto"/>
          <w:vertAlign w:val="superscript"/>
        </w:rPr>
      </w:pPr>
    </w:p>
    <w:p>
      <w:pPr>
        <w:jc w:val="both"/>
        <w:ind w:left="260" w:hanging="252"/>
        <w:spacing w:after="0" w:line="234" w:lineRule="auto"/>
        <w:tabs>
          <w:tab w:leader="none" w:pos="20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The 2019, 2018 and 2017 results include restructuring and other related charges of $40.9 million, $45.8 million and $6.1 million, respectively (see Note 5 to the accompanying consolidated financial statements). The 2016 and 2015 results include restructuring and other related charges of $29.5 million and $15.0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or MD&amp;A, is a supplement to and should be read in conjunction with the accompanying consolidated financial statements and related notes. Our MD&amp;A is provided to enhance the understanding of our financial condition, changes in financial condition and results of our operations and is organized as follows:</w:t>
      </w:r>
    </w:p>
    <w:p>
      <w:pPr>
        <w:spacing w:after="0" w:line="7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i w:val="1"/>
          <w:iCs w:val="1"/>
          <w:color w:val="auto"/>
        </w:rPr>
        <w:t>Business Overview</w:t>
      </w:r>
      <w:r>
        <w:rPr>
          <w:rFonts w:ascii="Arial" w:cs="Arial" w:eastAsia="Arial" w:hAnsi="Arial"/>
          <w:sz w:val="18"/>
          <w:szCs w:val="18"/>
          <w:color w:val="auto"/>
        </w:rPr>
        <w:t>. 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62" w:lineRule="exact"/>
        <w:rPr>
          <w:sz w:val="20"/>
          <w:szCs w:val="20"/>
          <w:color w:val="auto"/>
        </w:rPr>
      </w:pPr>
    </w:p>
    <w:p>
      <w:pPr>
        <w:ind w:firstLine="446"/>
        <w:spacing w:after="0" w:line="342" w:lineRule="auto"/>
        <w:rPr>
          <w:sz w:val="20"/>
          <w:szCs w:val="20"/>
          <w:color w:val="auto"/>
        </w:rPr>
      </w:pPr>
      <w:r>
        <w:rPr>
          <w:rFonts w:ascii="Arial" w:cs="Arial" w:eastAsia="Arial" w:hAnsi="Arial"/>
          <w:sz w:val="16"/>
          <w:szCs w:val="16"/>
          <w:i w:val="1"/>
          <w:iCs w:val="1"/>
          <w:color w:val="auto"/>
        </w:rPr>
        <w:t>Consolidated Results of Operations</w:t>
      </w:r>
      <w:r>
        <w:rPr>
          <w:rFonts w:ascii="Arial" w:cs="Arial" w:eastAsia="Arial" w:hAnsi="Arial"/>
          <w:sz w:val="16"/>
          <w:szCs w:val="16"/>
          <w:color w:val="auto"/>
        </w:rPr>
        <w:t>. This section provides an analysis of our results of operations for the years ended December 31, 2019, 2018 and</w:t>
      </w:r>
      <w:r>
        <w:rPr>
          <w:rFonts w:ascii="Arial" w:cs="Arial" w:eastAsia="Arial" w:hAnsi="Arial"/>
          <w:sz w:val="16"/>
          <w:szCs w:val="16"/>
          <w:i w:val="1"/>
          <w:iCs w:val="1"/>
          <w:color w:val="auto"/>
        </w:rPr>
        <w:t xml:space="preserve"> </w:t>
      </w:r>
      <w:r>
        <w:rPr>
          <w:rFonts w:ascii="Arial" w:cs="Arial" w:eastAsia="Arial" w:hAnsi="Arial"/>
          <w:sz w:val="16"/>
          <w:szCs w:val="16"/>
          <w:color w:val="auto"/>
        </w:rPr>
        <w:t>2017. Our discussion is presented on both a consolidated and segment basis. Our two segments are: (i) National Networks and (ii) International and Other.</w:t>
      </w:r>
    </w:p>
    <w:p>
      <w:pPr>
        <w:spacing w:after="0" w:line="16"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This section provides a discussion of our financial condition as of December 31, 2019 as well as an analysis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for the years ended December 31, 2019, 2018 and 2017. The discussion of our financial condition and liquidity includes summaries of (i) our primary sources of liquidity and (ii) our contractual obligations and off balance sheet arrangements that existed at December 31, 2019.</w:t>
      </w:r>
    </w:p>
    <w:p>
      <w:pPr>
        <w:spacing w:after="0" w:line="5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 discussion of our accounting policies considered to be important to an</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financial condition and results of operations, and which require significant judgment and estimates on the part of management in their application.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660" w:hanging="328"/>
        <w:spacing w:after="0" w:line="302" w:lineRule="auto"/>
        <w:tabs>
          <w:tab w:leader="none" w:pos="655"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and also include our AMC Premiere service. Our AMC Studios operation produces original programming for our programming networks and also licenses such programming worldwide. AMC Networks Broadcasting &amp; Technology is our technical services business, which primarily services most of the national programming networks.</w:t>
      </w:r>
    </w:p>
    <w:p>
      <w:pPr>
        <w:spacing w:after="0" w:line="46" w:lineRule="exact"/>
        <w:rPr>
          <w:rFonts w:ascii="Arial" w:cs="Arial" w:eastAsia="Arial" w:hAnsi="Arial"/>
          <w:sz w:val="16"/>
          <w:szCs w:val="16"/>
          <w:i w:val="1"/>
          <w:iCs w:val="1"/>
          <w:color w:val="auto"/>
        </w:rPr>
      </w:pPr>
    </w:p>
    <w:p>
      <w:pPr>
        <w:ind w:left="660" w:hanging="328"/>
        <w:spacing w:after="0"/>
        <w:tabs>
          <w:tab w:leader="none" w:pos="66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International and Other</w:t>
      </w:r>
      <w:r>
        <w:rPr>
          <w:rFonts w:ascii="Arial" w:cs="Arial" w:eastAsia="Arial" w:hAnsi="Arial"/>
          <w:sz w:val="16"/>
          <w:szCs w:val="16"/>
          <w:color w:val="auto"/>
        </w:rPr>
        <w:t>: Includes AMCNI, our international programming businesses consisting of a portfolio of channels around the world; AMC</w:t>
      </w:r>
    </w:p>
    <w:p>
      <w:pPr>
        <w:spacing w:after="0" w:line="46" w:lineRule="exact"/>
        <w:rPr>
          <w:rFonts w:ascii="Arial" w:cs="Arial" w:eastAsia="Arial" w:hAnsi="Arial"/>
          <w:sz w:val="16"/>
          <w:szCs w:val="16"/>
          <w:i w:val="1"/>
          <w:iCs w:val="1"/>
          <w:color w:val="auto"/>
        </w:rPr>
      </w:pPr>
    </w:p>
    <w:p>
      <w:pPr>
        <w:ind w:left="660" w:right="20"/>
        <w:spacing w:after="0" w:line="261" w:lineRule="auto"/>
        <w:rPr>
          <w:rFonts w:ascii="Arial" w:cs="Arial" w:eastAsia="Arial" w:hAnsi="Arial"/>
          <w:sz w:val="16"/>
          <w:szCs w:val="16"/>
          <w:i w:val="1"/>
          <w:iCs w:val="1"/>
          <w:color w:val="auto"/>
        </w:rPr>
      </w:pPr>
      <w:r>
        <w:rPr>
          <w:rFonts w:ascii="Arial" w:cs="Arial" w:eastAsia="Arial" w:hAnsi="Arial"/>
          <w:sz w:val="18"/>
          <w:szCs w:val="18"/>
          <w:color w:val="auto"/>
        </w:rPr>
        <w:t>Networks SVOD consisting of our targeted subscription streaming services: Acorn TV, Shudder, Sundance Now, and UMC; Levity, our production services and comedy venues business; and IFC Films, our independent film distribution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4" w:name="page35"/>
    <w:bookmarkEnd w:id="34"/>
    <w:p>
      <w:pPr>
        <w:ind w:left="420"/>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Arial" w:cs="Arial" w:eastAsia="Arial" w:hAnsi="Arial"/>
                <w:sz w:val="16"/>
                <w:szCs w:val="16"/>
                <w:b w:val="1"/>
                <w:bCs w:val="1"/>
                <w:color w:val="auto"/>
                <w:w w:val="90"/>
              </w:rPr>
              <w:t>Years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616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 net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3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2,369,044</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2,413,325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2,367,615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734,143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598,306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457,182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Inter-segment eliminations</w:t>
            </w: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(42,866)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(39,702)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 revenues, net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3,060,321</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2,971,929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2,805,691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60" w:type="dxa"/>
            <w:vAlign w:val="bottom"/>
            <w:tcBorders>
              <w:top w:val="single" w:sz="8" w:color="CCEEFF"/>
              <w:bottom w:val="single" w:sz="8" w:color="CCEEFF"/>
            </w:tcBorders>
            <w:gridSpan w:val="4"/>
            <w:vMerge w:val="restart"/>
          </w:tcPr>
          <w:p>
            <w:pPr>
              <w:spacing w:after="0" w:line="189" w:lineRule="exact"/>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616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804,422</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825,770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817,566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(170,039)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(93,326)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(88,894)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Consolidated operating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625,277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726,909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722,359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1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AOI</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3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903,526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925,279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894,912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Inter-segment eliminations</w:t>
            </w: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(9,729)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(12,037)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 AOI</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943,990</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932,545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904,818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and related charges (including gains or losses on sales or dispositions of businesses), restructuring and other related charges and including the Company’s proportionate share of adjusted operating income (loss) from majority-owned equity method investees.</w:t>
      </w:r>
    </w:p>
    <w:p>
      <w:pPr>
        <w:spacing w:after="0" w:line="8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From time to time, we may exclude the impact of certain events, gains, losses or other charges (such as significant legal settlements) from AOI that affect our operating performance. 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79"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Arial" w:cs="Arial" w:eastAsia="Arial" w:hAnsi="Arial"/>
                <w:sz w:val="16"/>
                <w:szCs w:val="16"/>
                <w:b w:val="1"/>
                <w:bCs w:val="1"/>
                <w:color w:val="auto"/>
                <w:w w:val="90"/>
              </w:rPr>
              <w:t>Years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2017</w:t>
            </w: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625,277</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726,909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722,359</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64,133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60,979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53,545</w:t>
            </w: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101,098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91,281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94,638</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Impairment and related charges</w:t>
            </w:r>
          </w:p>
        </w:tc>
        <w:tc>
          <w:tcPr>
            <w:tcW w:w="3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106,603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28,148</w:t>
            </w: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40,914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45,847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6,128</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3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4"/>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943,990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932,545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904,818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03"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type w:val="continuous"/>
        </w:sectPr>
      </w:pPr>
    </w:p>
    <w:bookmarkStart w:id="35" w:name="page36"/>
    <w:bookmarkEnd w:id="35"/>
    <w:p>
      <w:pPr>
        <w:ind w:left="420"/>
        <w:spacing w:after="0"/>
        <w:rPr>
          <w:sz w:val="20"/>
          <w:szCs w:val="20"/>
          <w:color w:val="auto"/>
        </w:rPr>
      </w:pPr>
      <w:r>
        <w:rPr>
          <w:rFonts w:ascii="Arial" w:cs="Arial" w:eastAsia="Arial" w:hAnsi="Arial"/>
          <w:sz w:val="18"/>
          <w:szCs w:val="18"/>
          <w:b w:val="1"/>
          <w:bCs w:val="1"/>
          <w:i w:val="1"/>
          <w:iCs w:val="1"/>
          <w:color w:val="auto"/>
        </w:rPr>
        <w:t>Items Impacting Comparability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RLJE</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October 2018, we acquired a controlling interest in RLJE, a premium digital channel company that operates the subscription streaming services Acorn TV and UMC or Urban Movie Channel. The operating results of RLJE are included in our International and Other segment in the consolidated statement of income from the date of the acquisition.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Levity</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April 2018, we acquired a controlling interest in Levity, an entertainment company that owns and operates comedy venues as well as produces content for distribution. The operating results of Levity are included in our International and Other segment in the consolidated statement of income from the date of the acquisition.</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DMC</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July 2017, we sold our Amsterdam-based media logistics business, AMCNI – DMC.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117"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In our National Networks segment, we earn revenue principally from the distribution of our programming and the sale of advertising. Distribution revenue primarily includes subscription fees paid by distributors to carry our programming networks and content licensing revenue from the licensing of original programming for digital, foreign and home video distribution. Subscription fees paid by distributors represent the largest component of distribution revenue. Our subscription fee revenues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Content licensing revenue from the licensing of original programming for digital and foreign distribution is recognized upon availability or distribution by the licensee.</w:t>
      </w:r>
    </w:p>
    <w:p>
      <w:pPr>
        <w:spacing w:after="0" w:line="71"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ratings are not met and is subsequently recognized either when we provide the required additional advertising time or the guarantee obligation contractually expires. Most of our advertising revenues vary based upon the popularity of our programming as measured by Nielsen. Our national programming networks have advertisers representing companies in a broad range of sectors, including the automotive, restaurants/food, health, and telecommunications industries.</w:t>
      </w:r>
    </w:p>
    <w:p>
      <w:pPr>
        <w:spacing w:after="0" w:line="74"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Changes in revenue are primarily derived from changes in the contractual subscription rates charged for our services; the number of subscribers; the prices and number of advertising spots on our networks; and the availability, amount and timing of licensing fees earned from the distribution of our original programming. Our revenues may increase over time through contractual rate increases stipulated in our affiliation agreements. In negotiating for additional subscribers or extended carriage, we have agreed, in some instances, to make upfront payments to a distributor which we record as deferred carriage fees and are amortized as a reduction to revenue over the period of the related affiliation agreement. We also may help fund the distributors' efforts to market our networks. We believe that these transactions generate a positive return on investment over the contract period. We seek to increase our advertising revenues by increasing the rates we charge for such advertising, which is directly related to the overall distribution of our programming, penetration of our services on various digital platforms such as Advertising Video-on-Demand ("AVOD") services and the popularity (including within desirable demographic groups) of our services as measured by Nielsen.</w:t>
      </w:r>
    </w:p>
    <w:p>
      <w:pPr>
        <w:spacing w:after="0" w:line="74"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emerge and develop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 Content licensing revenues in each quarter may vary based on the timing of availability of our programming to distributors.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6" w:name="page37"/>
    <w:bookmarkEnd w:id="36"/>
    <w:p>
      <w:pPr>
        <w:jc w:val="both"/>
        <w:ind w:firstLine="446"/>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7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In recent years, we have introduced a number of scripted original series. These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individual-film-forecast-computation method.</w:t>
      </w:r>
    </w:p>
    <w:p>
      <w:pPr>
        <w:spacing w:after="0" w:line="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 Program rights write-offs of $37.9 million, $48.8 million and $47.7 million were recorded for the years ended December 31, 2019, 2018 and 2017, respectively (see further discussion below).</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 Critical Accounting Policies and Estimates" for a discussion of the amortization and write-off of program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includes the operations of AMCNI, AMC Networks SVOD, IFC Films and Levity.</w:t>
      </w:r>
    </w:p>
    <w:p>
      <w:pPr>
        <w:spacing w:after="0" w:line="117"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In our International and Other segment, we earn revenue principally from the international distribution of programming and, to a lesser extent, the sale of advertising from our AMCNI programming networks. We also earn revenue from production services from Levity, revenues from our four targeted SVOD services: Sundance Now, Shudder, AcornTV and UMC, revenues from the distribution of content of IFC Films and Levity's operation of comedy venues. For the year ended December 31, 2019, distribution revenues represented 88% of the revenues of the International and Other segment. Distribution revenue primarily includes subscription fees paid by distributors or consumers to carry our programming networks or subscription-based streaming services and production services revenue generated from Levity. Most of these revenues are derived from the distribution of our programming networks primarily in Europe and to a lesser extent, Latin America. Our subscription revenues are generally based on either a per-subscriber fee or a fixed contractual annual fee, under multi-year affiliation agreements, which may provide for annual rate increases, and a monthly, or annual, fee paid by a consumer for our subscription-based streaming services. Our subscription streaming services are available in the United States, Canada, parts of Latin America and parts of Europe, Australia and New Zealand. Our production services revenues are based on master production agreements whereby a third-party engages us to produce content on its behalf. Production services revenues are recognized based on the percentage of cost incurred to total estimated cost of the contract.</w:t>
      </w:r>
    </w:p>
    <w:p>
      <w:pPr>
        <w:spacing w:after="0" w:line="6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Programming, program operating costs and production costs incurred to produce content for third parties are included in technical and operating expense, and represent the largest expense of the International and Other segment and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subscription-based streaming services.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Similar to our National Networks businesses, the most significant business challenges we expect to encounter in our International and Other businesses include programming competition (from both foreign and domestic programmers), limited channel capacity on distributors' platforms, the number of subscribers on those platforms and economic pressures on subscription fees. Other significant business challenges unique to our international operations include increased programming costs for international rights and translation (</w:t>
      </w:r>
      <w:r>
        <w:rPr>
          <w:rFonts w:ascii="Arial" w:cs="Arial" w:eastAsia="Arial" w:hAnsi="Arial"/>
          <w:sz w:val="18"/>
          <w:szCs w:val="18"/>
          <w:i w:val="1"/>
          <w:iCs w:val="1"/>
          <w:color w:val="auto"/>
        </w:rPr>
        <w:t>i.e.</w:t>
      </w:r>
      <w:r>
        <w:rPr>
          <w:rFonts w:ascii="Arial" w:cs="Arial" w:eastAsia="Arial" w:hAnsi="Arial"/>
          <w:sz w:val="18"/>
          <w:szCs w:val="18"/>
          <w:color w:val="auto"/>
        </w:rPr>
        <w:t xml:space="preserv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this Annual Report.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7" w:name="page38"/>
    <w:bookmarkEnd w:id="37"/>
    <w:p>
      <w:pPr>
        <w:ind w:left="420"/>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consolidated subsidiaries are reflected in net (income) loss attributable to noncontrolling interests in our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Revenues,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3,060,321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2,971,929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88,392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Technical and operating (excluding depreciation</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9"/>
              </w:rPr>
              <w:t>1,506,985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9"/>
              </w:rPr>
              <w:t>1,445,949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61,036</w:t>
            </w:r>
          </w:p>
        </w:tc>
        <w:tc>
          <w:tcPr>
            <w:tcW w:w="124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679,444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657,457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21,987</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101,098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9,817</w:t>
            </w:r>
          </w:p>
        </w:tc>
        <w:tc>
          <w:tcPr>
            <w:tcW w:w="12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106,603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102,117</w:t>
            </w:r>
          </w:p>
        </w:tc>
        <w:tc>
          <w:tcPr>
            <w:tcW w:w="100" w:type="dxa"/>
            <w:vAlign w:val="bottom"/>
          </w:tcPr>
          <w:p>
            <w:pPr>
              <w:spacing w:after="0"/>
              <w:rPr>
                <w:sz w:val="21"/>
                <w:szCs w:val="21"/>
                <w:color w:val="auto"/>
              </w:rPr>
            </w:pPr>
          </w:p>
        </w:tc>
        <w:tc>
          <w:tcPr>
            <w:tcW w:w="1140" w:type="dxa"/>
            <w:vAlign w:val="bottom"/>
          </w:tcPr>
          <w:p>
            <w:pPr>
              <w:jc w:val="right"/>
              <w:ind w:right="4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40,914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45,847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(4,933)</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400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2,435,044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2,245,020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190,024</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625,277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726,909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(101,632)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2,722</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Miscellaneous, net</w:t>
            </w: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29,177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(35,177)</w:t>
            </w:r>
          </w:p>
        </w:tc>
        <w:tc>
          <w:tcPr>
            <w:tcW w:w="1240" w:type="dxa"/>
            <w:vAlign w:val="bottom"/>
            <w:gridSpan w:val="2"/>
          </w:tcPr>
          <w:p>
            <w:pPr>
              <w:jc w:val="right"/>
              <w:ind w:right="99"/>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(32,455)</w:t>
            </w:r>
          </w:p>
        </w:tc>
        <w:tc>
          <w:tcPr>
            <w:tcW w:w="12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56"/>
        </w:trPr>
        <w:tc>
          <w:tcPr>
            <w:tcW w:w="4000" w:type="dxa"/>
            <w:vAlign w:val="bottom"/>
          </w:tcPr>
          <w:p>
            <w:pPr>
              <w:ind w:left="680"/>
              <w:spacing w:after="0" w:line="156" w:lineRule="exact"/>
              <w:rPr>
                <w:sz w:val="20"/>
                <w:szCs w:val="20"/>
                <w:color w:val="auto"/>
              </w:rPr>
            </w:pPr>
            <w:r>
              <w:rPr>
                <w:rFonts w:ascii="Arial" w:cs="Arial" w:eastAsia="Arial" w:hAnsi="Arial"/>
                <w:sz w:val="18"/>
                <w:szCs w:val="18"/>
                <w:color w:val="auto"/>
                <w:w w:val="97"/>
              </w:rPr>
              <w:t>Net income from operations before income</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486,186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620,273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(134,087)</w:t>
            </w:r>
          </w:p>
        </w:tc>
        <w:tc>
          <w:tcPr>
            <w:tcW w:w="1240" w:type="dxa"/>
            <w:vAlign w:val="bottom"/>
            <w:gridSpan w:val="2"/>
            <w:vMerge w:val="restart"/>
          </w:tcPr>
          <w:p>
            <w:pPr>
              <w:jc w:val="right"/>
              <w:ind w:right="99"/>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4000" w:type="dxa"/>
            <w:vAlign w:val="bottom"/>
          </w:tcPr>
          <w:p>
            <w:pPr>
              <w:ind w:left="92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(156,306)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77,836</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64"/>
        </w:trPr>
        <w:tc>
          <w:tcPr>
            <w:tcW w:w="400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407,716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463,967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(56,251)</w:t>
            </w:r>
          </w:p>
        </w:tc>
        <w:tc>
          <w:tcPr>
            <w:tcW w:w="1240" w:type="dxa"/>
            <w:vAlign w:val="bottom"/>
            <w:gridSpan w:val="2"/>
          </w:tcPr>
          <w:p>
            <w:pPr>
              <w:jc w:val="right"/>
              <w:ind w:right="99"/>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(27,230)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(17,780)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(9,450)</w:t>
            </w:r>
          </w:p>
        </w:tc>
        <w:tc>
          <w:tcPr>
            <w:tcW w:w="124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380,486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446,187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31"/>
              <w:spacing w:after="0"/>
              <w:rPr>
                <w:sz w:val="20"/>
                <w:szCs w:val="20"/>
                <w:color w:val="auto"/>
              </w:rPr>
            </w:pPr>
            <w:r>
              <w:rPr>
                <w:rFonts w:ascii="Arial" w:cs="Arial" w:eastAsia="Arial" w:hAnsi="Arial"/>
                <w:sz w:val="18"/>
                <w:szCs w:val="18"/>
                <w:color w:val="auto"/>
              </w:rPr>
              <w:t>(65,701)</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8"/>
        </w:trPr>
        <w:tc>
          <w:tcPr>
            <w:tcW w:w="4000" w:type="dxa"/>
            <w:vAlign w:val="bottom"/>
          </w:tcPr>
          <w:p>
            <w:pPr>
              <w:ind w:left="260"/>
              <w:spacing w:after="0" w:line="202" w:lineRule="exact"/>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b w:val="1"/>
          <w:bCs w:val="1"/>
          <w:color w:val="auto"/>
        </w:rPr>
        <w:t>National Networks Segment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172"/>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9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2,369,044</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2,413,325</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Technical and operating (excluding depreciation</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1,076,748</w:t>
            </w:r>
          </w:p>
        </w:tc>
        <w:tc>
          <w:tcPr>
            <w:tcW w:w="12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1,080,732</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(3,984)</w:t>
            </w:r>
          </w:p>
        </w:tc>
        <w:tc>
          <w:tcPr>
            <w:tcW w:w="122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441,747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455,935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(14,188)</w:t>
            </w:r>
          </w:p>
        </w:tc>
        <w:tc>
          <w:tcPr>
            <w:tcW w:w="1220" w:type="dxa"/>
            <w:vAlign w:val="bottom"/>
            <w:gridSpan w:val="2"/>
          </w:tcPr>
          <w:p>
            <w:pPr>
              <w:jc w:val="right"/>
              <w:ind w:right="10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12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920" w:type="dxa"/>
            <w:vAlign w:val="bottom"/>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13,453</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17,160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(3,707)</w:t>
            </w:r>
          </w:p>
        </w:tc>
        <w:tc>
          <w:tcPr>
            <w:tcW w:w="1220" w:type="dxa"/>
            <w:vAlign w:val="bottom"/>
            <w:gridSpan w:val="2"/>
          </w:tcPr>
          <w:p>
            <w:pPr>
              <w:jc w:val="right"/>
              <w:ind w:right="108"/>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804,422</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825,770</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(21,348)</w:t>
            </w:r>
          </w:p>
        </w:tc>
        <w:tc>
          <w:tcPr>
            <w:tcW w:w="12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52,977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48,621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4,356</w:t>
            </w:r>
          </w:p>
        </w:tc>
        <w:tc>
          <w:tcPr>
            <w:tcW w:w="1220" w:type="dxa"/>
            <w:vAlign w:val="bottom"/>
            <w:gridSpan w:val="2"/>
          </w:tcPr>
          <w:p>
            <w:pPr>
              <w:jc w:val="right"/>
              <w:ind w:right="16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12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13,453</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17,160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(3,707)</w:t>
            </w:r>
          </w:p>
        </w:tc>
        <w:tc>
          <w:tcPr>
            <w:tcW w:w="1220" w:type="dxa"/>
            <w:vAlign w:val="bottom"/>
            <w:gridSpan w:val="2"/>
          </w:tcPr>
          <w:p>
            <w:pPr>
              <w:jc w:val="right"/>
              <w:ind w:right="108"/>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903,526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925,279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211"/>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0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5"/>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5"/>
              </w:rPr>
              <w:t>net</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734,143</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598,306</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135,837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7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463,267</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392,793</w:t>
            </w:r>
          </w:p>
        </w:tc>
        <w:tc>
          <w:tcPr>
            <w:tcW w:w="1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70,474</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237,804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201,611</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36,193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68,424</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57,553</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10,871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4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106,603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102,117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2,276.3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28,084</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(170,039)</w:t>
            </w:r>
          </w:p>
        </w:tc>
        <w:tc>
          <w:tcPr>
            <w:tcW w:w="80" w:type="dxa"/>
            <w:vAlign w:val="bottom"/>
            <w:tcBorders>
              <w:top w:val="single" w:sz="8" w:color="auto"/>
            </w:tcBorders>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(93,326)</w:t>
            </w:r>
          </w:p>
        </w:tc>
        <w:tc>
          <w:tcPr>
            <w:tcW w:w="80" w:type="dxa"/>
            <w:vAlign w:val="bottom"/>
            <w:tcBorders>
              <w:top w:val="single" w:sz="8" w:color="auto"/>
            </w:tcBorders>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(76,713)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68,424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57,553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10,871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102,117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2,276.3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28,084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35,189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(7,105)</w:t>
            </w:r>
          </w:p>
        </w:tc>
        <w:tc>
          <w:tcPr>
            <w:tcW w:w="100" w:type="dxa"/>
            <w:vAlign w:val="bottom"/>
          </w:tcPr>
          <w:p>
            <w:pPr>
              <w:spacing w:after="0"/>
              <w:rPr>
                <w:sz w:val="21"/>
                <w:szCs w:val="21"/>
                <w:color w:val="auto"/>
              </w:rPr>
            </w:pPr>
          </w:p>
        </w:tc>
        <w:tc>
          <w:tcPr>
            <w:tcW w:w="1060" w:type="dxa"/>
            <w:vAlign w:val="bottom"/>
          </w:tcPr>
          <w:p>
            <w:pPr>
              <w:jc w:val="right"/>
              <w:ind w:right="314"/>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 owned equity investees AOI</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00" w:type="dxa"/>
            <w:vAlign w:val="bottom"/>
          </w:tcPr>
          <w:p>
            <w:pPr>
              <w:ind w:left="20"/>
              <w:spacing w:after="0"/>
              <w:rPr>
                <w:sz w:val="20"/>
                <w:szCs w:val="20"/>
                <w:color w:val="auto"/>
              </w:rPr>
            </w:pPr>
            <w:r>
              <w:rPr>
                <w:rFonts w:ascii="Arial" w:cs="Arial" w:eastAsia="Arial" w:hAnsi="Arial"/>
                <w:sz w:val="18"/>
                <w:szCs w:val="18"/>
                <w:color w:val="auto"/>
              </w:rPr>
              <w:t>AOI</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50,193</w:t>
            </w:r>
          </w:p>
        </w:tc>
        <w:tc>
          <w:tcPr>
            <w:tcW w:w="80" w:type="dxa"/>
            <w:vAlign w:val="bottom"/>
            <w:tcBorders>
              <w:top w:val="single" w:sz="8" w:color="auto"/>
              <w:bottom w:val="single" w:sz="8" w:color="auto"/>
            </w:tcBorders>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19,303</w:t>
            </w:r>
          </w:p>
        </w:tc>
        <w:tc>
          <w:tcPr>
            <w:tcW w:w="80" w:type="dxa"/>
            <w:vAlign w:val="bottom"/>
            <w:tcBorders>
              <w:top w:val="single" w:sz="8" w:color="auto"/>
              <w:bottom w:val="single" w:sz="8" w:color="auto"/>
            </w:tcBorders>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30,890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160.0 %</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net increased $88.4 million to $3.1 billion for 2019 as compared to 2018. The net change by segment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1"/>
                <w:szCs w:val="11"/>
                <w:color w:val="auto"/>
              </w:rPr>
            </w:pPr>
          </w:p>
        </w:tc>
        <w:tc>
          <w:tcPr>
            <w:tcW w:w="10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08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080" w:type="dxa"/>
            <w:vAlign w:val="bottom"/>
          </w:tcPr>
          <w:p>
            <w:pPr>
              <w:jc w:val="right"/>
              <w:ind w:right="228"/>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2,369,044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2,413,325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(44,281)</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734,143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598,306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135,837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(42,866)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(39,702)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3,060,321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2,971,929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88,392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0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0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060" w:type="dxa"/>
            <w:vAlign w:val="bottom"/>
          </w:tcPr>
          <w:p>
            <w:pPr>
              <w:jc w:val="right"/>
              <w:ind w:right="208"/>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2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904,253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944,675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(40,422)</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8"/>
              </w:rPr>
              <w:t>(4.3)%</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4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1,464,791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1,468,650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(3,859)</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2,369,044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2,413,325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(44,281)</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8"/>
              </w:rPr>
              <w:t>(1.8)%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revenues decreased $40.4 million driven by a decrease of $65.0 million at AMC due to lower ratings, partially mitigated by increased pricing. The decrease at AMC was partially offset by increases at our other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78" w:lineRule="exact"/>
        <w:rPr>
          <w:rFonts w:ascii="Arial" w:cs="Arial" w:eastAsia="Arial" w:hAnsi="Arial"/>
          <w:sz w:val="18"/>
          <w:szCs w:val="18"/>
          <w:color w:val="auto"/>
        </w:rPr>
      </w:pPr>
    </w:p>
    <w:p>
      <w:pPr>
        <w:jc w:val="both"/>
        <w:ind w:left="1300" w:hanging="644"/>
        <w:spacing w:after="0" w:line="255"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 revenues decreased $3.9 million due to a decrease in subscription revenues of $17.5 million primarily due to lower subscribers and the impact of an interpretation of a contractual provision in an affiliate agreement, partially offset by increased pricing. Content licensing revenues increased $13.6 million, primarily at AMC, due to an increase in the number of original programs we distributed.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subscriber information at December 31, 2019 and December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20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 xml:space="preserve">Estimated Domestic Subscribers </w:t>
            </w:r>
            <w:r>
              <w:rPr>
                <w:rFonts w:ascii="Arial" w:cs="Arial" w:eastAsia="Arial" w:hAnsi="Arial"/>
                <w:sz w:val="9"/>
                <w:szCs w:val="9"/>
                <w:b w:val="1"/>
                <w:bCs w:val="1"/>
                <w:color w:val="auto"/>
              </w:rPr>
              <w:t>(1)</w:t>
            </w:r>
          </w:p>
        </w:tc>
      </w:tr>
      <w:tr>
        <w:trPr>
          <w:trHeight w:val="152"/>
        </w:trPr>
        <w:tc>
          <w:tcPr>
            <w:tcW w:w="7200" w:type="dxa"/>
            <w:vAlign w:val="bottom"/>
          </w:tcPr>
          <w:p>
            <w:pPr>
              <w:spacing w:after="0"/>
              <w:rPr>
                <w:sz w:val="13"/>
                <w:szCs w:val="13"/>
                <w:color w:val="auto"/>
              </w:rPr>
            </w:pPr>
          </w:p>
        </w:tc>
        <w:tc>
          <w:tcPr>
            <w:tcW w:w="2120" w:type="dxa"/>
            <w:vAlign w:val="bottom"/>
            <w:gridSpan w:val="2"/>
          </w:tcPr>
          <w:p>
            <w:pPr>
              <w:ind w:left="580"/>
              <w:spacing w:after="0" w:line="153" w:lineRule="exact"/>
              <w:rPr>
                <w:sz w:val="20"/>
                <w:szCs w:val="20"/>
                <w:color w:val="auto"/>
              </w:rPr>
            </w:pPr>
            <w:r>
              <w:rPr>
                <w:rFonts w:ascii="Arial" w:cs="Arial" w:eastAsia="Arial" w:hAnsi="Arial"/>
                <w:sz w:val="14"/>
                <w:szCs w:val="14"/>
                <w:b w:val="1"/>
                <w:bCs w:val="1"/>
                <w:color w:val="auto"/>
              </w:rPr>
              <w:t>December 31,</w:t>
            </w:r>
          </w:p>
        </w:tc>
        <w:tc>
          <w:tcPr>
            <w:tcW w:w="2080" w:type="dxa"/>
            <w:vAlign w:val="bottom"/>
          </w:tcPr>
          <w:p>
            <w:pPr>
              <w:jc w:val="right"/>
              <w:ind w:right="535"/>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72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2018</w:t>
            </w: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Programming Networks:</w:t>
            </w: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AMC</w:t>
            </w:r>
          </w:p>
        </w:tc>
        <w:tc>
          <w:tcPr>
            <w:tcW w:w="2020" w:type="dxa"/>
            <w:vAlign w:val="bottom"/>
          </w:tcPr>
          <w:p>
            <w:pPr>
              <w:jc w:val="right"/>
              <w:ind w:right="77"/>
              <w:spacing w:after="0"/>
              <w:rPr>
                <w:sz w:val="20"/>
                <w:szCs w:val="20"/>
                <w:color w:val="auto"/>
              </w:rPr>
            </w:pPr>
            <w:r>
              <w:rPr>
                <w:rFonts w:ascii="Arial" w:cs="Arial" w:eastAsia="Arial" w:hAnsi="Arial"/>
                <w:sz w:val="18"/>
                <w:szCs w:val="18"/>
                <w:color w:val="auto"/>
              </w:rPr>
              <w:t>85,100</w:t>
            </w:r>
          </w:p>
        </w:tc>
        <w:tc>
          <w:tcPr>
            <w:tcW w:w="100" w:type="dxa"/>
            <w:vAlign w:val="bottom"/>
          </w:tcPr>
          <w:p>
            <w:pPr>
              <w:spacing w:after="0"/>
              <w:rPr>
                <w:sz w:val="21"/>
                <w:szCs w:val="21"/>
                <w:color w:val="auto"/>
              </w:rPr>
            </w:pPr>
          </w:p>
        </w:tc>
        <w:tc>
          <w:tcPr>
            <w:tcW w:w="2080" w:type="dxa"/>
            <w:vAlign w:val="bottom"/>
          </w:tcPr>
          <w:p>
            <w:pPr>
              <w:jc w:val="right"/>
              <w:ind w:right="95"/>
              <w:spacing w:after="0"/>
              <w:rPr>
                <w:sz w:val="20"/>
                <w:szCs w:val="20"/>
                <w:color w:val="auto"/>
              </w:rPr>
            </w:pPr>
            <w:r>
              <w:rPr>
                <w:rFonts w:ascii="Arial" w:cs="Arial" w:eastAsia="Arial" w:hAnsi="Arial"/>
                <w:sz w:val="18"/>
                <w:szCs w:val="18"/>
                <w:color w:val="auto"/>
              </w:rPr>
              <w:t>89,000</w:t>
            </w:r>
          </w:p>
        </w:tc>
      </w:tr>
      <w:tr>
        <w:trPr>
          <w:trHeight w:val="27"/>
        </w:trPr>
        <w:tc>
          <w:tcPr>
            <w:tcW w:w="7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 tv</w:t>
            </w:r>
          </w:p>
        </w:tc>
        <w:tc>
          <w:tcPr>
            <w:tcW w:w="2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78,200</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84,600</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BBC AMERICA</w:t>
            </w:r>
          </w:p>
        </w:tc>
        <w:tc>
          <w:tcPr>
            <w:tcW w:w="2020" w:type="dxa"/>
            <w:vAlign w:val="bottom"/>
          </w:tcPr>
          <w:p>
            <w:pPr>
              <w:jc w:val="right"/>
              <w:ind w:right="77"/>
              <w:spacing w:after="0"/>
              <w:rPr>
                <w:sz w:val="20"/>
                <w:szCs w:val="20"/>
                <w:color w:val="auto"/>
              </w:rPr>
            </w:pPr>
            <w:r>
              <w:rPr>
                <w:rFonts w:ascii="Arial" w:cs="Arial" w:eastAsia="Arial" w:hAnsi="Arial"/>
                <w:sz w:val="18"/>
                <w:szCs w:val="18"/>
                <w:color w:val="auto"/>
              </w:rPr>
              <w:t>77,000</w:t>
            </w:r>
          </w:p>
        </w:tc>
        <w:tc>
          <w:tcPr>
            <w:tcW w:w="100" w:type="dxa"/>
            <w:vAlign w:val="bottom"/>
          </w:tcPr>
          <w:p>
            <w:pPr>
              <w:spacing w:after="0"/>
              <w:rPr>
                <w:sz w:val="21"/>
                <w:szCs w:val="21"/>
                <w:color w:val="auto"/>
              </w:rPr>
            </w:pPr>
          </w:p>
        </w:tc>
        <w:tc>
          <w:tcPr>
            <w:tcW w:w="2080" w:type="dxa"/>
            <w:vAlign w:val="bottom"/>
          </w:tcPr>
          <w:p>
            <w:pPr>
              <w:jc w:val="right"/>
              <w:ind w:right="95"/>
              <w:spacing w:after="0"/>
              <w:rPr>
                <w:sz w:val="20"/>
                <w:szCs w:val="20"/>
                <w:color w:val="auto"/>
              </w:rPr>
            </w:pPr>
            <w:r>
              <w:rPr>
                <w:rFonts w:ascii="Arial" w:cs="Arial" w:eastAsia="Arial" w:hAnsi="Arial"/>
                <w:sz w:val="18"/>
                <w:szCs w:val="18"/>
                <w:color w:val="auto"/>
              </w:rPr>
              <w:t>80,900</w:t>
            </w:r>
          </w:p>
        </w:tc>
      </w:tr>
      <w:tr>
        <w:trPr>
          <w:trHeight w:val="27"/>
        </w:trPr>
        <w:tc>
          <w:tcPr>
            <w:tcW w:w="7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IFC</w:t>
            </w:r>
          </w:p>
        </w:tc>
        <w:tc>
          <w:tcPr>
            <w:tcW w:w="2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71,400</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75,100</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SundanceTV</w:t>
            </w:r>
          </w:p>
        </w:tc>
        <w:tc>
          <w:tcPr>
            <w:tcW w:w="2020" w:type="dxa"/>
            <w:vAlign w:val="bottom"/>
          </w:tcPr>
          <w:p>
            <w:pPr>
              <w:jc w:val="right"/>
              <w:ind w:right="77"/>
              <w:spacing w:after="0"/>
              <w:rPr>
                <w:sz w:val="20"/>
                <w:szCs w:val="20"/>
                <w:color w:val="auto"/>
              </w:rPr>
            </w:pPr>
            <w:r>
              <w:rPr>
                <w:rFonts w:ascii="Arial" w:cs="Arial" w:eastAsia="Arial" w:hAnsi="Arial"/>
                <w:sz w:val="18"/>
                <w:szCs w:val="18"/>
                <w:color w:val="auto"/>
              </w:rPr>
              <w:t>66,800</w:t>
            </w:r>
          </w:p>
        </w:tc>
        <w:tc>
          <w:tcPr>
            <w:tcW w:w="100" w:type="dxa"/>
            <w:vAlign w:val="bottom"/>
          </w:tcPr>
          <w:p>
            <w:pPr>
              <w:spacing w:after="0"/>
              <w:rPr>
                <w:sz w:val="21"/>
                <w:szCs w:val="21"/>
                <w:color w:val="auto"/>
              </w:rPr>
            </w:pPr>
          </w:p>
        </w:tc>
        <w:tc>
          <w:tcPr>
            <w:tcW w:w="2080" w:type="dxa"/>
            <w:vAlign w:val="bottom"/>
          </w:tcPr>
          <w:p>
            <w:pPr>
              <w:jc w:val="right"/>
              <w:ind w:right="95"/>
              <w:spacing w:after="0"/>
              <w:rPr>
                <w:sz w:val="20"/>
                <w:szCs w:val="20"/>
                <w:color w:val="auto"/>
              </w:rPr>
            </w:pPr>
            <w:r>
              <w:rPr>
                <w:rFonts w:ascii="Arial" w:cs="Arial" w:eastAsia="Arial" w:hAnsi="Arial"/>
                <w:sz w:val="18"/>
                <w:szCs w:val="18"/>
                <w:color w:val="auto"/>
              </w:rPr>
              <w:t>69,900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Estimated U.S. subscribers as measured by Nielsen.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040" w:type="dxa"/>
            <w:vAlign w:val="bottom"/>
          </w:tcPr>
          <w:p>
            <w:pPr>
              <w:ind w:left="4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06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89,659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91,404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(1,745)</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Distribution and other</w:t>
            </w:r>
          </w:p>
        </w:tc>
        <w:tc>
          <w:tcPr>
            <w:tcW w:w="28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644,484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506,902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137,582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734,143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598,306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135,837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decrease of $1.7 million in advertising revenues was principally due to the unfavorable impact of foreign currency translation of $5.1 million. Distribution revenues increased $147.5 million due to the impact of the Levity and RLJE acquisitions. In addition, distribution revenues increased $22.9 million from our Shudder and Sundance Now targeted SVOD services. These increases were partially offset by a decrease in revenues at AMCNI of $16.4 million, excluding the impact of foreign currency fluctuations, primarily due to the termination of distribution in certain territories. Foreign currency translation had an unfavorable impact to distribution revenues of $15.2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$61.0 million to $1.5 billion for 2019 as compared to 2018. The net change by segment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1,076,748</w:t>
            </w:r>
          </w:p>
        </w:tc>
        <w:tc>
          <w:tcPr>
            <w:tcW w:w="6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1,080,732</w:t>
            </w:r>
          </w:p>
        </w:tc>
        <w:tc>
          <w:tcPr>
            <w:tcW w:w="860" w:type="dxa"/>
            <w:vAlign w:val="bottom"/>
            <w:tcBorders>
              <w:bottom w:val="single" w:sz="8" w:color="CCEEFF"/>
            </w:tcBorders>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(3,984)</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463,267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392,793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70,474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(27,576)</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(5,454)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4700" w:type="dxa"/>
            <w:vAlign w:val="bottom"/>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1,506,985</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1,445,949</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61,036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37"/>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7"/>
        </w:trPr>
        <w:tc>
          <w:tcPr>
            <w:tcW w:w="4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The decrease in technical and operating expense was due to a decrease of $30.1 million in other direct programming expense attributable to reduced personnel and the timing of production related costs. The decrease in other direct programming expense was partially offset by a net increase in program rights amortization of $26.1 million, consisting of an increase in program amortization of $47.4 million primarily attributable to the mix of original programming as compared to the prior year, partially offset by a reduction of $21.3 million attributable to the utilization of certain investment tax credits. In addition, program rights amortization includes write-offs of $37.9 million for the year ended December 31, 2019 as compared to program rights write-offs of $48.8 million for the year ended December 31, 2018. Programming write-offs are based on management's periodic assessment of programming usefulness.</w:t>
      </w:r>
    </w:p>
    <w:p>
      <w:pPr>
        <w:spacing w:after="0" w:line="5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amortization recorded from owned original programming in each period based on the individual-film-forecast-computation method. As additional competition for programming increases and alternative distribution technologies continue to develop, costs for content acquisition and original programming may increase.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increase in the International and Other segment was primarily due to an $89.7 million impact from the Levity and RLJE acquisitions. In addition, technical and operating expense increased $13.3 million at our targeted SVOD services (Shudder and Sundance Now) due to the continued investment in programming. Technical and operating expense decreased $19.6 million at AMCNI, excluding the impact of foreign currency fluctuations, due primarily to reduced programming amortization resulting from termination of distribution in certain territories. Foreign currency translation had a favorable impact to the change in technical and operating expense of $12.8 million.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1" w:name="page42"/>
    <w:bookmarkEnd w:id="41"/>
    <w:p>
      <w:pPr>
        <w:ind w:left="42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Selling, general and administrative expense increased $22.0 million to $679.4 million for 2019 as compared to 2018. The net change by segment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441,747</w:t>
            </w:r>
          </w:p>
        </w:tc>
        <w:tc>
          <w:tcPr>
            <w:tcW w:w="6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455,935</w:t>
            </w:r>
          </w:p>
        </w:tc>
        <w:tc>
          <w:tcPr>
            <w:tcW w:w="860" w:type="dxa"/>
            <w:vAlign w:val="bottom"/>
            <w:tcBorders>
              <w:bottom w:val="single" w:sz="8" w:color="CCEEFF"/>
            </w:tcBorders>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(14,188)</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237,804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201,611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36,193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4700" w:type="dxa"/>
            <w:vAlign w:val="bottom"/>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679,444</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657,457</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21,987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37"/>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7"/>
        </w:trPr>
        <w:tc>
          <w:tcPr>
            <w:tcW w:w="4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decrease in the National Networks segment selling, general and administrative expense was principally due to a $16.7 million decrease in advertising and marketing costs related to the timing of promotion and marketing of original programming.</w:t>
      </w:r>
    </w:p>
    <w:p>
      <w:pPr>
        <w:spacing w:after="0" w:line="6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increase in the International and Other segment was primarily due to a $50.7 million impact from the acquisitions of Levity and RLJE, partially offset by a decrease of $8.7 million at AMCNI, excluding the impact of foreign currency fluctuations. Foreign currency translation had a favorable impact to the change in selling, general and administrative expense of $6.7 million.</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and amortization increased $9.8 million to $101.1 million for 2019 as compared to 2018. The net change by segment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32,674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33,728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(1,054)</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68,424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57,553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10,871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4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101,098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91,281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9,817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increase in depreciation and amortization expense in the International and Other segment was primarily due to a $6.4 million impact from the acquisitions of Levity and RLJE as well as an increase in depreciation expense of $6.2 million related to corporate leasehold additions.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and related charges</w:t>
      </w:r>
    </w:p>
    <w:p>
      <w:pPr>
        <w:spacing w:after="0" w:line="121" w:lineRule="exact"/>
        <w:rPr>
          <w:sz w:val="20"/>
          <w:szCs w:val="20"/>
          <w:color w:val="auto"/>
        </w:rPr>
      </w:pPr>
    </w:p>
    <w:p>
      <w:pPr>
        <w:jc w:val="both"/>
        <w:ind w:firstLine="446"/>
        <w:spacing w:after="0" w:line="241" w:lineRule="auto"/>
        <w:rPr>
          <w:sz w:val="20"/>
          <w:szCs w:val="20"/>
          <w:color w:val="auto"/>
        </w:rPr>
      </w:pPr>
      <w:r>
        <w:rPr>
          <w:rFonts w:ascii="Arial" w:cs="Arial" w:eastAsia="Arial" w:hAnsi="Arial"/>
          <w:sz w:val="18"/>
          <w:szCs w:val="18"/>
          <w:color w:val="auto"/>
        </w:rPr>
        <w:t>In December 2019, in connection with the preparation of our fourth quarter financial information, we performed our annual goodwill impairment test and concluded that the estimated fair value of our AMCNI reporting unit declined to less than its carrying amount. The decrease in the estimated fair value was in response to current and expected trends across the International television broadcasting markets, as well as a decrease in the financial multiples used to estimate the fair value using the market approach. As a result, we recognized an impairment charge of $98.0 million in 2019, reflecting a partial write-down of the goodwill associated with the AMCNI reporting unit.</w:t>
      </w:r>
    </w:p>
    <w:p>
      <w:pPr>
        <w:spacing w:after="0" w:line="8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2019 and 2018, in connection with the dispositions of certain businesses, AMCNI recognized impairment charges of $8.6 million and $4.5 million, respectively.</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Restructuring and other related charges of $40.9 million for the year ended December 31, 2019 related to the management restructuring, which commenced in the third quarter of 2019, and the AMC Networks SVOD organization restructuring, which commenced in the second quarter of 2019. In connection with each of these restructuring initiatives, 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number of roles were eliminated to address redundancy at the management level and improve the effectiveness of management while reducing the cost structure of the Company.</w:t>
      </w:r>
    </w:p>
    <w:p>
      <w:pPr>
        <w:spacing w:after="0" w:line="6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restructuring initiative related to our management team, we incurred restructuring charges for severance and other personnel related costs of $26.0 million, of which $13.5 million was attributable to the National Networks segment and $12.5 million was attributable to the International and Other segment. We expect additional restructuring charges in the first quarter of 2020.</w:t>
      </w:r>
    </w:p>
    <w:p>
      <w:pPr>
        <w:spacing w:after="0" w:line="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AMC Networks SVOD restructuring, management made certain organization changes to the owned subscription streaming services businesses. The restructuring combined our owned subscription streaming services under one management team. As a result, we incurred restructuring charges of $1.9 million related to severance and other personnel related costs.</w:t>
      </w:r>
    </w:p>
    <w:p>
      <w:pPr>
        <w:spacing w:after="0" w:line="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organization changes in the AMC Networks SVOD business, we implemented changes to our strategy for our owned subscription streaming services, including programming that will no longer be made available. As a result, we incurred other charges of $13.0 million related to the write-off of programming associated with the reorganization and change in strategy.</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804,422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825,770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(21,348)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(170,039)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(93,326)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(76,713)</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82.2</w:t>
            </w: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(3,571)</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64.5</w:t>
            </w:r>
          </w:p>
        </w:tc>
      </w:tr>
      <w:tr>
        <w:trPr>
          <w:trHeight w:val="264"/>
        </w:trPr>
        <w:tc>
          <w:tcPr>
            <w:tcW w:w="47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625,277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726,909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(101,632)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
        </w:trPr>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 in operating income at the National Networks segment was primarily attributable to a decrease in revenues of $44.3 million, partially offset by a decrease in technical and operating expense of $4.0 million, a decrease in selling, general and administrative expense of $14.2 million, and a decrease in restructuring expense of $3.7 million</w:t>
      </w:r>
    </w:p>
    <w:p>
      <w:pPr>
        <w:spacing w:after="0" w:line="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increase in operating loss at the International and Other segment was primarily attributable to a net increase of $95.0 million in the combined impairment and related charges and restructuring and other related charges, partially offset by an increase in operating income at AMCNI.</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our consolidated operating income to consolidated AOI:</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625,277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726,909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(101,632)</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64,133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60,979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3,154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101,098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9,817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Impairment and related charges</w:t>
            </w:r>
          </w:p>
        </w:tc>
        <w:tc>
          <w:tcPr>
            <w:tcW w:w="38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106,603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102,117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2,276.3</w:t>
            </w:r>
          </w:p>
        </w:tc>
        <w:tc>
          <w:tcPr>
            <w:tcW w:w="1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40,914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45,847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Majority owned equity investees AOI</w:t>
            </w:r>
          </w:p>
        </w:tc>
        <w:tc>
          <w:tcPr>
            <w:tcW w:w="38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5,965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2,922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1"/>
                <w:szCs w:val="2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8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943,990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932,545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11,445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AOI increased $11.4 million to $944.0 million for 2019 as compared to 2018. The net change by segment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903,526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925,279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(21,753)</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50,193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19,303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30,890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2,308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4800" w:type="dxa"/>
            <w:vAlign w:val="bottom"/>
          </w:tcPr>
          <w:p>
            <w:pPr>
              <w:ind w:left="2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943,990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932,545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11,445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Networks AOI decreased due to the aforementioned explanation for the decrease in operating income.</w:t>
      </w:r>
    </w:p>
    <w:p>
      <w:pPr>
        <w:sectPr>
          <w:pgSz w:w="11900" w:h="16838" w:orient="portrait"/>
          <w:cols w:equalWidth="0" w:num="1">
            <w:col w:w="11420"/>
          </w:cols>
          <w:pgMar w:left="240" w:top="1003"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type w:val="continuous"/>
        </w:sectPr>
      </w:pPr>
    </w:p>
    <w:bookmarkStart w:id="43" w:name="page44"/>
    <w:bookmarkEnd w:id="43"/>
    <w:p>
      <w:pPr>
        <w:jc w:val="both"/>
        <w:ind w:firstLine="446"/>
        <w:spacing w:after="0" w:line="264" w:lineRule="auto"/>
        <w:rPr>
          <w:sz w:val="20"/>
          <w:szCs w:val="20"/>
          <w:color w:val="auto"/>
        </w:rPr>
      </w:pPr>
      <w:r>
        <w:rPr>
          <w:rFonts w:ascii="Arial" w:cs="Arial" w:eastAsia="Arial" w:hAnsi="Arial"/>
          <w:sz w:val="18"/>
          <w:szCs w:val="18"/>
          <w:color w:val="auto"/>
        </w:rPr>
        <w:t>International and Other AOI increased primarily due to an increase of $14.5 million at AMCNI, excluding the impact of foreign currency fluctuations, and an increase of $15.6 million related to the impact of the acquisitions of Levity and RLJE (including the impact of AOI related to majority-owned equity method investees).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decrease in interest expense, net of $2.7 million is driven by an increase in interest income of $5.5 million, partially offset by an increase in interest expense of $2.8 million due to a higher variable interest rate on our term loan.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increase in miscellaneous expense, net of $35.2 million in 2019 as compared to 2018 was primarily driven by the absence of $50.4 million of gains associated with the increase in fair value of our investment in RLJE recognized prior to the acquisition during 2018, partially offset by an $17.8 million favorable variance in foreign currency transactions gains and losses. In addition, miscellaneous expense, net decreased $6.3 million associated with increased earnings from equity method investees, partially offset by an increase related to the partial write-down of certain of our non-marketable equity securities and a note receivable.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Income tax expense was $78.5 million for the year ended December 31, 2019, representing an effective tax rate of 16%. The effective tax rate differs from the federal statutory rate of 21% due primarily to tax benefit of $21.0 million resulting from a net decrease in valuation allowances for foreign deferred tax assets, tax benefit of $11.5 million from a deferred tax adjustment to record the impact of an investment tax credit under the deferral method of accounting, partially offset by state and local income tax expense of $12.2 million and $9.0 of tax expense from foreign operations.</w:t>
      </w:r>
    </w:p>
    <w:p>
      <w:pPr>
        <w:spacing w:after="0" w:line="63"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Income tax expense was $156.3 million for the year ended December 31, 2018, representing an effective tax rate of 25%. The effective tax rate differs from the federal statutory rate of 21% due primarily to tax expense of $16.4 million for an increase in valuation allowances for foreign taxes and U.S. foreign tax credits; state and local income tax expense of $11.5 million and a tax benefit of $12.8 million for the one-time rate change on deferred tax assets and liabilities that resulted from the extension of certain television production cost deductions included in the Bipartisan Budget Act of 2018 (enacted February 9, 2018) and return to provision adjustments.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left="104"/>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left="104"/>
              <w:spacing w:after="0" w:line="135"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Revenues,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2,971,929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2,805,691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166,238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Technical and operating (excluding depreciation</w:t>
            </w: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1,445,949</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9"/>
              </w:rPr>
              <w:t>1,341,076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104,873</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657,457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613,342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44,115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34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28,148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(23,662)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45,847</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39,719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2,245,020</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2,083,332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161,688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726,909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722,359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4,550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(135,813)</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(16,516)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Miscellaneous, net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40,320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(11,143)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66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(106,636)</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Income from operations before income taxes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620,273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640,378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(156,306)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(150,741)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(5,565)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463,967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489,637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(25,670)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(18,321)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541</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446,187</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471,316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(25,129)</w:t>
            </w:r>
          </w:p>
        </w:tc>
        <w:tc>
          <w:tcPr>
            <w:tcW w:w="1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stockholders</w:t>
            </w: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b w:val="1"/>
          <w:bCs w:val="1"/>
          <w:color w:val="auto"/>
        </w:rPr>
        <w:t>National Networks Segment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left="128"/>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left="121"/>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left="128"/>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left="121"/>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0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2,413,325</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2,367,615</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45,710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1,080,732</w:t>
            </w:r>
          </w:p>
        </w:tc>
        <w:tc>
          <w:tcPr>
            <w:tcW w:w="1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1,064,580</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16,152</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455,935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451,820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4,115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17,160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17,213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825,770</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817,566</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8,204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48,621</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43,697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4,924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17,160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17,213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925,279</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894,912</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30,367</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64"/>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84"/>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8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84"/>
              <w:spacing w:after="0" w:line="135"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0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5"/>
              </w:rPr>
              <w:t>net</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598,306</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457,182</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141,124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392,793</w:t>
            </w:r>
          </w:p>
        </w:tc>
        <w:tc>
          <w:tcPr>
            <w:tcW w:w="1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289,238</w:t>
            </w:r>
          </w:p>
        </w:tc>
        <w:tc>
          <w:tcPr>
            <w:tcW w:w="1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103,555</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201,611</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161,573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40,038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57,553</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60,936</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28,148</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(23,662)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29,008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(93,326)</w:t>
            </w:r>
          </w:p>
        </w:tc>
        <w:tc>
          <w:tcPr>
            <w:tcW w:w="80" w:type="dxa"/>
            <w:vAlign w:val="bottom"/>
            <w:tcBorders>
              <w:top w:val="single" w:sz="8" w:color="auto"/>
            </w:tcBorders>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(88,894)</w:t>
            </w:r>
          </w:p>
        </w:tc>
        <w:tc>
          <w:tcPr>
            <w:tcW w:w="80" w:type="dxa"/>
            <w:vAlign w:val="bottom"/>
            <w:tcBorders>
              <w:top w:val="single" w:sz="8" w:color="auto"/>
            </w:tcBorders>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2,510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57,553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60,936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28,148</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35,189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6,181</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29,008</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00" w:type="dxa"/>
            <w:vAlign w:val="bottom"/>
          </w:tcPr>
          <w:p>
            <w:pPr>
              <w:ind w:left="20"/>
              <w:spacing w:after="0"/>
              <w:rPr>
                <w:sz w:val="20"/>
                <w:szCs w:val="20"/>
                <w:color w:val="auto"/>
              </w:rPr>
            </w:pPr>
            <w:r>
              <w:rPr>
                <w:rFonts w:ascii="Arial" w:cs="Arial" w:eastAsia="Arial" w:hAnsi="Arial"/>
                <w:sz w:val="18"/>
                <w:szCs w:val="18"/>
                <w:color w:val="auto"/>
              </w:rPr>
              <w:t>AOI</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19,303</w:t>
            </w:r>
          </w:p>
        </w:tc>
        <w:tc>
          <w:tcPr>
            <w:tcW w:w="80" w:type="dxa"/>
            <w:vAlign w:val="bottom"/>
            <w:tcBorders>
              <w:top w:val="single" w:sz="8" w:color="auto"/>
              <w:bottom w:val="single" w:sz="8" w:color="auto"/>
            </w:tcBorders>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16,219</w:t>
            </w:r>
          </w:p>
        </w:tc>
        <w:tc>
          <w:tcPr>
            <w:tcW w:w="80" w:type="dxa"/>
            <w:vAlign w:val="bottom"/>
            <w:tcBorders>
              <w:top w:val="single" w:sz="8" w:color="auto"/>
              <w:bottom w:val="single" w:sz="8" w:color="auto"/>
            </w:tcBorders>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3,084</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3"/>
          </w:tcPr>
          <w:p>
            <w:pPr>
              <w:jc w:val="right"/>
              <w:ind w:right="148"/>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Revenues, net increased $166.2 million to $3.0 billion for the year ended December 31, 2018 as compared to the year ended December 31, 2017.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0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108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1080" w:type="dxa"/>
            <w:vAlign w:val="bottom"/>
          </w:tcPr>
          <w:p>
            <w:pPr>
              <w:jc w:val="right"/>
              <w:ind w:right="228"/>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2,413,325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2,367,615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45,710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598,306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457,182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141,124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(39,702)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(19,106)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(20,596)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2,971,929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2,805,691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166,238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0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10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1060" w:type="dxa"/>
            <w:vAlign w:val="bottom"/>
          </w:tcPr>
          <w:p>
            <w:pPr>
              <w:jc w:val="right"/>
              <w:ind w:right="208"/>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944,675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959,551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center"/>
              <w:ind w:left="114"/>
              <w:spacing w:after="0"/>
              <w:rPr>
                <w:sz w:val="20"/>
                <w:szCs w:val="20"/>
                <w:color w:val="auto"/>
              </w:rPr>
            </w:pPr>
            <w:r>
              <w:rPr>
                <w:rFonts w:ascii="Arial" w:cs="Arial" w:eastAsia="Arial" w:hAnsi="Arial"/>
                <w:sz w:val="18"/>
                <w:szCs w:val="18"/>
                <w:color w:val="auto"/>
                <w:w w:val="92"/>
              </w:rPr>
              <w:t>(14,876)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1,468,650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1,408,064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center"/>
              <w:ind w:left="154"/>
              <w:spacing w:after="0"/>
              <w:rPr>
                <w:sz w:val="20"/>
                <w:szCs w:val="20"/>
                <w:color w:val="auto"/>
              </w:rPr>
            </w:pPr>
            <w:r>
              <w:rPr>
                <w:rFonts w:ascii="Arial" w:cs="Arial" w:eastAsia="Arial" w:hAnsi="Arial"/>
                <w:sz w:val="18"/>
                <w:szCs w:val="18"/>
                <w:color w:val="auto"/>
                <w:w w:val="90"/>
              </w:rPr>
              <w:t>60,586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2,413,325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2,367,615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90"/>
              </w:rPr>
              <w:t>45,710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86"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Advertising revenues decreased $14.9 million driven by a decrease of $47.2 million at AMC due to lower ratings, partially mitigated by pricing. The decrease at AMC was partially offset by increases at our other networks. Most of our advertising revenues vary based on the timing of our original programming series and the popularity of our programming as measured by Nielsen.</w:t>
      </w:r>
    </w:p>
    <w:p>
      <w:pPr>
        <w:spacing w:after="0" w:line="57" w:lineRule="exact"/>
        <w:rPr>
          <w:rFonts w:ascii="Arial" w:cs="Arial" w:eastAsia="Arial" w:hAnsi="Arial"/>
          <w:sz w:val="17"/>
          <w:szCs w:val="17"/>
          <w:color w:val="auto"/>
        </w:rPr>
      </w:pPr>
    </w:p>
    <w:p>
      <w:pPr>
        <w:jc w:val="both"/>
        <w:ind w:left="1300" w:hanging="644"/>
        <w:spacing w:after="0" w:line="302" w:lineRule="auto"/>
        <w:tabs>
          <w:tab w:leader="none" w:pos="12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Distribution revenues increased $60.6 million due to an increase in subscriptions revenues of $52.2 million across all of our networks resulting from an increase in rates, partially offset by a slight decline in total subscribers. Content licensing revenues increased $8.4 million due to an increase in the number of original programs we distributed. Distributions revenues may vary based on the impact of renewals of affiliation agreements and content licensing revenues vary based on timing of availability of our programming to distributors.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subscriber information at December 31,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20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 xml:space="preserve">Estimated Domestic Subscribers </w:t>
            </w:r>
            <w:r>
              <w:rPr>
                <w:rFonts w:ascii="Arial" w:cs="Arial" w:eastAsia="Arial" w:hAnsi="Arial"/>
                <w:sz w:val="9"/>
                <w:szCs w:val="9"/>
                <w:b w:val="1"/>
                <w:bCs w:val="1"/>
                <w:color w:val="auto"/>
              </w:rPr>
              <w:t>(1)</w:t>
            </w:r>
          </w:p>
        </w:tc>
      </w:tr>
      <w:tr>
        <w:trPr>
          <w:trHeight w:val="152"/>
        </w:trPr>
        <w:tc>
          <w:tcPr>
            <w:tcW w:w="7200" w:type="dxa"/>
            <w:vAlign w:val="bottom"/>
          </w:tcPr>
          <w:p>
            <w:pPr>
              <w:spacing w:after="0"/>
              <w:rPr>
                <w:sz w:val="13"/>
                <w:szCs w:val="13"/>
                <w:color w:val="auto"/>
              </w:rPr>
            </w:pPr>
          </w:p>
        </w:tc>
        <w:tc>
          <w:tcPr>
            <w:tcW w:w="2120" w:type="dxa"/>
            <w:vAlign w:val="bottom"/>
            <w:gridSpan w:val="2"/>
          </w:tcPr>
          <w:p>
            <w:pPr>
              <w:ind w:left="580"/>
              <w:spacing w:after="0" w:line="153" w:lineRule="exact"/>
              <w:rPr>
                <w:sz w:val="20"/>
                <w:szCs w:val="20"/>
                <w:color w:val="auto"/>
              </w:rPr>
            </w:pPr>
            <w:r>
              <w:rPr>
                <w:rFonts w:ascii="Arial" w:cs="Arial" w:eastAsia="Arial" w:hAnsi="Arial"/>
                <w:sz w:val="14"/>
                <w:szCs w:val="14"/>
                <w:b w:val="1"/>
                <w:bCs w:val="1"/>
                <w:color w:val="auto"/>
              </w:rPr>
              <w:t>December 31,</w:t>
            </w:r>
          </w:p>
        </w:tc>
        <w:tc>
          <w:tcPr>
            <w:tcW w:w="2080" w:type="dxa"/>
            <w:vAlign w:val="bottom"/>
          </w:tcPr>
          <w:p>
            <w:pPr>
              <w:jc w:val="right"/>
              <w:ind w:right="535"/>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72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2017</w:t>
            </w: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Programming Networks:</w:t>
            </w: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AMC</w:t>
            </w:r>
          </w:p>
        </w:tc>
        <w:tc>
          <w:tcPr>
            <w:tcW w:w="2020" w:type="dxa"/>
            <w:vAlign w:val="bottom"/>
          </w:tcPr>
          <w:p>
            <w:pPr>
              <w:jc w:val="right"/>
              <w:ind w:right="77"/>
              <w:spacing w:after="0"/>
              <w:rPr>
                <w:sz w:val="20"/>
                <w:szCs w:val="20"/>
                <w:color w:val="auto"/>
              </w:rPr>
            </w:pPr>
            <w:r>
              <w:rPr>
                <w:rFonts w:ascii="Arial" w:cs="Arial" w:eastAsia="Arial" w:hAnsi="Arial"/>
                <w:sz w:val="18"/>
                <w:szCs w:val="18"/>
                <w:color w:val="auto"/>
              </w:rPr>
              <w:t>89,000</w:t>
            </w:r>
          </w:p>
        </w:tc>
        <w:tc>
          <w:tcPr>
            <w:tcW w:w="100" w:type="dxa"/>
            <w:vAlign w:val="bottom"/>
          </w:tcPr>
          <w:p>
            <w:pPr>
              <w:spacing w:after="0"/>
              <w:rPr>
                <w:sz w:val="21"/>
                <w:szCs w:val="21"/>
                <w:color w:val="auto"/>
              </w:rPr>
            </w:pPr>
          </w:p>
        </w:tc>
        <w:tc>
          <w:tcPr>
            <w:tcW w:w="2080" w:type="dxa"/>
            <w:vAlign w:val="bottom"/>
          </w:tcPr>
          <w:p>
            <w:pPr>
              <w:jc w:val="right"/>
              <w:ind w:right="95"/>
              <w:spacing w:after="0"/>
              <w:rPr>
                <w:sz w:val="20"/>
                <w:szCs w:val="20"/>
                <w:color w:val="auto"/>
              </w:rPr>
            </w:pPr>
            <w:r>
              <w:rPr>
                <w:rFonts w:ascii="Arial" w:cs="Arial" w:eastAsia="Arial" w:hAnsi="Arial"/>
                <w:sz w:val="18"/>
                <w:szCs w:val="18"/>
                <w:color w:val="auto"/>
              </w:rPr>
              <w:t>90,500</w:t>
            </w:r>
          </w:p>
        </w:tc>
      </w:tr>
      <w:tr>
        <w:trPr>
          <w:trHeight w:val="27"/>
        </w:trPr>
        <w:tc>
          <w:tcPr>
            <w:tcW w:w="7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 tv</w:t>
            </w:r>
          </w:p>
        </w:tc>
        <w:tc>
          <w:tcPr>
            <w:tcW w:w="2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84,600</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86,000</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BBC AMERICA</w:t>
            </w:r>
          </w:p>
        </w:tc>
        <w:tc>
          <w:tcPr>
            <w:tcW w:w="2020" w:type="dxa"/>
            <w:vAlign w:val="bottom"/>
          </w:tcPr>
          <w:p>
            <w:pPr>
              <w:jc w:val="right"/>
              <w:ind w:right="77"/>
              <w:spacing w:after="0"/>
              <w:rPr>
                <w:sz w:val="20"/>
                <w:szCs w:val="20"/>
                <w:color w:val="auto"/>
              </w:rPr>
            </w:pPr>
            <w:r>
              <w:rPr>
                <w:rFonts w:ascii="Arial" w:cs="Arial" w:eastAsia="Arial" w:hAnsi="Arial"/>
                <w:sz w:val="18"/>
                <w:szCs w:val="18"/>
                <w:color w:val="auto"/>
              </w:rPr>
              <w:t>80,900</w:t>
            </w:r>
          </w:p>
        </w:tc>
        <w:tc>
          <w:tcPr>
            <w:tcW w:w="100" w:type="dxa"/>
            <w:vAlign w:val="bottom"/>
          </w:tcPr>
          <w:p>
            <w:pPr>
              <w:spacing w:after="0"/>
              <w:rPr>
                <w:sz w:val="21"/>
                <w:szCs w:val="21"/>
                <w:color w:val="auto"/>
              </w:rPr>
            </w:pPr>
          </w:p>
        </w:tc>
        <w:tc>
          <w:tcPr>
            <w:tcW w:w="2080" w:type="dxa"/>
            <w:vAlign w:val="bottom"/>
          </w:tcPr>
          <w:p>
            <w:pPr>
              <w:jc w:val="right"/>
              <w:ind w:right="95"/>
              <w:spacing w:after="0"/>
              <w:rPr>
                <w:sz w:val="20"/>
                <w:szCs w:val="20"/>
                <w:color w:val="auto"/>
              </w:rPr>
            </w:pPr>
            <w:r>
              <w:rPr>
                <w:rFonts w:ascii="Arial" w:cs="Arial" w:eastAsia="Arial" w:hAnsi="Arial"/>
                <w:sz w:val="18"/>
                <w:szCs w:val="18"/>
                <w:color w:val="auto"/>
              </w:rPr>
              <w:t>80,600</w:t>
            </w:r>
          </w:p>
        </w:tc>
      </w:tr>
      <w:tr>
        <w:trPr>
          <w:trHeight w:val="27"/>
        </w:trPr>
        <w:tc>
          <w:tcPr>
            <w:tcW w:w="7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IFC</w:t>
            </w:r>
          </w:p>
        </w:tc>
        <w:tc>
          <w:tcPr>
            <w:tcW w:w="2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75,100</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74,200</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SundanceTV</w:t>
            </w:r>
          </w:p>
        </w:tc>
        <w:tc>
          <w:tcPr>
            <w:tcW w:w="2020" w:type="dxa"/>
            <w:vAlign w:val="bottom"/>
          </w:tcPr>
          <w:p>
            <w:pPr>
              <w:jc w:val="right"/>
              <w:ind w:right="77"/>
              <w:spacing w:after="0"/>
              <w:rPr>
                <w:sz w:val="20"/>
                <w:szCs w:val="20"/>
                <w:color w:val="auto"/>
              </w:rPr>
            </w:pPr>
            <w:r>
              <w:rPr>
                <w:rFonts w:ascii="Arial" w:cs="Arial" w:eastAsia="Arial" w:hAnsi="Arial"/>
                <w:sz w:val="18"/>
                <w:szCs w:val="18"/>
                <w:color w:val="auto"/>
              </w:rPr>
              <w:t>69,900</w:t>
            </w:r>
          </w:p>
        </w:tc>
        <w:tc>
          <w:tcPr>
            <w:tcW w:w="100" w:type="dxa"/>
            <w:vAlign w:val="bottom"/>
          </w:tcPr>
          <w:p>
            <w:pPr>
              <w:spacing w:after="0"/>
              <w:rPr>
                <w:sz w:val="21"/>
                <w:szCs w:val="21"/>
                <w:color w:val="auto"/>
              </w:rPr>
            </w:pPr>
          </w:p>
        </w:tc>
        <w:tc>
          <w:tcPr>
            <w:tcW w:w="2080" w:type="dxa"/>
            <w:vAlign w:val="bottom"/>
          </w:tcPr>
          <w:p>
            <w:pPr>
              <w:jc w:val="right"/>
              <w:ind w:right="95"/>
              <w:spacing w:after="0"/>
              <w:rPr>
                <w:sz w:val="20"/>
                <w:szCs w:val="20"/>
                <w:color w:val="auto"/>
              </w:rPr>
            </w:pPr>
            <w:r>
              <w:rPr>
                <w:rFonts w:ascii="Arial" w:cs="Arial" w:eastAsia="Arial" w:hAnsi="Arial"/>
                <w:sz w:val="18"/>
                <w:szCs w:val="18"/>
                <w:color w:val="auto"/>
              </w:rPr>
              <w:t>70,600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Estimated U.S. subscribers as measured by Nielsen.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10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1060" w:type="dxa"/>
            <w:vAlign w:val="bottom"/>
          </w:tcPr>
          <w:p>
            <w:pPr>
              <w:jc w:val="right"/>
              <w:ind w:right="208"/>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91,404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89,894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30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506,902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367,288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139,614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598,306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457,182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141,124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increase of $1.5 million in advertising revenues was principally due to the favorable impact of foreign currency translation of $1.2 million. Distribution revenues increased primarily due to a $134.9 million impact from the Levity and RLJE acquisitions, increases at our targeted SVOD services (Shudder and Sundance Now) of $9.3 million and an increase at IFC Films of $2.3 million. Foreign currency translation had a favorable impact to distribution revenue of $8.8 million which was offset by a decrease of $10.7 million due to the absence of revenue from the sale of AMCNI – DMC (sold in July 2017).</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$104.9 million to $1.4 billion for 2018 as compared to 2017. The net change by segment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673"/>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1,080,732</w:t>
            </w:r>
          </w:p>
        </w:tc>
        <w:tc>
          <w:tcPr>
            <w:tcW w:w="6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1,064,580</w:t>
            </w:r>
          </w:p>
        </w:tc>
        <w:tc>
          <w:tcPr>
            <w:tcW w:w="860" w:type="dxa"/>
            <w:vAlign w:val="bottom"/>
            <w:tcBorders>
              <w:bottom w:val="single" w:sz="8" w:color="CCEEFF"/>
            </w:tcBorders>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16,152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392,793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289,238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103,555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(27,576)</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(14,834)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4700" w:type="dxa"/>
            <w:vAlign w:val="bottom"/>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1,445,949</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1,341,076</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104,873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37"/>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7"/>
        </w:trPr>
        <w:tc>
          <w:tcPr>
            <w:tcW w:w="4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The increase in technical and operating expense was primarily attributable to an increase of $28.2 million in other direct programming costs which includes participation, development costs and delivery expenses, partially offset a decrease in program rights amortization expense of $12.0 million. Program rights amortization expense includes write-offs of $48.8 million for the year ended December 31, 2018 primarily based on management's assessment of programming usefulness of certain original programming and development costs at AMC and unscripted series at WE tv, as compared to program rights write-offs of $47.7 million primarily related to certain original programming and development costs at AMC for the year ended December 31, 2017.</w:t>
      </w:r>
    </w:p>
    <w:p>
      <w:pPr>
        <w:spacing w:after="0" w:line="5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amortization recorded from owned original programming in each period based on the individual-film-forecast-computation method. As additional competition for programming increases and alternate distribution technologies continue to develop in the industry, costs for content acquisition and original programming may increase.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increase in the International and Other segment was primarily due to an $88.0 million impact from the Levity and RLJE acquisitions. In addition, technical and operating expense increased $10.3 million at our targeted SVOD services (Shudder and Sundance Now) due to the continued investment in programming and an increase of $11.5 million at AMCNI due to the increased investment in content and other direct programming costs, partially offset by the absence of $7.0 million in costs related to AMCNI – DMC (sold in July 2017). Foreign currency translation had an unfavorable impact to the change in technical and operating expense of $4.9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Selling, general and administrative expense increased $44.1 million to $657.5 million for 2018 as compared to 2017. The net change by segment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673"/>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455,935</w:t>
            </w:r>
          </w:p>
        </w:tc>
        <w:tc>
          <w:tcPr>
            <w:tcW w:w="6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451,820</w:t>
            </w:r>
          </w:p>
        </w:tc>
        <w:tc>
          <w:tcPr>
            <w:tcW w:w="860" w:type="dxa"/>
            <w:vAlign w:val="bottom"/>
            <w:tcBorders>
              <w:bottom w:val="single" w:sz="8" w:color="CCEEFF"/>
            </w:tcBorders>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4,115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201,611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161,573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40,038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4700" w:type="dxa"/>
            <w:vAlign w:val="bottom"/>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657,457</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613,342</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44,115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37"/>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7"/>
        </w:trPr>
        <w:tc>
          <w:tcPr>
            <w:tcW w:w="4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increase in the National Networks segment selling, general and administrative expense was driven principally as a result of a $10.2 million increase in employee related costs and professional fees, partially offset by a decrease in sales and marketing related costs of $6.1 million related to timing of the promotion and marketing of original programming.</w:t>
      </w:r>
    </w:p>
    <w:p>
      <w:pPr>
        <w:spacing w:after="0" w:line="73"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increase in the International and Other segment was primarily due to a $41.4 million impact from the acquisitions of Levity and RLJE. In addition, increases in selling, general and administrative expense across the segment were offset by a decrease at AMCNI due to the absence of costs related to AMCNI – DMC (sold in July 2017), partially offset by an increase at IFC Films. Foreign currency translation had an unfavorable impact to the change in selling, general and administrative expense of $1.7 million.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and amortization decreased $3.4 million to $91.3 million for 2018 as compared to 2017. The net change by segment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33,728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33,702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57,553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60,936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(3,383)</w:t>
            </w:r>
          </w:p>
        </w:tc>
        <w:tc>
          <w:tcPr>
            <w:tcW w:w="1720" w:type="dxa"/>
            <w:vAlign w:val="bottom"/>
            <w:gridSpan w:val="2"/>
          </w:tcPr>
          <w:p>
            <w:pPr>
              <w:jc w:val="right"/>
              <w:ind w:right="128"/>
              <w:spacing w:after="0"/>
              <w:rPr>
                <w:sz w:val="20"/>
                <w:szCs w:val="20"/>
                <w:color w:val="auto"/>
              </w:rPr>
            </w:pPr>
            <w:r>
              <w:rPr>
                <w:rFonts w:ascii="Arial" w:cs="Arial" w:eastAsia="Arial" w:hAnsi="Arial"/>
                <w:sz w:val="18"/>
                <w:szCs w:val="18"/>
                <w:color w:val="auto"/>
              </w:rPr>
              <w:t>(5.6)</w:t>
            </w:r>
          </w:p>
        </w:tc>
      </w:tr>
      <w:tr>
        <w:trPr>
          <w:trHeight w:val="27"/>
        </w:trPr>
        <w:tc>
          <w:tcPr>
            <w:tcW w:w="4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89"/>
        </w:trPr>
        <w:tc>
          <w:tcPr>
            <w:tcW w:w="4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91,281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94,638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(3,357)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decrease in depreciation and amortization expense in the International and Other segment was attributable to a decrease in amortization expense of $4.2 million due the absence of a $9.0 million charge recorded in 2017 resulting from accelerated amortization of certain identifiable intangible assets at AMCNI, partially offset by an increase in amortization expense of $6.0 million from intangible assets related to the acquisitions of Levity and RLJE. The net decrease in amortization expense was partially offset by an increase in depreciation expense of $2.2 million as a result of the property and equipment acquired in connection with the acquisitions, as well as an increase of $3.9 million related to leasehold additions, partially offset by a decrease of $5.3 million due to the absence of AMCNI – DMC (sold in July 2017). Foreign currency translation had an unfavorable impact to the change in depreciation and amortization of $0.8 million.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and related charges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September 2018, in connection with the disposition of a business, AMCNI recognized a $4.4 million charge primarily related to program rights.</w:t>
      </w:r>
    </w:p>
    <w:p>
      <w:pPr>
        <w:spacing w:after="0" w:line="12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July 2017, we completed the sale of our Amsterdam-based media logistics facility, AMCNI – DMC. In connection with the sale, we recognized an impairment charge of $17.1 million to reflect the AMCNI-DMC assets held for sale at fair value less estimated sale costs and an $11.0 million pre-tax loss on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Restructuring expense of $45.8 million for the year ended December 31, 2018 related to (i) a restructuring plan commenced by management in September 2018 designed to reduce the cost structure of the Company and improve the organizational design of the Company through the elimination of certain roles and the re-alignment of certain senior leaders to new or additional responsibilities and (ii) the termination of distribution in certain territories at AMCNI. The components of the 2018 restructuring charge by segment was are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2018 Restructuring Charge</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Restructuring</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Distribution</w:t>
            </w:r>
          </w:p>
        </w:tc>
        <w:tc>
          <w:tcPr>
            <w:tcW w:w="380" w:type="dxa"/>
            <w:vAlign w:val="bottom"/>
          </w:tcPr>
          <w:p>
            <w:pPr>
              <w:spacing w:after="0"/>
              <w:rPr>
                <w:sz w:val="13"/>
                <w:szCs w:val="13"/>
                <w:color w:val="auto"/>
              </w:rPr>
            </w:pPr>
          </w:p>
        </w:tc>
        <w:tc>
          <w:tcPr>
            <w:tcW w:w="12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Plan</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b w:val="1"/>
                <w:bCs w:val="1"/>
                <w:color w:val="auto"/>
              </w:rPr>
              <w:t>Exits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1580" w:type="dxa"/>
            <w:vAlign w:val="bottom"/>
            <w:tcBorders>
              <w:bottom w:val="single" w:sz="8" w:color="CCEEFF"/>
            </w:tcBorders>
            <w:shd w:val="clear" w:color="auto" w:fill="CCEEFF"/>
          </w:tcPr>
          <w:p>
            <w:pPr>
              <w:jc w:val="right"/>
              <w:ind w:right="139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17,160</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17,160</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International and Other (a)</w:t>
            </w:r>
          </w:p>
        </w:tc>
        <w:tc>
          <w:tcPr>
            <w:tcW w:w="158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w w:val="90"/>
              </w:rPr>
              <w:t>18,803</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ind w:right="56"/>
              <w:spacing w:after="0"/>
              <w:rPr>
                <w:sz w:val="20"/>
                <w:szCs w:val="20"/>
                <w:color w:val="auto"/>
              </w:rPr>
            </w:pPr>
            <w:r>
              <w:rPr>
                <w:rFonts w:ascii="Arial" w:cs="Arial" w:eastAsia="Arial" w:hAnsi="Arial"/>
                <w:sz w:val="18"/>
                <w:szCs w:val="18"/>
                <w:color w:val="auto"/>
              </w:rPr>
              <w:t>16,386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ind w:left="640"/>
              <w:spacing w:after="0"/>
              <w:rPr>
                <w:sz w:val="20"/>
                <w:szCs w:val="20"/>
                <w:color w:val="auto"/>
              </w:rPr>
            </w:pPr>
            <w:r>
              <w:rPr>
                <w:rFonts w:ascii="Arial" w:cs="Arial" w:eastAsia="Arial" w:hAnsi="Arial"/>
                <w:sz w:val="18"/>
                <w:szCs w:val="18"/>
                <w:color w:val="auto"/>
              </w:rPr>
              <w:t>35,189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15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1580" w:type="dxa"/>
            <w:vAlign w:val="bottom"/>
            <w:tcBorders>
              <w:top w:val="single" w:sz="8" w:color="auto"/>
            </w:tcBorders>
          </w:tcPr>
          <w:p>
            <w:pPr>
              <w:jc w:val="right"/>
              <w:ind w:right="139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0"/>
              </w:rPr>
              <w:t>35,963</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45,847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Restructuring expense in the International and Other segment includes $9.4 million related to corporate headquarters severance charges.</w:t>
      </w:r>
    </w:p>
    <w:p>
      <w:pPr>
        <w:spacing w:after="0" w:line="129" w:lineRule="exact"/>
        <w:rPr>
          <w:sz w:val="20"/>
          <w:szCs w:val="20"/>
          <w:color w:val="auto"/>
        </w:rPr>
      </w:pPr>
    </w:p>
    <w:p>
      <w:pPr>
        <w:jc w:val="both"/>
        <w:ind w:right="460" w:firstLine="405"/>
        <w:spacing w:after="0" w:line="264" w:lineRule="auto"/>
        <w:rPr>
          <w:sz w:val="20"/>
          <w:szCs w:val="20"/>
          <w:color w:val="auto"/>
        </w:rPr>
      </w:pPr>
      <w:r>
        <w:rPr>
          <w:rFonts w:ascii="Arial" w:cs="Arial" w:eastAsia="Arial" w:hAnsi="Arial"/>
          <w:sz w:val="18"/>
          <w:szCs w:val="18"/>
          <w:color w:val="auto"/>
        </w:rPr>
        <w:t>Restructuring expense of $6.1 million for the year ended December 31, 2017 related to charges incurred at the International and Other segment for corporate headquarters severance costs of $2.6 million and charges incurred at AMCNI related to costs associated with the termination of distribution in certain territories of $3.5 million.</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825,770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817,566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8,204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(93,326)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(88,894)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(4,432)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1"/>
              </w:rPr>
              <w:t>(5,535)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48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726,909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722,359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4,550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operating income at the National Networks segment was primarily attributable to an increase in revenues of $45.7 million, partially offset by an increase in restructuring expense of $17.2 million, an increase in technical and operating expense of $16.2 million and an increase in selling, general and administrative expense of $4.1 million.</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operating loss at the International and Other segment was primarily attributable to a net increase in expense of $5.3 million related to restructuring charges and impairment and other charges combined in 2018 as compared to 2017 (see discussion above) and a net operating loss of $2.8 million from Levity and RLJE. Depreciation and amortization decreased $11.6 million (excluding the impact of the acquisitions of Levity and RLJE) principally due to the accelerated amortization expense of $9.0 million recorded at AMCNI in 2017. Foreign currency translation had a favorable impact to the change in operating income of $2.7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consolidated AOI:</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726,909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722,359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4,550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60,979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53,545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7,434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91,281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94,638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Impairment and related charges</w:t>
            </w:r>
          </w:p>
        </w:tc>
        <w:tc>
          <w:tcPr>
            <w:tcW w:w="3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28,148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(23,662)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45,847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39,719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Majority owned equity investees AOI</w:t>
            </w:r>
          </w:p>
        </w:tc>
        <w:tc>
          <w:tcPr>
            <w:tcW w:w="3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r>
      <w:tr>
        <w:trPr>
          <w:trHeight w:val="28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932,545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904,818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27,727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24"/>
                <w:szCs w:val="24"/>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2"/>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5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color w:val="auto"/>
        </w:rPr>
        <w:t>AOI increased $27.7 million to $932.5 million for 2018 as compared to 2017. The net change by segment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925,279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894,912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30,367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19,303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16,219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3,084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(5,724)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4800" w:type="dxa"/>
            <w:vAlign w:val="bottom"/>
          </w:tcPr>
          <w:p>
            <w:pPr>
              <w:ind w:left="2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932,545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904,818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27,727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National Networks AOI increased due to an increase in revenues, net of $45.7 million, partially offset by an increase in technical and operating expenses of $16.2 million resulting primarily from an increase in other direct programming costs.</w:t>
      </w:r>
    </w:p>
    <w:p>
      <w:pPr>
        <w:spacing w:after="0" w:line="62"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International and Other AOI increased due to an increase in revenues, net of $141.1 million, partially offset by an increase in technical and operating expenses of $103.6 million, an increase in selling, general and administrative expenses (excluding stock based compensation) of $38.3 million. The acquisitions of Levity and RLJE had a favorable impact on AOI of $8.4 million (which includes an increase of $3.0 million related to the AOI of greater than majority-owned equity method investees). Foreign currency translation had a favorable impact on AOI of approximately $4.4 million.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increase in interest expense, net of $16.5 million from 2017 to 2018 was attributable an increase in interest expense of $21.0 million primarily resulting from the issuance of our $800 million in aggregate principal amount of 4.75% Senior Notes due 2025 on July 28, 2017, partially offset by an increase in interest income of $4.5 million principally due to interest income earned in 2018 (through the date of acquisition) on term loans entered into with RLJE in October 2016 and fuboTV in April 2018, and an increase in interest earned on cash balances due to an increase in interest rates compared to the same period in 2017.</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loss on extinguishment of debt for the year ended December 31, 2017 of $3.0 million was primarily due to the write-off of a portion of unamortized deferred financing costs following the amendment of our Term Loan A Facility in July 2017.</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decrease in miscellaneous, net of $11.1 million was principally the result of a $21.8 million unfavorable variance in the foreign currency remeasurement of monetary assets and liabilities that are denominated in currencies other than the underlying functional currency of the applicable entity from both foreign currency transactions as well as intercompany loans and impairment charges of $13.5 million for the partial write-down of certain of our investments. Partially offsetting such decreases are an increase of $22.1 million in gains on derivative instruments principally due to the value of derivative instruments and warrants held related to RLJE (recorded through the date of acquisition) and an increase in the value of our marketable equity securities of $4.6 million primarily driven by a gain recorded through the date of acquisition in the fair market value of RLJE common shares held of $14.1 million, partially offset by a decrease in value of one of our marketable equity securities of $9.5 million. The gains recorded related to RLJE are driven by the increase in the fair value of RLJE common stock as a result of our agreement to acquire all the outstanding shares of RLJE for a purchase price of $6.25 per share (see further discussion below under heading "Other Matters").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Income tax expense was $156.3 million for the year ended December 31, 2018, representing an effective tax rate of 25%. The effective tax rate differs from the federal statutory rate of 21% due primarily to tax expense of $16.4 million for an increase in valuation allowances for foreign taxes and U.S. foreign tax credits; state and local income tax expense of $11.5 million and a tax benefit of $12.8 million for the one-time rate change on deferred tax assets and liabilities that resulted from the extension of certain television production cost deductions included in the Bipartisan Budget Act of 2018 (enacted February 9, 2018) and return to provision adjustments.</w:t>
      </w:r>
    </w:p>
    <w:p>
      <w:pPr>
        <w:spacing w:after="0" w:line="8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Income tax expense was $150.7 million for the year ended December 31, 2017, representing an effective tax rate of 24%. The effective tax rate differs from the federal statutory rate of 35% due primarily to tax benefit of $67.9 million which represents the one-time impact of the change in the corporate tax rate on deferred tax assets and liabilities, tax benefit from the domestic production activities deduction of $19.3 million, tax benefit from foreign subsidiary earnings indefinitely reinvested outside of the U.S. of $4.6 million, tax benefit of $2.7 million resulting from an decrease in the valuation allowance relating primarily to foreign and local taxes, tax expense of $11.0 million resulting from the one-time transition tax on undistributed foreign earnings, net of foreign taxes deemed paid, state income tax expense of $9.5 million, and tax expense of $3.3 million related to uncertain tax positions, including accrued interest.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w:t>
      </w:r>
    </w:p>
    <w:p>
      <w:pPr>
        <w:spacing w:after="0" w:line="80"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year ended December 31, 2019, the Company repurchased 1.3 million shares of its Class A common stock at an average purchase price of $54.24 per share. As of December 31, 2019, the Company had $488.8 million available for repurchase under the Stock Repurchase Program.</w:t>
      </w:r>
    </w:p>
    <w:p>
      <w:pPr>
        <w:spacing w:after="0" w:line="63"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Our principal uses of cash include the acquisition and production of programming, debt service, repurchases of outstanding debt and common stock, payments for income taxes and investments and acquisitions. We continue to increase our investment in original programming, the funding of which generally occurs six to nine months in advance of a program's airing. We expect this increased investment to continue in 2020.</w:t>
      </w:r>
    </w:p>
    <w:p>
      <w:pPr>
        <w:spacing w:after="0" w:line="5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of December 31, 2019, our consolidated cash and cash equivalents balance includes approximately $125.3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73"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 See Item 1A, "Risk Factors – Risks Related to Our Debt" in this Annual Report.</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summary of cash flows provided by (used in)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gridSpan w:val="6"/>
          </w:tcPr>
          <w:p>
            <w:pPr>
              <w:jc w:val="right"/>
              <w:ind w:right="230"/>
              <w:spacing w:after="0"/>
              <w:rPr>
                <w:sz w:val="20"/>
                <w:szCs w:val="20"/>
                <w:color w:val="auto"/>
              </w:rPr>
            </w:pPr>
            <w:r>
              <w:rPr>
                <w:rFonts w:ascii="Arial" w:cs="Arial" w:eastAsia="Arial" w:hAnsi="Arial"/>
                <w:sz w:val="16"/>
                <w:szCs w:val="16"/>
                <w:b w:val="1"/>
                <w:bCs w:val="1"/>
                <w:color w:val="auto"/>
                <w:w w:val="91"/>
              </w:rPr>
              <w:t>Years Ended December 31,</w:t>
            </w:r>
          </w:p>
        </w:tc>
        <w:tc>
          <w:tcPr>
            <w:tcW w:w="1180" w:type="dxa"/>
            <w:vAlign w:val="bottom"/>
          </w:tcPr>
          <w:p>
            <w:pPr>
              <w:spacing w:after="0"/>
              <w:rPr>
                <w:sz w:val="18"/>
                <w:szCs w:val="18"/>
                <w:color w:val="auto"/>
              </w:rPr>
            </w:pPr>
          </w:p>
        </w:tc>
      </w:tr>
      <w:tr>
        <w:trPr>
          <w:trHeight w:val="33"/>
        </w:trPr>
        <w:tc>
          <w:tcPr>
            <w:tcW w:w="6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2017</w:t>
            </w: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483,748</w:t>
            </w: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606,547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385,729</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(89,707)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(260,184)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(130,602)</w:t>
            </w:r>
          </w:p>
        </w:tc>
      </w:tr>
      <w:tr>
        <w:trPr>
          <w:trHeight w:val="27"/>
        </w:trPr>
        <w:tc>
          <w:tcPr>
            <w:tcW w:w="6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(314,607)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(204,210)</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262,915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31,756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50,917</w:t>
            </w: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Net cash provided by operating activities amounted to $483.7 million for the year ended December 31, 2019 as compared to $606.5 million for the year ended December 31, 2018. In 2019, net cash provided by operating activities resulted from $1.7 billion of net income before amortization of program rights, depreciation and amortization, share-based compensation and other non-cash items, which was partially offset by payments for program rights of $969.9 million, an increase in prepaid expenses and other assets of $142.3 million primarily related to an increase in production tax credits and taxes receivable, an increase in accounts receivable, trade of $43.3 million due to the timing of cash receipts, and a decrease in accounts payable, accrued liabilities and other liabilities of $28.4 million primarily as a result of lower employee related liabilities. Changes in all other assets and liabilities during the year resulted in a decrease in cash of $5.1 million.</w:t>
      </w:r>
    </w:p>
    <w:p>
      <w:pPr>
        <w:spacing w:after="0" w:line="8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2018, net cash provided by operating activities resulted from $1.6 billion of net income before amortization of program rights, depreciation and amortization, share-based compensation and other non-cash items, which was partially offset by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payments for program rights of $978.8 million. Additionally, income taxes payable decreased $17.0 million and accounts payable, accrued expenses and other liabilities increased $48.9 million primarily due to higher accruals for participation and residuals, partially offset by lower employee related liabilities at December 31, 2018 as compared to the prior year. Accounts receivable, trade, increased $52.1 million at December 31, 2018 as compared to the prior year primarily driven by higher distribution revenues as well as timing of cash receipts. Changes in all other assets and liabilities during the year resulted in a decrease in cash of $13.4 million.</w:t>
      </w:r>
    </w:p>
    <w:p>
      <w:pPr>
        <w:spacing w:after="0" w:line="8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2017, net cash provided by operating activities resulted from $1.5 billion of net income before amortization of program rights, depreciation and amortization, loss on extinguishment of debt, impairment charges and other non-cash items, which was partially offset by payments for program rights of $996.8 million. Additionally, income taxes payable decreased $22.0 million and accounts payable, accrued expenses and other liabilities increased $15.6 million primarily due to higher accrued interest and participation and residuals, partially offset by lower employee related liabilities at December 31, 2017 as compared to the prior year. Accounts receivable, trade, increased $74.6 million at December 31, 2017 as compared to the prior year primarily driven by higher distribution revenues as well as timing of cash receipts and prepaid expenses and other assets increased $60.0 million. Changes in all other assets and liabilities during the year resulted in a decrease in cash of $16.2 million.</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Net cash used in investing activities for the years ended December 31, 2019, 2018 and 2017 was $89.7 million, $260.2 million and $130.6 million, respectively. In 2019, net cash used in investing activities was primarily related to capital expenditures of $91.6 million, primarily related to leasehold improvements, and the purchase of investments of $3.5 million, partially offset by a return of capital from investees of $5.4 million.</w:t>
      </w:r>
    </w:p>
    <w:p>
      <w:pPr>
        <w:spacing w:after="0" w:line="73"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In 2018, net cash used in investing activities was primarily related to capital expenditures of $89.8 million, primarily related to modernization and improvements of facilities and equipment, payments for acquisitions, net of cash acquired of $84.4 million related to Levity and RLJE, and the purchase of several minority investments, including loans to investees, of $90.1 million, partially offset by a return of capital from investees.</w:t>
      </w:r>
    </w:p>
    <w:p>
      <w:pPr>
        <w:spacing w:after="0" w:line="5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2017, net cash used in investing activities was primarily related to capital expenditures of $80.0 million, and investments of $53.0 million which included additional funding for RLJE and the purchase of several minority investments.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Net cash used in financing activities amounted to $131.1 million for the year ended December 31, 2019 as compared to $314.6 million for the year ended December 31, 2018 and $204.2 million for the year ended December 31, 2017. In 2019, financing activities primarily consisted of purchases of Class A Common Stock of $70.6 million under our Stock Repurchase Program, principal payments on long-term debt of $23.0 million, taxes paid in lieu of shares issued for equity-based compensation of $23.0 million, and distributions to noncontrolling members of $15.6 million.</w:t>
      </w:r>
    </w:p>
    <w:p>
      <w:pPr>
        <w:spacing w:after="0" w:line="63"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In 2018, financing activities primarily consisted of purchases of Class A Common Stock of $283.1 million under our Stock Repurchase Program, distributions to noncontrolling members of $14.3 million, and taxes paid in lieu of shares issued for equity-based compensation of $16.8 million.</w:t>
      </w:r>
    </w:p>
    <w:p>
      <w:pPr>
        <w:spacing w:after="0" w:line="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2017, financing activities primarily consisted of net proceeds of $786.0 million from the issuance of the 4.75% Notes due 2025 and $750.0 million proceeds for the new Term Loan A Facility, partially offset by payments on the old Term Loan A Facility of $1.3 billion. In addition, net cash used in financing activities includes purchases of Class A Common Stock of $434.2 million under our Stock Repurchase Program, distributions to a noncontrolling member of $18.6 million, taxes paid in lieu of shares issued for equity-based compensation of $14.5 million, payments for financing costs of $10.4 million, and principal payments on capital lease obligations of $4.6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b w:val="1"/>
          <w:bCs w:val="1"/>
          <w:color w:val="auto"/>
        </w:rPr>
        <w:t>Debt Financing Agreements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principal amount of long-term debt consists of:</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Secured Credit Facility:</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058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0585"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Term Loan A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2058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Notes: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4.75% Notes due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5.00% Notes due April 2024</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4.75% Notes due 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debt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amount of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162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731,250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750,000</w:t>
            </w:r>
          </w:p>
        </w:tc>
      </w:tr>
      <w:tr>
        <w:trPr>
          <w:trHeight w:val="540"/>
        </w:trPr>
        <w:tc>
          <w:tcPr>
            <w:tcW w:w="18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800,000</w:t>
            </w:r>
          </w:p>
        </w:tc>
      </w:tr>
      <w:tr>
        <w:trPr>
          <w:trHeight w:val="270"/>
        </w:trPr>
        <w:tc>
          <w:tcPr>
            <w:tcW w:w="18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1,000,000</w:t>
            </w:r>
          </w:p>
        </w:tc>
      </w:tr>
      <w:tr>
        <w:trPr>
          <w:trHeight w:val="270"/>
        </w:trPr>
        <w:tc>
          <w:tcPr>
            <w:tcW w:w="18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600,000</w:t>
            </w:r>
          </w:p>
        </w:tc>
      </w:tr>
      <w:tr>
        <w:trPr>
          <w:trHeight w:val="270"/>
        </w:trPr>
        <w:tc>
          <w:tcPr>
            <w:tcW w:w="180" w:type="dxa"/>
            <w:vAlign w:val="bottom"/>
          </w:tcPr>
          <w:p>
            <w:pPr>
              <w:spacing w:after="0"/>
              <w:rPr>
                <w:sz w:val="23"/>
                <w:szCs w:val="23"/>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2,584</w:t>
            </w:r>
          </w:p>
        </w:tc>
      </w:tr>
      <w:tr>
        <w:trPr>
          <w:trHeight w:val="27"/>
        </w:trPr>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3,131,250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3,152,584</w:t>
            </w:r>
          </w:p>
        </w:tc>
      </w:tr>
      <w:tr>
        <w:trPr>
          <w:trHeight w:val="27"/>
        </w:trPr>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6960" w:space="720"/>
            <w:col w:w="3740"/>
          </w:cols>
          <w:pgMar w:left="240" w:top="999" w:right="239" w:bottom="1440" w:gutter="0" w:footer="0" w:header="0"/>
        </w:sectPr>
      </w:pPr>
    </w:p>
    <w:p>
      <w:pPr>
        <w:ind w:left="1060" w:hanging="647"/>
        <w:spacing w:after="0" w:line="277" w:lineRule="auto"/>
        <w:tabs>
          <w:tab w:leader="none" w:pos="6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December 31, 2019. Total undrawn revolver commitments are available to be drawn for general corporate purposes of the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Subsequent Event - Partial Redemption of 4.75% Notes due 2022</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On February 3, 2020, we announced our intention to redeem $200 million of the outstanding $600 million principal amount of our 4.75% Notes due 2022. The 4.75% Notes due 2022 will be redeemed on March 4, 2020 (the "Redemption Date") at a redemption price of 100.792% of the principal amount of the 4.75% Notes due 2022, plus accrued and unpaid interest to, but excluding, the Redemption Date.</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Additional information regarding our outstanding indebtedness and the significant terms and provisions of our Senior Secured Credit Facility and our Senior Notes is discussed in Note 12 to the accompanying consolidated financial statements included in this Annual Report on Form 10-K and is incorporated herein by reference.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as of December 31, 2019 are summarized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w w:val="90"/>
              </w:rPr>
              <w:t>Payments due by period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4"/>
                <w:szCs w:val="24"/>
                <w:color w:val="auto"/>
              </w:rPr>
            </w:pPr>
          </w:p>
        </w:tc>
        <w:tc>
          <w:tcPr>
            <w:tcW w:w="86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Year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2 - 3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4 - 5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92"/>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Debt obligations: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3,131,250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56,250</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1,525,000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payments (1)</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609,592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271,351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160,210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70"/>
        </w:trPr>
        <w:tc>
          <w:tcPr>
            <w:tcW w:w="4740" w:type="dxa"/>
            <w:vAlign w:val="bottom"/>
          </w:tcPr>
          <w:p>
            <w:pPr>
              <w:ind w:left="100"/>
              <w:spacing w:after="0"/>
              <w:rPr>
                <w:sz w:val="20"/>
                <w:szCs w:val="20"/>
                <w:color w:val="auto"/>
              </w:rPr>
            </w:pPr>
            <w:r>
              <w:rPr>
                <w:rFonts w:ascii="Arial" w:cs="Arial" w:eastAsia="Arial" w:hAnsi="Arial"/>
                <w:sz w:val="18"/>
                <w:szCs w:val="18"/>
                <w:color w:val="auto"/>
              </w:rPr>
              <w:t>Purchase obligations (2)</w:t>
            </w:r>
          </w:p>
        </w:tc>
        <w:tc>
          <w:tcPr>
            <w:tcW w:w="24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933,444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291,108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178,419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51,202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412,715</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obligations (3)</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268,726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67,011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69,306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92,963</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Finance lease obligations (3)</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28,776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8,805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8,911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8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4,971,788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532,698</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1,275,586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1,814,629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1,348,875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right="260" w:hanging="329"/>
        <w:spacing w:after="0" w:line="277" w:lineRule="auto"/>
        <w:tabs>
          <w:tab w:leader="none" w:pos="5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on variable rate debt and the variable portion of interest rate swap contracts is estimated based on a LIBOR yield curve as of December 31, 2019.</w:t>
      </w:r>
    </w:p>
    <w:p>
      <w:pPr>
        <w:spacing w:after="0" w:line="8" w:lineRule="exact"/>
        <w:rPr>
          <w:rFonts w:ascii="Arial" w:cs="Arial" w:eastAsia="Arial" w:hAnsi="Arial"/>
          <w:sz w:val="18"/>
          <w:szCs w:val="18"/>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Purchase obligations consist primarily of program rights obligations, participations, residuals, and transmission and marketing commitments.</w:t>
      </w:r>
    </w:p>
    <w:p>
      <w:pPr>
        <w:spacing w:after="0" w:line="74"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and finance lease obligation amounts include imputed interest.</w:t>
      </w:r>
    </w:p>
    <w:p>
      <w:pPr>
        <w:spacing w:after="0" w:line="11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contractual obligations table above does not include any liabilities for uncertain income tax positions due to the fact that we are unable to reasonably predict the ultimate amount or timing of any related payments in settlement of our liabilities for uncertain income tax positions. At December 31, 2019, the liability for uncertain tax positions was $18.6 million, excluding the related accrued interest liability of $4.6 million and deferred tax assets of $4.1 million. See Note 16 to the accompanying consolidated financial statements for further discussion of the Company's income taxes.</w:t>
      </w:r>
    </w:p>
    <w:p>
      <w:pPr>
        <w:spacing w:after="0" w:line="6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connection with the 2018 acquisition of RLJE, the terms of the operating agreement provide the noncontrolling member with a right to put all of its noncontrolling interest to a subsidiary of the Company at the greater of the then fair market value or enterprise value of RLJE, in each case pursuant to the operating agreement and applied to the equity interest. The put</w:t>
      </w:r>
    </w:p>
    <w:p>
      <w:pPr>
        <w:sectPr>
          <w:pgSz w:w="11900" w:h="16838" w:orient="portrait"/>
          <w:cols w:equalWidth="0" w:num="1">
            <w:col w:w="11420"/>
          </w:cols>
          <w:pgMar w:left="240" w:top="99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type w:val="continuous"/>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option is exercisable following the seven year anniversary of the agreement (October 31, 2025), or earlier upon a change of control. The above table does not include any future payments that would be required upon the exercise of these put rights.</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2018 acquisition of Levity, the terms of the operating agreement provide the noncontrolling interest holders with a right to put 50% of their interests to a subsidiary of the Company on the four year anniversary of the agreement (April 20, 2022), and a right to put all of their interests to the Company on the six year anniversary of the agreement (April 20, 2024). The put rights are at fair market value. The above table does not include any future payments that would be required upon the exercise of these put rights.</w:t>
      </w:r>
    </w:p>
    <w:p>
      <w:pPr>
        <w:spacing w:after="0" w:line="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connection with the 2014 acquisition of BBC AMERICA, the terms of the agreement provide the BBC with a right to put all of its 50.1% noncontrolling interest to a subsidiary of the Company at the greater of the then fair value or the fair value of the initial equity interest at the closing date of the acquisition. The put option is exercisable on the fifteen (October 23, 2029) and twenty-five (October 23, 2039) year anniversaries of the agreement. The above table does not include any future payments that would be required upon the exercise of these put rights.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 material off-balance sheet arrangements (as defined in Item 303(a)(4) of Regulation 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preparing our consolidated financial statements, we are required to make certain estimates and assumptions that affect the reported amounts of assets and liabilities at the date of the financial statements and the reported amounts of revenues and expenses during the periods presented. These estimates and assumptions can be subjective and complex and, consequently, actual results could differ materially from our estimates and assumptions. We base our estimates on historical experience, known or expected trends and other assumptions that we believe are reasonable under the circumstances.</w:t>
      </w:r>
    </w:p>
    <w:p>
      <w:pPr>
        <w:spacing w:after="0" w:line="10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believe the following critical accounting policies comprise the more significant judgments and estimates used in the preparation of our consolidated financial statements: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Program Rights</w:t>
      </w:r>
    </w:p>
    <w:p>
      <w:pPr>
        <w:spacing w:after="0" w:line="15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Licensed rights to programming, including feature films and episodic series, are stated at the lower of amortized cost or net realizable value. Such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when the license period begins. Costs are amortized to technical and operating expense on a straight-line or accelerated basis over a period not to exceed the respective license periods. We periodically review the remaining useful lives of our licensed program rights based on several factors, including expected future revenue generation from airings on our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remaining useful life of such rights is adjusted accordingly, which may result in the accelerated amortization or write-off of such costs to technical and operating expense.</w:t>
      </w:r>
    </w:p>
    <w:p>
      <w:pPr>
        <w:spacing w:after="0" w:line="12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owned original programming is produced by production companies, with the remainder produced by us. Owned original programming costs, including certain development and estimated participation and residual costs are amortized to technical and operating expense over their estimated useful lives, commencing upon the first airing, based on attributable revenue for airings to date as a percentage of total projected attributable revenue ("ultimate revenue") under the individual-film-forecast-computation method. We base our estimates of projected attributable revenue on distribution and advertising revenues historically generated from similar content in comparable markets, and projected program usage. Projected program usage is based on our current expectation of future exhibitions. We periodically review attributable revenue estimates and projected program usage and revise our assumptions if necessary, which could either accelerate or delay the timing of amortization expense or result in a write-down of the unamortized costs to fair value. For example, a program's strong performance could result in increased usage and increased attributable revenues in a particular period, resulting in accelerated amortization of costs in that period. Poor ratings may result in the reduction of attributable revenue from planned usage or the abandonment of a program, which would require a write-off of any unamortized costs. Actual attributable revenue and exhibitions may vary from our projections due to factors such as market acceptance, levels of distribution and advertising revenue, resulting in changes to our decisions regarding planned program usage. A failure to adjust for a downward change in estimates of ultimate revenues could result in the understatement of program rights amortization expense for the period. Any capitalized development costs for programs that we determine will not be produced are also written off. Historically, other than instances of write-offs associated with our decisions to abandon programming, actual ultimate revenue amounts have not significantly differed from our estimates of ultimate revenue.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5" w:name="page56"/>
    <w:bookmarkEnd w:id="55"/>
    <w:p>
      <w:pPr>
        <w:jc w:val="both"/>
        <w:ind w:firstLine="486"/>
        <w:spacing w:after="0" w:line="277" w:lineRule="auto"/>
        <w:rPr>
          <w:sz w:val="20"/>
          <w:szCs w:val="20"/>
          <w:color w:val="auto"/>
        </w:rPr>
      </w:pPr>
      <w:r>
        <w:rPr>
          <w:rFonts w:ascii="Arial" w:cs="Arial" w:eastAsia="Arial" w:hAnsi="Arial"/>
          <w:sz w:val="18"/>
          <w:szCs w:val="18"/>
          <w:color w:val="auto"/>
        </w:rPr>
        <w:t>Program rights write-offs of $40.9 million, $50.5 million and $49.4 million were recorded for the years ended December 31, 2019, 2018 and 2017,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Useful Lives of Affiliate Intangible Assets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carrying amount of our intangible assets as of December 31, 2019 is $524.5 million, of which $384.0 million is comprised of affiliate relationships acquired in business combinations. Useful lives of affiliate relationships (ranging from 6 to 25 years) are initially determined based upon weighted average remaining terms of agreements in place with major distributors when purchase accounting is applied, plus an assumption for expected renewals. We periodically update our assumption for expected renewals based on recent experience and known or expected trends. We have historically been successful in renewing our major affiliation agreements and expect to renew such agreements in the future. However, if renewal trends deteriorate in the future (e.g., failure to renew, or renewals with significantly shorter terms), we may revise the remaining useful lives of affiliate intangible assets, resulting in higher amortization expense in future periods.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In accordance with Accounting Standards Update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Company recognizes goodwill impairment as the difference between the carrying amount of a reporting unit and its fair value, but not to exceed the carrying amount of goodwill.</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9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National Networks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237,103</w:t>
            </w:r>
          </w:p>
        </w:tc>
      </w:tr>
      <w:tr>
        <w:trPr>
          <w:trHeight w:val="243"/>
        </w:trPr>
        <w:tc>
          <w:tcPr>
            <w:tcW w:w="9420" w:type="dxa"/>
            <w:vAlign w:val="bottom"/>
          </w:tcPr>
          <w:p>
            <w:pPr>
              <w:spacing w:after="0"/>
              <w:rPr>
                <w:sz w:val="20"/>
                <w:szCs w:val="20"/>
                <w:color w:val="auto"/>
              </w:rPr>
            </w:pPr>
            <w:r>
              <w:rPr>
                <w:rFonts w:ascii="Arial" w:cs="Arial" w:eastAsia="Arial" w:hAnsi="Arial"/>
                <w:sz w:val="18"/>
                <w:szCs w:val="18"/>
                <w:color w:val="auto"/>
              </w:rPr>
              <w:t>International and Other</w:t>
            </w:r>
          </w:p>
        </w:tc>
        <w:tc>
          <w:tcPr>
            <w:tcW w:w="200" w:type="dxa"/>
            <w:vAlign w:val="bottom"/>
          </w:tcPr>
          <w:p>
            <w:pPr>
              <w:spacing w:after="0"/>
              <w:rPr>
                <w:sz w:val="21"/>
                <w:szCs w:val="21"/>
                <w:color w:val="auto"/>
              </w:rPr>
            </w:pP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464,877</w:t>
            </w:r>
          </w:p>
        </w:tc>
      </w:tr>
      <w:tr>
        <w:trPr>
          <w:trHeight w:val="27"/>
        </w:trPr>
        <w:tc>
          <w:tcPr>
            <w:tcW w:w="9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9"/>
        </w:trPr>
        <w:tc>
          <w:tcPr>
            <w:tcW w:w="94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701,980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86"/>
        <w:spacing w:after="0" w:line="295" w:lineRule="auto"/>
        <w:rPr>
          <w:sz w:val="20"/>
          <w:szCs w:val="20"/>
          <w:color w:val="auto"/>
        </w:rPr>
      </w:pPr>
      <w:r>
        <w:rPr>
          <w:rFonts w:ascii="Arial" w:cs="Arial" w:eastAsia="Arial" w:hAnsi="Arial"/>
          <w:sz w:val="16"/>
          <w:szCs w:val="16"/>
          <w:color w:val="auto"/>
        </w:rPr>
        <w:t>Based on our annual impairment test for goodwill as of December 1, 2019, in response to current and expected trends across the International television broadcasting markets, we recognized an impairment charge of $98.0 million to reduce the carrying amount of our AMCNI reporting unit to its fair value. Consistent with prior assessments, fair value was determined using a combination of an income approach, using a discounted cash flow model (DCF), and a market approach. The DCF model includes significant assumptions about revenue growth rates, long-term growth rates and enterprise specific discount</w:t>
      </w:r>
    </w:p>
    <w:p>
      <w:pPr>
        <w:jc w:val="both"/>
        <w:ind w:right="20"/>
        <w:spacing w:after="0" w:line="277" w:lineRule="auto"/>
        <w:rPr>
          <w:sz w:val="20"/>
          <w:szCs w:val="20"/>
          <w:color w:val="auto"/>
        </w:rPr>
      </w:pPr>
      <w:r>
        <w:rPr>
          <w:rFonts w:ascii="Arial" w:cs="Arial" w:eastAsia="Arial" w:hAnsi="Arial"/>
          <w:sz w:val="18"/>
          <w:szCs w:val="18"/>
          <w:color w:val="auto"/>
        </w:rPr>
        <w:t>rates. Additionally, assumptions related to guideline company financial multiples used in the market approach decreased based on current market observations.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regarding recently issued accounting pronouncements is discussed in Note 2 to the accompanying consolidated financial statements included in this Annual Report on Form 10-K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Based on the level of interest rates prevailing at December 31, 2019, the fair value of our fixed rate debt of $2.43 billion was higher than its carrying value of $2.37 billion by $55.6 million. The fair value of these financial instruments is estimated based on reference to quoted market prices for these or comparable securities. A hypothetical 100 basis point decrease in interest rates prevailing at December 31, 2019 would increase the estimated fair value of our fixed rate debt by approximately $54.5 million to approximately $2.5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6" w:name="page57"/>
    <w:bookmarkEnd w:id="56"/>
    <w:p>
      <w:pPr>
        <w:jc w:val="both"/>
        <w:ind w:firstLine="446"/>
        <w:spacing w:after="0" w:line="264" w:lineRule="auto"/>
        <w:rPr>
          <w:sz w:val="20"/>
          <w:szCs w:val="20"/>
          <w:color w:val="auto"/>
        </w:rPr>
      </w:pPr>
      <w:r>
        <w:rPr>
          <w:rFonts w:ascii="Arial" w:cs="Arial" w:eastAsia="Arial" w:hAnsi="Arial"/>
          <w:sz w:val="18"/>
          <w:szCs w:val="18"/>
          <w:color w:val="auto"/>
        </w:rPr>
        <w:t>As of December 31, 2019, we have $3.1 billion principal amount of debt outstanding (excluding finance leases), of which $731.3 million principal amount outstanding under the Credit Facility is subject to variable interest rates. A hypothetical 100 basis point increase in interest rates prevailing at December 31, 2019 would increase our annual interest expense by approximately $7.2 million.</w:t>
      </w:r>
    </w:p>
    <w:p>
      <w:pPr>
        <w:spacing w:after="0" w:line="73"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As of December 31, 2019, we have interest rate swap contracts outstanding with notional amounts aggregating $100.0 million that are designated as cash flow hedges. The aggregate fair values of interest rate swap contracts at December 31, 2019 was a net liability of $2.0 million. The interest rate paid on approximately 80% of our debt (excluding finance leases) as of December 31, 2019 is effectively fixed (77% being fixed rate obligations and 3% effectively fixed through utilization of these interest rate swap contracts). Cumulative unrealized losses, net of tax on the portion of floating-to-fixed interest rate swaps designated as cash flow hedges was $1.5 million and is included in accumulated other comprehensive loss.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a result of our international expansion in recent years, we expect the exposure to foreign currency fluctuations will have a more significant impact on our financial position and results of operations.</w:t>
      </w:r>
    </w:p>
    <w:p>
      <w:pPr>
        <w:spacing w:after="0" w:line="6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recognized $11.1 million, $(6.8) million and $15.0 million of foreign currency transaction gains (losses) for the years ended December 31, 2019, 2018 and 2017, respectively, resulting from the translation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Such amount is included in miscellaneous, net in the consolidated statements of income.</w:t>
      </w:r>
    </w:p>
    <w:p>
      <w:pPr>
        <w:spacing w:after="0" w:line="8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also are exposed to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Financial Statements required by this Item 8 appear beginning on page 66 of this Annual Report, and are incorporated by reference herein.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December 31, 2019, the Company's Chief Executive Officer and Chief Financial Officer concluded that the Company's disclosure controls and procedures are effective.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Management is responsible for establishing and maintaining effective internal control over financial reporting, as such term is defined under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the Company's Chief Executive Officer and Chief Financial Officer, we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Independent Registered Public Accounting Firm</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KPMG LLP, an independent registered public accounting firm, as stated in their attestation report appearing on page F-1.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December 31, 2019, there were no changes in the Company's internal control over financial reporting that have materially affected, or are reasonably likely to materially affect, the Company's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Information relating to our directors, executive officers and corporate governance will be included in our definitive Proxy Statement for our 2020 Annual Meeting of Stockholders, which will be filed within 120 days of the year ended December 31, 2019 (the "2020 Proxy Statement"), which is incorporated herein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relating to executive compensation will be included in the 2020 Proxy Statement, which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Information relating to the beneficial ownership of our common stock and related stockholder matters will be included in the 2020 Proxy Statement, which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Information relating to certain relationships and related transactions and director independence will be included in the 2020 Proxy Statement, which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relating to principal accountant fees and services will be included in the 2020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9" w:name="page60"/>
    <w:bookmarkEnd w:id="59"/>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Documents filed as part of the Form 10-K: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are filed as part of this Annual Report:</w:t>
      </w:r>
    </w:p>
    <w:p>
      <w:pPr>
        <w:spacing w:after="0" w:line="117" w:lineRule="exact"/>
        <w:rPr>
          <w:sz w:val="20"/>
          <w:szCs w:val="20"/>
          <w:color w:val="auto"/>
        </w:rPr>
      </w:pPr>
    </w:p>
    <w:p>
      <w:pPr>
        <w:ind w:left="560" w:hanging="309"/>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statements as indicated in the index set forth on page 66.</w:t>
      </w:r>
    </w:p>
    <w:p>
      <w:pPr>
        <w:spacing w:after="0" w:line="117" w:lineRule="exact"/>
        <w:rPr>
          <w:rFonts w:ascii="Arial" w:cs="Arial" w:eastAsia="Arial" w:hAnsi="Arial"/>
          <w:sz w:val="18"/>
          <w:szCs w:val="18"/>
          <w:color w:val="auto"/>
        </w:rPr>
      </w:pPr>
    </w:p>
    <w:p>
      <w:pPr>
        <w:ind w:left="560" w:hanging="309"/>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Schedule II—Valuation and Qualifying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Schedules other than that listed above have been omitted, since they are either not applicable, not required or the information is included elsewhere herein.</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891" w:right="519" w:bottom="1440" w:gutter="0" w:footer="0" w:header="0"/>
        </w:sectPr>
      </w:pPr>
    </w:p>
    <w:bookmarkStart w:id="60" w:name="page61"/>
    <w:bookmarkEnd w:id="60"/>
    <w:p>
      <w:pPr>
        <w:jc w:val="center"/>
        <w:ind w:right="220"/>
        <w:spacing w:after="0"/>
        <w:rPr>
          <w:sz w:val="20"/>
          <w:szCs w:val="20"/>
          <w:color w:val="auto"/>
        </w:rPr>
      </w:pPr>
      <w:r>
        <w:rPr>
          <w:rFonts w:ascii="Arial" w:cs="Arial" w:eastAsia="Arial" w:hAnsi="Arial"/>
          <w:sz w:val="17"/>
          <w:szCs w:val="17"/>
          <w:u w:val="single" w:color="auto"/>
          <w:color w:val="auto"/>
        </w:rPr>
        <w:t>INDEX TO EXHIBITS</w:t>
      </w:r>
    </w:p>
    <w:p>
      <w:pPr>
        <w:sectPr>
          <w:pgSz w:w="11900" w:h="16838" w:orient="portrait"/>
          <w:cols w:equalWidth="0" w:num="1">
            <w:col w:w="11080"/>
          </w:cols>
          <w:pgMar w:left="520" w:top="895" w:right="29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13335</wp:posOffset>
            </wp:positionV>
            <wp:extent cx="6343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3.1(i)</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3.1(ii)</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4.1</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4.4</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63715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07" w:lineRule="exact"/>
        <w:rPr>
          <w:sz w:val="20"/>
          <w:szCs w:val="20"/>
          <w:color w:val="auto"/>
        </w:rPr>
      </w:pPr>
    </w:p>
    <w:p>
      <w:pPr>
        <w:jc w:val="both"/>
        <w:ind w:right="360"/>
        <w:spacing w:after="0" w:line="224" w:lineRule="auto"/>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Agreement and Plan of Merger, dated as of July 29, 2018, by and among RLJE, the Company (solely for the purposes of Section 10.7</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thereof), DEH and Merger Sub (incorporated by reference to Exhibit 2.1 to the Company's Current Report on Form 8-K filed July 30,</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2018).</w:t>
        </w:r>
      </w:hyperlink>
    </w:p>
    <w:p>
      <w:pPr>
        <w:spacing w:after="0" w:line="96" w:lineRule="exact"/>
        <w:rPr>
          <w:rFonts w:ascii="Arial" w:cs="Arial" w:eastAsia="Arial" w:hAnsi="Arial"/>
          <w:sz w:val="18"/>
          <w:szCs w:val="18"/>
          <w:u w:val="single" w:color="auto"/>
          <w:color w:val="0000FF"/>
        </w:rPr>
      </w:pPr>
    </w:p>
    <w:p>
      <w:pPr>
        <w:ind w:right="200"/>
        <w:spacing w:after="0" w:line="235" w:lineRule="auto"/>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Amended and Restated Certificate of Incorporation of AMC Networks Inc. (incorporated by reference to Exhibit 99.4 to the Company's</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Current Report on Form 8-K filed on July 1, 2011).</w:t>
        </w:r>
      </w:hyperlink>
    </w:p>
    <w:p>
      <w:pPr>
        <w:spacing w:after="0" w:line="94"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Amended and Restated By-Laws of AMC Networks Inc. (incorporated by reference to Exhibit 99.5 to the Company's Current Report on</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Form 8-K filed on July 1, 2011).</w:t>
        </w:r>
      </w:hyperlink>
    </w:p>
    <w:p>
      <w:pPr>
        <w:spacing w:after="0" w:line="94" w:lineRule="exact"/>
        <w:rPr>
          <w:sz w:val="20"/>
          <w:szCs w:val="20"/>
          <w:color w:val="auto"/>
        </w:rPr>
      </w:pPr>
    </w:p>
    <w:p>
      <w:pPr>
        <w:ind w:right="660"/>
        <w:spacing w:after="0" w:line="289" w:lineRule="auto"/>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Form of Registration Rights Agreement between AMC Networks Inc. and The Charles F. Dolan Children Trusts (incorporated by</w:t>
        </w:r>
      </w:hyperlink>
      <w:r>
        <w:rPr>
          <w:rFonts w:ascii="Arial" w:cs="Arial" w:eastAsia="Arial" w:hAnsi="Arial"/>
          <w:sz w:val="16"/>
          <w:szCs w:val="16"/>
          <w:u w:val="single" w:color="auto"/>
          <w:color w:val="0000FF"/>
        </w:rPr>
        <w:t xml:space="preserve"> </w:t>
      </w:r>
      <w:hyperlink r:id="rId101">
        <w:r>
          <w:rPr>
            <w:rFonts w:ascii="Arial" w:cs="Arial" w:eastAsia="Arial" w:hAnsi="Arial"/>
            <w:sz w:val="16"/>
            <w:szCs w:val="16"/>
            <w:u w:val="single" w:color="auto"/>
            <w:color w:val="0000FF"/>
          </w:rPr>
          <w:t>reference to Exhibit 3.5 to the Company's Amendment No. 5 to Registration Statement on Form 10 filed on June 6, 2011).</w:t>
        </w:r>
      </w:hyperlink>
    </w:p>
    <w:p>
      <w:pPr>
        <w:spacing w:after="0" w:line="57" w:lineRule="exact"/>
        <w:rPr>
          <w:sz w:val="20"/>
          <w:szCs w:val="20"/>
          <w:color w:val="auto"/>
        </w:rPr>
      </w:pPr>
    </w:p>
    <w:p>
      <w:pPr>
        <w:ind w:right="420"/>
        <w:spacing w:after="0" w:line="258" w:lineRule="auto"/>
        <w:rPr>
          <w:rFonts w:ascii="Arial" w:cs="Arial" w:eastAsia="Arial" w:hAnsi="Arial"/>
          <w:sz w:val="17"/>
          <w:szCs w:val="17"/>
          <w:u w:val="single" w:color="auto"/>
          <w:color w:val="0000FF"/>
        </w:rPr>
      </w:pPr>
      <w:hyperlink r:id="rId102">
        <w:r>
          <w:rPr>
            <w:rFonts w:ascii="Arial" w:cs="Arial" w:eastAsia="Arial" w:hAnsi="Arial"/>
            <w:sz w:val="17"/>
            <w:szCs w:val="17"/>
            <w:u w:val="single" w:color="auto"/>
            <w:color w:val="0000FF"/>
          </w:rPr>
          <w:t>Form of Registration Rights Agreement between AMC Networks Inc. and The Dolan Family Affiliates (incorporated by reference to</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Exhibit 3.6 to the Company's Amendment No. 5 to Registration Statement on Form 10 filed on June 6, 2011).</w:t>
        </w:r>
      </w:hyperlink>
    </w:p>
    <w:p>
      <w:pPr>
        <w:spacing w:after="0" w:line="79" w:lineRule="exact"/>
        <w:rPr>
          <w:sz w:val="20"/>
          <w:szCs w:val="20"/>
          <w:color w:val="auto"/>
        </w:rPr>
      </w:pPr>
    </w:p>
    <w:p>
      <w:pPr>
        <w:ind w:right="160"/>
        <w:spacing w:after="0" w:line="238" w:lineRule="auto"/>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Registration Rights Agreement, dated as of June 30, 2011, among AMC Networks Inc., the subsidiary guarantors named therein, Merrill</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Lynch, Pierce, Fenner &amp; Smith Incorporated and J.P. Morgan Securities LLC, as representatives of the several initial purchasers</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(incorporated by reference to Exhibit 99.2 to the Company's Current Report on Form 8-K filed on July 1, 2011).</w:t>
        </w:r>
      </w:hyperlink>
    </w:p>
    <w:p>
      <w:pPr>
        <w:spacing w:after="0" w:line="94" w:lineRule="exact"/>
        <w:rPr>
          <w:rFonts w:ascii="Arial" w:cs="Arial" w:eastAsia="Arial" w:hAnsi="Arial"/>
          <w:sz w:val="17"/>
          <w:szCs w:val="17"/>
          <w:u w:val="single" w:color="auto"/>
          <w:color w:val="0000FF"/>
        </w:rPr>
      </w:pPr>
    </w:p>
    <w:p>
      <w:pPr>
        <w:ind w:right="360"/>
        <w:spacing w:after="0" w:line="289" w:lineRule="auto"/>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Indenture by and among AMC Networks Inc., as Issuer, each of the guarantors party thereto and U.S. Bank National Association, as</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Trustee (incorporated by reference to Exhibit 4.1 to the Company's Registration Statement on Form S -3 filed on December 10, 2012).</w:t>
        </w:r>
      </w:hyperlink>
    </w:p>
    <w:p>
      <w:pPr>
        <w:spacing w:after="0" w:line="57" w:lineRule="exact"/>
        <w:rPr>
          <w:sz w:val="20"/>
          <w:szCs w:val="20"/>
          <w:color w:val="auto"/>
        </w:rPr>
      </w:pPr>
    </w:p>
    <w:p>
      <w:pPr>
        <w:jc w:val="both"/>
        <w:ind w:right="140"/>
        <w:spacing w:after="0" w:line="259" w:lineRule="auto"/>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First Supplemental Indenture dated as of December 17, 2012, by and among AMC Networks Inc., as Issuer, each of the guarantors party</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thereto and U.S. Bank National Association, as Trustee, relating to the AMC Networks Inc. 4.75% Senior Notes due December 15, 2022</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(incorporated by reference to Exhibit 4.1 to the Company's Current Report on Form 8-K filed on December 17, 2012).</w:t>
        </w:r>
      </w:hyperlink>
    </w:p>
    <w:p>
      <w:pPr>
        <w:spacing w:after="0" w:line="80" w:lineRule="exact"/>
        <w:rPr>
          <w:rFonts w:ascii="Arial" w:cs="Arial" w:eastAsia="Arial" w:hAnsi="Arial"/>
          <w:sz w:val="16"/>
          <w:szCs w:val="16"/>
          <w:u w:val="single" w:color="auto"/>
          <w:color w:val="0000FF"/>
        </w:rPr>
      </w:pPr>
    </w:p>
    <w:p>
      <w:pPr>
        <w:ind w:right="40"/>
        <w:spacing w:after="0" w:line="224" w:lineRule="auto"/>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Indenture dated as of March 30, 2016, by and among AMC Networks Inc., as Issuer, each of the guarantors party thereto and U.S. Bank</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National Association, as Trustee (incorporated by reference to Exhibit 4.1 to the Company's Current Report on Form 8-K filed on July 28,</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2017).</w:t>
        </w:r>
      </w:hyperlink>
    </w:p>
    <w:p>
      <w:pPr>
        <w:spacing w:after="0" w:line="109" w:lineRule="exact"/>
        <w:rPr>
          <w:rFonts w:ascii="Arial" w:cs="Arial" w:eastAsia="Arial" w:hAnsi="Arial"/>
          <w:sz w:val="18"/>
          <w:szCs w:val="18"/>
          <w:u w:val="single" w:color="auto"/>
          <w:color w:val="0000FF"/>
        </w:rPr>
      </w:pPr>
    </w:p>
    <w:p>
      <w:pPr>
        <w:jc w:val="both"/>
        <w:ind w:right="220"/>
        <w:spacing w:after="0" w:line="219"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First Supplemental Indenture, dated as of March 30, 2016, to the Indenture, dated as of March 30, 2016, by and among AMC Networks</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Inc., as Issuer, each of the guarantors party thereto and U.S. Bank National Association, as Trustee, relating to the AMC Networks Inc.</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5.00% Senior Notes due April 1, 2024 (incorporated by reference to Exhibit 4.1 to the Company's Current Report on Form 8-K filed on</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March 30, 2016).</w:t>
        </w:r>
      </w:hyperlink>
    </w:p>
    <w:p>
      <w:pPr>
        <w:spacing w:after="0" w:line="163" w:lineRule="exact"/>
        <w:rPr>
          <w:rFonts w:ascii="Arial" w:cs="Arial" w:eastAsia="Arial" w:hAnsi="Arial"/>
          <w:sz w:val="18"/>
          <w:szCs w:val="18"/>
          <w:u w:val="single" w:color="auto"/>
          <w:color w:val="0000FF"/>
        </w:rPr>
      </w:pPr>
    </w:p>
    <w:p>
      <w:pPr>
        <w:sectPr>
          <w:pgSz w:w="11900" w:h="16838" w:orient="portrait"/>
          <w:cols w:equalWidth="0" w:num="2">
            <w:col w:w="500" w:space="600"/>
            <w:col w:w="9980"/>
          </w:cols>
          <w:pgMar w:left="520" w:top="895" w:right="299" w:bottom="1440" w:gutter="0" w:footer="0" w:header="0"/>
          <w:type w:val="continuous"/>
        </w:sectPr>
      </w:pPr>
    </w:p>
    <w:p>
      <w:pPr>
        <w:spacing w:after="0" w:line="13" w:lineRule="exact"/>
        <w:rPr>
          <w:rFonts w:ascii="Arial" w:cs="Arial" w:eastAsia="Arial" w:hAnsi="Arial"/>
          <w:sz w:val="18"/>
          <w:szCs w:val="18"/>
          <w:u w:val="single" w:color="auto"/>
          <w:color w:val="0000FF"/>
        </w:rPr>
      </w:pPr>
    </w:p>
    <w:p>
      <w:pPr>
        <w:ind w:left="120"/>
        <w:spacing w:after="0"/>
        <w:rPr>
          <w:sz w:val="20"/>
          <w:szCs w:val="20"/>
          <w:color w:val="auto"/>
        </w:rPr>
      </w:pPr>
      <w:r>
        <w:rPr>
          <w:rFonts w:ascii="Arial" w:cs="Arial" w:eastAsia="Arial" w:hAnsi="Arial"/>
          <w:sz w:val="18"/>
          <w:szCs w:val="18"/>
          <w:color w:val="auto"/>
        </w:rPr>
        <w:t>4.8</w:t>
      </w:r>
    </w:p>
    <w:p>
      <w:pPr>
        <w:spacing w:after="0" w:line="200" w:lineRule="exact"/>
        <w:rPr>
          <w:rFonts w:ascii="Arial" w:cs="Arial" w:eastAsia="Arial" w:hAnsi="Arial"/>
          <w:sz w:val="18"/>
          <w:szCs w:val="18"/>
          <w:u w:val="single" w:color="auto"/>
          <w:color w:val="0000FF"/>
        </w:rPr>
      </w:pPr>
    </w:p>
    <w:p>
      <w:pPr>
        <w:spacing w:after="0" w:line="268"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5"/>
          <w:szCs w:val="15"/>
          <w:color w:val="auto"/>
        </w:rPr>
        <w:t>10.1</w:t>
      </w:r>
    </w:p>
    <w:p>
      <w:pPr>
        <w:spacing w:after="0" w:line="327"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5"/>
          <w:szCs w:val="15"/>
          <w:color w:val="auto"/>
        </w:rPr>
        <w:t>10.2</w:t>
      </w:r>
    </w:p>
    <w:p>
      <w:pPr>
        <w:spacing w:after="0" w:line="327"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5"/>
          <w:szCs w:val="15"/>
          <w:color w:val="auto"/>
        </w:rPr>
        <w:t>10.3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20"/>
        <w:spacing w:after="0" w:line="224" w:lineRule="auto"/>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Second Supplemental Indenture, dated as of July 28, 2017 to the Indenture, dated as of March 30, 2016, among AMC Networks, as issuer,</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the Guarantors and U.S. Bank National Association, as Trustee, and Form of Notes (incorporated by reference to Exhibit 4.2 to the</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Company's Current Report on Form 8-K filed on July 28, 2017).</w:t>
        </w:r>
      </w:hyperlink>
    </w:p>
    <w:p>
      <w:pPr>
        <w:spacing w:after="0" w:line="96" w:lineRule="exact"/>
        <w:rPr>
          <w:rFonts w:ascii="Arial" w:cs="Arial" w:eastAsia="Arial" w:hAnsi="Arial"/>
          <w:sz w:val="18"/>
          <w:szCs w:val="18"/>
          <w:u w:val="single" w:color="auto"/>
          <w:color w:val="0000FF"/>
        </w:rPr>
      </w:pPr>
    </w:p>
    <w:p>
      <w:pPr>
        <w:ind w:right="160"/>
        <w:spacing w:after="0" w:line="235" w:lineRule="auto"/>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Form of Tax Disaffiliation Agreement between Cablevision Systems Corporation and AMC Networks Inc. (incorporated by reference to</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Exhibit 10.2 to the Company's Amendment No. 5 to Registration Statement on Form 10 filed on June 6, 2011).</w:t>
        </w:r>
      </w:hyperlink>
    </w:p>
    <w:p>
      <w:pPr>
        <w:spacing w:after="0" w:line="94" w:lineRule="exact"/>
        <w:rPr>
          <w:sz w:val="20"/>
          <w:szCs w:val="20"/>
          <w:color w:val="auto"/>
        </w:rPr>
      </w:pPr>
    </w:p>
    <w:p>
      <w:pPr>
        <w:spacing w:after="0" w:line="235" w:lineRule="auto"/>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Form of Standstill Agreement by and among AMC Networks Inc. and The Dolan Family Group (incorporated by reference to Exhibit 10.5</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to the Company's Amendment No. 5 to Registration Statement on Form 10 filed on June 6, 2011).</w:t>
        </w:r>
      </w:hyperlink>
    </w:p>
    <w:p>
      <w:pPr>
        <w:spacing w:after="0" w:line="94" w:lineRule="exact"/>
        <w:rPr>
          <w:sz w:val="20"/>
          <w:szCs w:val="20"/>
          <w:color w:val="auto"/>
        </w:rPr>
      </w:pPr>
    </w:p>
    <w:p>
      <w:pPr>
        <w:ind w:right="20"/>
        <w:spacing w:after="0" w:line="219" w:lineRule="auto"/>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Second Amended and Restated Credit Agreement, dated as of July 28, 2017, among AMC Networks and its subsidiary, AMC Network</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Entertainment LLC, as the initial borrowers, certain of AMC Networks’ subsidiaries, as restricted subsidiaries, JPMorgan Chase Bank,</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N.A., as Administrative Agent, Collateral Agent and an L/C Issuer and the lenders party thereto (incorporated by reference to Exhibit 10.1</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to the Company's Current Report on Form 8-K filed on July 28, 2017).</w:t>
        </w:r>
      </w:hyperlink>
    </w:p>
    <w:p>
      <w:pPr>
        <w:spacing w:after="0" w:line="58" w:lineRule="exact"/>
        <w:rPr>
          <w:rFonts w:ascii="Arial" w:cs="Arial" w:eastAsia="Arial" w:hAnsi="Arial"/>
          <w:sz w:val="18"/>
          <w:szCs w:val="18"/>
          <w:u w:val="single" w:color="auto"/>
          <w:color w:val="0000FF"/>
        </w:rPr>
      </w:pPr>
    </w:p>
    <w:p>
      <w:pPr>
        <w:sectPr>
          <w:pgSz w:w="11900" w:h="16838" w:orient="portrait"/>
          <w:cols w:equalWidth="0" w:num="2">
            <w:col w:w="380" w:space="720"/>
            <w:col w:w="9980"/>
          </w:cols>
          <w:pgMar w:left="520" w:top="895" w:right="299" w:bottom="1440" w:gutter="0" w:footer="0" w:header="0"/>
          <w:type w:val="continuous"/>
        </w:sectPr>
      </w:pPr>
    </w:p>
    <w:tbl>
      <w:tblPr>
        <w:tblLayout w:type="fixed"/>
        <w:tblInd w:w="80" w:type="dxa"/>
        <w:tblCellMar>
          <w:top w:w="0" w:type="dxa"/>
          <w:left w:w="0" w:type="dxa"/>
          <w:bottom w:w="0" w:type="dxa"/>
          <w:right w:w="0" w:type="dxa"/>
        </w:tblCellMar>
      </w:tblPr>
      <w:tr>
        <w:trPr>
          <w:trHeight w:val="227"/>
        </w:trPr>
        <w:tc>
          <w:tcPr>
            <w:tcW w:w="1020" w:type="dxa"/>
            <w:vAlign w:val="bottom"/>
          </w:tcPr>
          <w:p>
            <w:pPr>
              <w:jc w:val="right"/>
              <w:ind w:right="630"/>
              <w:spacing w:after="0"/>
              <w:rPr>
                <w:sz w:val="20"/>
                <w:szCs w:val="20"/>
                <w:color w:val="auto"/>
              </w:rPr>
            </w:pPr>
            <w:r>
              <w:rPr>
                <w:rFonts w:ascii="Arial" w:cs="Arial" w:eastAsia="Arial" w:hAnsi="Arial"/>
                <w:sz w:val="18"/>
                <w:szCs w:val="18"/>
                <w:color w:val="auto"/>
                <w:w w:val="79"/>
              </w:rPr>
              <w:t>10.4</w:t>
            </w:r>
          </w:p>
        </w:tc>
        <w:tc>
          <w:tcPr>
            <w:tcW w:w="9560" w:type="dxa"/>
            <w:vAlign w:val="bottom"/>
            <w:gridSpan w:val="3"/>
          </w:tcPr>
          <w:p>
            <w:pPr>
              <w:spacing w:after="0"/>
              <w:rPr>
                <w:rFonts w:ascii="Arial" w:cs="Arial" w:eastAsia="Arial" w:hAnsi="Arial"/>
                <w:sz w:val="18"/>
                <w:szCs w:val="18"/>
                <w:color w:val="0000FF"/>
                <w:w w:val="90"/>
              </w:rPr>
            </w:pPr>
            <w:hyperlink r:id="rId112">
              <w:r>
                <w:rPr>
                  <w:rFonts w:ascii="Arial" w:cs="Arial" w:eastAsia="Arial" w:hAnsi="Arial"/>
                  <w:sz w:val="18"/>
                  <w:szCs w:val="18"/>
                  <w:color w:val="0000FF"/>
                  <w:w w:val="90"/>
                </w:rPr>
                <w:t>AMC Networks Inc. Amended and Restated 2011 Employee Stock Plan (incorporated by reference to Exhibit 10.1 to the Company's</w:t>
              </w:r>
            </w:hyperlink>
          </w:p>
        </w:tc>
      </w:tr>
      <w:tr>
        <w:trPr>
          <w:trHeight w:val="156"/>
        </w:trPr>
        <w:tc>
          <w:tcPr>
            <w:tcW w:w="1020" w:type="dxa"/>
            <w:vAlign w:val="bottom"/>
          </w:tcPr>
          <w:p>
            <w:pPr>
              <w:spacing w:after="0"/>
              <w:rPr>
                <w:sz w:val="13"/>
                <w:szCs w:val="13"/>
                <w:color w:val="auto"/>
              </w:rPr>
            </w:pPr>
          </w:p>
        </w:tc>
        <w:tc>
          <w:tcPr>
            <w:tcW w:w="95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Quarterly Report on Form 10-Q for the quarter ended June 30, 2012).</w:t>
              </w:r>
            </w:hyperlink>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520" w:top="895" w:right="299" w:bottom="1440" w:gutter="0" w:footer="0" w:header="0"/>
          <w:type w:val="continuous"/>
        </w:sectPr>
      </w:pPr>
    </w:p>
    <w:bookmarkStart w:id="61" w:name="page62"/>
    <w:bookmarkEnd w:id="61"/>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10.5</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10.6</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10.7</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10.8</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10.9</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10.10</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10.11</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10.12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10.13</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10.18</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10.19</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10.20</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10.23</w:t>
      </w:r>
    </w:p>
    <w:p>
      <w:pPr>
        <w:spacing w:after="0" w:line="20" w:lineRule="exact"/>
        <w:rPr>
          <w:sz w:val="20"/>
          <w:szCs w:val="20"/>
          <w:color w:val="auto"/>
        </w:rPr>
      </w:pPr>
      <w:r>
        <w:rPr>
          <w:sz w:val="20"/>
          <w:szCs w:val="20"/>
          <w:color w:val="auto"/>
        </w:rPr>
        <w:br w:type="column"/>
      </w:r>
    </w:p>
    <w:p>
      <w:pPr>
        <w:ind w:right="180"/>
        <w:spacing w:after="0" w:line="235"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AMC Networks Inc. Amended and Restated 2011 Stock Plan for Non-Employee Directors (incorporated by reference to Exhibit 10.3 to</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the Company's Quarterly Report on Form 10-Q for the quarter ended June 30, 2012).</w:t>
        </w:r>
      </w:hyperlink>
    </w:p>
    <w:p>
      <w:pPr>
        <w:spacing w:after="0" w:line="94"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Form of Employment Agreement by and between AMC Networks Inc. and Charles F. Dolan (incorporated by reference to Exhibit 10.13</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to the Company's Amendment No. 5 to Registration Statement on Form 10 filed on June 6, 2011).</w:t>
        </w:r>
      </w:hyperlink>
    </w:p>
    <w:p>
      <w:pPr>
        <w:spacing w:after="0" w:line="94"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Amended and Restated Employment Agreement dated April 24, 2014, between AMC Networks Inc. and Joshua W. Sapan (incorporated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by reference to Exhibit 10.1 to the Company's Current Report on Form 8-K filed April 29, 2014).</w:t>
        </w:r>
      </w:hyperlink>
    </w:p>
    <w:p>
      <w:pPr>
        <w:spacing w:after="0" w:line="94"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Restricted Stock Units Agreement dated April 25, 2014, between AMC Networks Inc. and Joshua W. Sapan (incorporated by reference to</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Exhibit 10.2 to the Company's Current Report on Form 8-K filed on April 29, 2014).</w:t>
        </w:r>
      </w:hyperlink>
    </w:p>
    <w:p>
      <w:pPr>
        <w:spacing w:after="0" w:line="94" w:lineRule="exact"/>
        <w:rPr>
          <w:sz w:val="20"/>
          <w:szCs w:val="20"/>
          <w:color w:val="auto"/>
        </w:rPr>
      </w:pPr>
    </w:p>
    <w:p>
      <w:pPr>
        <w:ind w:right="360"/>
        <w:spacing w:after="0" w:line="258" w:lineRule="auto"/>
        <w:rPr>
          <w:rFonts w:ascii="Arial" w:cs="Arial" w:eastAsia="Arial" w:hAnsi="Arial"/>
          <w:sz w:val="17"/>
          <w:szCs w:val="17"/>
          <w:u w:val="single" w:color="auto"/>
          <w:color w:val="0000FF"/>
        </w:rPr>
      </w:pPr>
      <w:hyperlink r:id="rId118">
        <w:r>
          <w:rPr>
            <w:rFonts w:ascii="Arial" w:cs="Arial" w:eastAsia="Arial" w:hAnsi="Arial"/>
            <w:sz w:val="17"/>
            <w:szCs w:val="17"/>
            <w:u w:val="single" w:color="auto"/>
            <w:color w:val="0000FF"/>
          </w:rPr>
          <w:t>Amended and Restated Employment Agreement dated October 13, 2016 by and between AMC Networks Inc. and Edward A. Carroll</w:t>
        </w:r>
      </w:hyperlink>
      <w:r>
        <w:rPr>
          <w:rFonts w:ascii="Arial" w:cs="Arial" w:eastAsia="Arial" w:hAnsi="Arial"/>
          <w:sz w:val="17"/>
          <w:szCs w:val="17"/>
          <w:u w:val="single" w:color="auto"/>
          <w:color w:val="0000FF"/>
        </w:rPr>
        <w:t xml:space="preserve"> </w:t>
      </w:r>
      <w:hyperlink r:id="rId118">
        <w:r>
          <w:rPr>
            <w:rFonts w:ascii="Arial" w:cs="Arial" w:eastAsia="Arial" w:hAnsi="Arial"/>
            <w:sz w:val="17"/>
            <w:szCs w:val="17"/>
            <w:u w:val="single" w:color="auto"/>
            <w:color w:val="0000FF"/>
          </w:rPr>
          <w:t>(incorporated by reference to Exhibit 10.1 to the Company's Current Report on Form 8-K filed on October 14, 2016).</w:t>
        </w:r>
      </w:hyperlink>
    </w:p>
    <w:p>
      <w:pPr>
        <w:spacing w:after="0" w:line="79"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Employment Agreement dated October 12, 2018 by and between AMC Networks Inc. and Sean S. Sullivan (incorporated by reference to</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Exhibit 10.1 to the Company’s Current Report on Form 8-K filed on October 12, 2018).</w:t>
        </w:r>
      </w:hyperlink>
    </w:p>
    <w:p>
      <w:pPr>
        <w:spacing w:after="0" w:line="94"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Employment Agreement dated October 12, 2018 by and between AMC Networks Inc. and James G. Gallagher (incorporated by reference</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to Exhibit 10.2 to the Company’s Current Report on Form 8-K filed on October 12, 2018).</w:t>
        </w:r>
      </w:hyperlink>
    </w:p>
    <w:p>
      <w:pPr>
        <w:spacing w:after="0" w:line="94" w:lineRule="exact"/>
        <w:rPr>
          <w:sz w:val="20"/>
          <w:szCs w:val="20"/>
          <w:color w:val="auto"/>
        </w:rPr>
      </w:pPr>
    </w:p>
    <w:p>
      <w:pPr>
        <w:ind w:right="240"/>
        <w:spacing w:after="0" w:line="235"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Form of AMC Networks Inc. Non-Employee Director Award Agreement (incorporated by reference to Exhibit 10.22 to the Company's</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Amendment No. 5 to Registration Statement on Form 10 filed on June 6, 2011).</w:t>
        </w:r>
      </w:hyperlink>
    </w:p>
    <w:p>
      <w:pPr>
        <w:spacing w:after="0" w:line="94" w:lineRule="exact"/>
        <w:rPr>
          <w:sz w:val="20"/>
          <w:szCs w:val="20"/>
          <w:color w:val="auto"/>
        </w:rPr>
      </w:pPr>
    </w:p>
    <w:p>
      <w:pPr>
        <w:ind w:right="120"/>
        <w:spacing w:after="0" w:line="235"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Form of AMC Networks Inc. Non-Employee Director Agreement (incorporated by reference to Exhibit 10.4 to the Company's Quarterly</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Report on Form 10-Q for the quarter ended June 30, 2012).</w:t>
        </w:r>
      </w:hyperlink>
    </w:p>
    <w:p>
      <w:pPr>
        <w:spacing w:after="0" w:line="94" w:lineRule="exact"/>
        <w:rPr>
          <w:sz w:val="20"/>
          <w:szCs w:val="20"/>
          <w:color w:val="auto"/>
        </w:rPr>
      </w:pPr>
    </w:p>
    <w:p>
      <w:pPr>
        <w:ind w:right="20"/>
        <w:spacing w:after="0" w:line="258" w:lineRule="auto"/>
        <w:rPr>
          <w:rFonts w:ascii="Arial" w:cs="Arial" w:eastAsia="Arial" w:hAnsi="Arial"/>
          <w:sz w:val="17"/>
          <w:szCs w:val="17"/>
          <w:u w:val="single" w:color="auto"/>
          <w:color w:val="0000FF"/>
        </w:rPr>
      </w:pPr>
      <w:hyperlink r:id="rId123">
        <w:r>
          <w:rPr>
            <w:rFonts w:ascii="Arial" w:cs="Arial" w:eastAsia="Arial" w:hAnsi="Arial"/>
            <w:sz w:val="17"/>
            <w:szCs w:val="17"/>
            <w:u w:val="single" w:color="auto"/>
            <w:color w:val="0000FF"/>
          </w:rPr>
          <w:t>Form of Performance Restricted Stock Unit Award Agreement under the Amended and Restated 2011 Employee Stock Plan (incorporated</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by reference to Exhibit 10.31 to the Company's Annual Report on Form 10-K for the year ended December 31, 2015).</w:t>
        </w:r>
      </w:hyperlink>
    </w:p>
    <w:p>
      <w:pPr>
        <w:spacing w:after="0" w:line="79"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Form of Restricted Stock Unit Award Agreement under the Amended and Restated 2011 Employee Stock Plan (incorporated by reference</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to Exhibit 10.32 to the Company's Annual Report on Form 10-K for the year ended December 31, 2015).</w:t>
        </w:r>
      </w:hyperlink>
    </w:p>
    <w:p>
      <w:pPr>
        <w:spacing w:after="0" w:line="94" w:lineRule="exact"/>
        <w:rPr>
          <w:sz w:val="20"/>
          <w:szCs w:val="20"/>
          <w:color w:val="auto"/>
        </w:rPr>
      </w:pPr>
    </w:p>
    <w:p>
      <w:pPr>
        <w:ind w:right="660"/>
        <w:spacing w:after="0" w:line="235" w:lineRule="auto"/>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Restricted Stock Unit Agreement dated October 13, 2016, between AMC Networks Inc. and Edward A,. Carroll (incorporated by</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reference to Exhibit 10.2 to the Company's Current Report on Form 8-K filed on October 14, 2016).</w:t>
        </w:r>
      </w:hyperlink>
    </w:p>
    <w:p>
      <w:pPr>
        <w:spacing w:after="0" w:line="94" w:lineRule="exact"/>
        <w:rPr>
          <w:sz w:val="20"/>
          <w:szCs w:val="20"/>
          <w:color w:val="auto"/>
        </w:rPr>
      </w:pPr>
    </w:p>
    <w:p>
      <w:pPr>
        <w:spacing w:after="0" w:line="235" w:lineRule="auto"/>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AMC Networks Inc. 2016 Employee Stock Plan (incorporated by reference to Exhibit 99.1 to the Company's Current Report on Form 8-K</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filed on May 26, 2016).</w:t>
        </w:r>
      </w:hyperlink>
    </w:p>
    <w:p>
      <w:pPr>
        <w:spacing w:after="0" w:line="9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u w:val="single" w:color="auto"/>
          <w:color w:val="0000FF"/>
        </w:rPr>
        <w:t>AMC Networks Inc. 2016 Executive Cash Incentive Plan (incorporated by reference to Appendix B to the Company's Definitive Proxy Statement filed on April 28, 2016).</w:t>
      </w:r>
    </w:p>
    <w:p>
      <w:pPr>
        <w:spacing w:after="0" w:line="94" w:lineRule="exact"/>
        <w:rPr>
          <w:sz w:val="20"/>
          <w:szCs w:val="20"/>
          <w:color w:val="auto"/>
        </w:rPr>
      </w:pPr>
    </w:p>
    <w:p>
      <w:pPr>
        <w:ind w:right="380"/>
        <w:spacing w:after="0" w:line="235" w:lineRule="auto"/>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Shared Executive Space Cost Sharing Arrangement (incorporated by reference to Exhibit 10.1 to the Company's Quarterly Report on</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Form 10-Q for the quarter ended June 30, 2016).</w:t>
        </w:r>
      </w:hyperlink>
    </w:p>
    <w:p>
      <w:pPr>
        <w:spacing w:after="0" w:line="94"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Form of Performance Restricted Stock Unit Award Agreement under the 2016 Employee Stock Plan (incorporated by reference to Exhibit</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10.21 on Form 10-K for the year ended December 31, 2017).</w:t>
        </w:r>
      </w:hyperlink>
    </w:p>
    <w:p>
      <w:pPr>
        <w:spacing w:after="0" w:line="148" w:lineRule="exact"/>
        <w:rPr>
          <w:sz w:val="20"/>
          <w:szCs w:val="20"/>
          <w:color w:val="auto"/>
        </w:rPr>
      </w:pPr>
    </w:p>
    <w:p>
      <w:pPr>
        <w:ind w:right="320"/>
        <w:spacing w:after="0" w:line="235" w:lineRule="auto"/>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Form of Restricted Stock Unit Award Agreement under the 2016 Employee Stock Plan (incorporated by reference to Exhibit 10.22 on</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Form 10-K for the year ended December 31, 2017).</w:t>
        </w:r>
      </w:hyperlink>
    </w:p>
    <w:p>
      <w:pPr>
        <w:spacing w:after="0" w:line="94" w:lineRule="exact"/>
        <w:rPr>
          <w:sz w:val="20"/>
          <w:szCs w:val="20"/>
          <w:color w:val="auto"/>
        </w:rPr>
      </w:pPr>
    </w:p>
    <w:p>
      <w:pPr>
        <w:ind w:right="460"/>
        <w:spacing w:after="0" w:line="289" w:lineRule="auto"/>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Master Services Agreement, dated February 8, 2019, by and between Rainbow Media Holdings LLC and 605 LLC (incorporated by</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reference to Exhibit 10.1 to the Company's Quarterly Report on Form 10-Q for the quarter ended March 31, 2019).</w:t>
        </w:r>
      </w:hyperlink>
    </w:p>
    <w:p>
      <w:pPr>
        <w:spacing w:after="0" w:line="57" w:lineRule="exact"/>
        <w:rPr>
          <w:sz w:val="20"/>
          <w:szCs w:val="20"/>
          <w:color w:val="auto"/>
        </w:rPr>
      </w:pPr>
    </w:p>
    <w:p>
      <w:pPr>
        <w:spacing w:after="0" w:line="235" w:lineRule="auto"/>
        <w:rPr>
          <w:rFonts w:ascii="Arial" w:cs="Arial" w:eastAsia="Arial" w:hAnsi="Arial"/>
          <w:sz w:val="18"/>
          <w:szCs w:val="18"/>
          <w:u w:val="single" w:color="auto"/>
          <w:color w:val="0E32E1"/>
        </w:rPr>
      </w:pPr>
      <w:hyperlink r:id="rId131">
        <w:r>
          <w:rPr>
            <w:rFonts w:ascii="Arial" w:cs="Arial" w:eastAsia="Arial" w:hAnsi="Arial"/>
            <w:sz w:val="18"/>
            <w:szCs w:val="18"/>
            <w:u w:val="single" w:color="auto"/>
            <w:color w:val="0E32E1"/>
          </w:rPr>
          <w:t>Employment Agreement dated March 8, 2019 by and between AMC Networks Inc. and Christian B. Wymbs (incorporated by reference to</w:t>
        </w:r>
      </w:hyperlink>
      <w:r>
        <w:rPr>
          <w:rFonts w:ascii="Arial" w:cs="Arial" w:eastAsia="Arial" w:hAnsi="Arial"/>
          <w:sz w:val="18"/>
          <w:szCs w:val="18"/>
          <w:u w:val="single" w:color="auto"/>
          <w:color w:val="0E32E1"/>
        </w:rPr>
        <w:t xml:space="preserve"> </w:t>
      </w:r>
      <w:hyperlink r:id="rId131">
        <w:r>
          <w:rPr>
            <w:rFonts w:ascii="Arial" w:cs="Arial" w:eastAsia="Arial" w:hAnsi="Arial"/>
            <w:sz w:val="18"/>
            <w:szCs w:val="18"/>
            <w:u w:val="single" w:color="auto"/>
            <w:color w:val="0E32E1"/>
          </w:rPr>
          <w:t>Exhibit 10.2 to the Company's Quarterly Report on Form 10-Q for the quarter ended March 31, 2019)</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420" w:space="660"/>
            <w:col w:w="9960"/>
          </w:cols>
          <w:pgMar w:left="540" w:top="936" w:right="319" w:bottom="1440" w:gutter="0" w:footer="0" w:header="0"/>
        </w:sectPr>
      </w:pPr>
    </w:p>
    <w:bookmarkStart w:id="62" w:name="page63"/>
    <w:bookmarkEnd w:id="62"/>
    <w:p>
      <w:pPr>
        <w:ind w:left="1380" w:hanging="962"/>
        <w:spacing w:after="0"/>
        <w:tabs>
          <w:tab w:leader="none" w:pos="1380" w:val="left"/>
        </w:tabs>
        <w:numPr>
          <w:ilvl w:val="0"/>
          <w:numId w:val="30"/>
        </w:numPr>
        <w:rPr>
          <w:rFonts w:ascii="Arial" w:cs="Arial" w:eastAsia="Arial" w:hAnsi="Arial"/>
          <w:sz w:val="18"/>
          <w:szCs w:val="18"/>
          <w:u w:val="single" w:color="auto"/>
          <w:color w:val="0E32E1"/>
        </w:rPr>
      </w:pPr>
      <w:hyperlink w:anchor="page120">
        <w:r>
          <w:rPr>
            <w:rFonts w:ascii="Arial" w:cs="Arial" w:eastAsia="Arial" w:hAnsi="Arial"/>
            <w:sz w:val="18"/>
            <w:szCs w:val="18"/>
            <w:u w:val="single" w:color="auto"/>
            <w:color w:val="0E32E1"/>
          </w:rPr>
          <w:t>Subsidiaries of the Registrant.</w:t>
        </w:r>
      </w:hyperlink>
    </w:p>
    <w:p>
      <w:pPr>
        <w:spacing w:after="0" w:line="158" w:lineRule="exact"/>
        <w:rPr>
          <w:sz w:val="20"/>
          <w:szCs w:val="20"/>
          <w:color w:val="auto"/>
        </w:rPr>
      </w:pPr>
    </w:p>
    <w:p>
      <w:pPr>
        <w:ind w:left="1380" w:hanging="962"/>
        <w:spacing w:after="0"/>
        <w:tabs>
          <w:tab w:leader="none" w:pos="1380" w:val="left"/>
        </w:tabs>
        <w:numPr>
          <w:ilvl w:val="0"/>
          <w:numId w:val="31"/>
        </w:numPr>
        <w:rPr>
          <w:rFonts w:ascii="Arial" w:cs="Arial" w:eastAsia="Arial" w:hAnsi="Arial"/>
          <w:sz w:val="18"/>
          <w:szCs w:val="18"/>
          <w:u w:val="single" w:color="auto"/>
          <w:color w:val="0E32E1"/>
        </w:rPr>
      </w:pPr>
      <w:hyperlink w:anchor="page121">
        <w:r>
          <w:rPr>
            <w:rFonts w:ascii="Arial" w:cs="Arial" w:eastAsia="Arial" w:hAnsi="Arial"/>
            <w:sz w:val="18"/>
            <w:szCs w:val="18"/>
            <w:u w:val="single" w:color="auto"/>
            <w:color w:val="0E32E1"/>
          </w:rPr>
          <w:t>Consent of Independent Registered Public Accounting Firm.</w:t>
        </w:r>
      </w:hyperlink>
    </w:p>
    <w:p>
      <w:pPr>
        <w:spacing w:after="0" w:line="157" w:lineRule="exact"/>
        <w:rPr>
          <w:rFonts w:ascii="Arial" w:cs="Arial" w:eastAsia="Arial" w:hAnsi="Arial"/>
          <w:sz w:val="18"/>
          <w:szCs w:val="18"/>
          <w:u w:val="single" w:color="auto"/>
          <w:color w:val="0E32E1"/>
        </w:rPr>
      </w:pPr>
    </w:p>
    <w:p>
      <w:pPr>
        <w:ind w:left="1380" w:hanging="962"/>
        <w:spacing w:after="0"/>
        <w:tabs>
          <w:tab w:leader="none" w:pos="1380" w:val="left"/>
        </w:tabs>
        <w:numPr>
          <w:ilvl w:val="0"/>
          <w:numId w:val="31"/>
        </w:numPr>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Power of Attorney (included on the signature page to this Annual Report on Form 10-K).</w:t>
        </w:r>
      </w:hyperlink>
    </w:p>
    <w:p>
      <w:pPr>
        <w:spacing w:after="0" w:line="121" w:lineRule="exact"/>
        <w:rPr>
          <w:rFonts w:ascii="Arial" w:cs="Arial" w:eastAsia="Arial" w:hAnsi="Arial"/>
          <w:sz w:val="18"/>
          <w:szCs w:val="18"/>
          <w:color w:val="auto"/>
        </w:rPr>
      </w:pPr>
    </w:p>
    <w:tbl>
      <w:tblPr>
        <w:tblLayout w:type="fixed"/>
        <w:tblInd w:w="360" w:type="dxa"/>
        <w:tblCellMar>
          <w:top w:w="0" w:type="dxa"/>
          <w:left w:w="0" w:type="dxa"/>
          <w:bottom w:w="0" w:type="dxa"/>
          <w:right w:w="0" w:type="dxa"/>
        </w:tblCellMar>
      </w:tblPr>
      <w:tr>
        <w:trPr>
          <w:trHeight w:val="227"/>
        </w:trPr>
        <w:tc>
          <w:tcPr>
            <w:tcW w:w="1020" w:type="dxa"/>
            <w:vAlign w:val="bottom"/>
          </w:tcPr>
          <w:p>
            <w:pPr>
              <w:jc w:val="right"/>
              <w:ind w:right="630"/>
              <w:spacing w:after="0"/>
              <w:rPr>
                <w:sz w:val="20"/>
                <w:szCs w:val="20"/>
                <w:color w:val="auto"/>
              </w:rPr>
            </w:pPr>
            <w:r>
              <w:rPr>
                <w:rFonts w:ascii="Arial" w:cs="Arial" w:eastAsia="Arial" w:hAnsi="Arial"/>
                <w:sz w:val="18"/>
                <w:szCs w:val="18"/>
                <w:color w:val="auto"/>
                <w:w w:val="79"/>
              </w:rPr>
              <w:t>31.1</w:t>
            </w:r>
          </w:p>
        </w:tc>
        <w:tc>
          <w:tcPr>
            <w:tcW w:w="7220" w:type="dxa"/>
            <w:vAlign w:val="bottom"/>
            <w:tcBorders>
              <w:bottom w:val="single" w:sz="8" w:color="0E32E1"/>
            </w:tcBorders>
            <w:gridSpan w:val="2"/>
          </w:tcPr>
          <w:p>
            <w:pPr>
              <w:spacing w:after="0"/>
              <w:rPr>
                <w:rFonts w:ascii="Arial" w:cs="Arial" w:eastAsia="Arial" w:hAnsi="Arial"/>
                <w:sz w:val="18"/>
                <w:szCs w:val="18"/>
                <w:color w:val="0E32E1"/>
                <w:w w:val="91"/>
              </w:rPr>
            </w:pPr>
            <w:hyperlink w:anchor="page122">
              <w:r>
                <w:rPr>
                  <w:rFonts w:ascii="Arial" w:cs="Arial" w:eastAsia="Arial" w:hAnsi="Arial"/>
                  <w:sz w:val="18"/>
                  <w:szCs w:val="18"/>
                  <w:color w:val="0E32E1"/>
                  <w:w w:val="91"/>
                </w:rPr>
                <w:t>Certification of Chief Executive Officer pursuant to Section 302 of the Sarbanes-Oxley Act of 2002.</w:t>
              </w:r>
            </w:hyperlink>
          </w:p>
        </w:tc>
      </w:tr>
      <w:tr>
        <w:trPr>
          <w:trHeight w:val="345"/>
        </w:trPr>
        <w:tc>
          <w:tcPr>
            <w:tcW w:w="1020" w:type="dxa"/>
            <w:vAlign w:val="bottom"/>
          </w:tcPr>
          <w:p>
            <w:pPr>
              <w:jc w:val="right"/>
              <w:ind w:right="630"/>
              <w:spacing w:after="0"/>
              <w:rPr>
                <w:sz w:val="20"/>
                <w:szCs w:val="20"/>
                <w:color w:val="auto"/>
              </w:rPr>
            </w:pPr>
            <w:r>
              <w:rPr>
                <w:rFonts w:ascii="Arial" w:cs="Arial" w:eastAsia="Arial" w:hAnsi="Arial"/>
                <w:sz w:val="18"/>
                <w:szCs w:val="18"/>
                <w:color w:val="auto"/>
                <w:w w:val="79"/>
              </w:rPr>
              <w:t>31.2</w:t>
            </w:r>
          </w:p>
        </w:tc>
        <w:tc>
          <w:tcPr>
            <w:tcW w:w="7180" w:type="dxa"/>
            <w:vAlign w:val="bottom"/>
            <w:tcBorders>
              <w:bottom w:val="single" w:sz="8" w:color="0E32E1"/>
            </w:tcBorders>
          </w:tcPr>
          <w:p>
            <w:pPr>
              <w:spacing w:after="0"/>
              <w:rPr>
                <w:rFonts w:ascii="Arial" w:cs="Arial" w:eastAsia="Arial" w:hAnsi="Arial"/>
                <w:sz w:val="18"/>
                <w:szCs w:val="18"/>
                <w:color w:val="0E32E1"/>
                <w:w w:val="92"/>
              </w:rPr>
            </w:pPr>
            <w:hyperlink w:anchor="page123">
              <w:r>
                <w:rPr>
                  <w:rFonts w:ascii="Arial" w:cs="Arial" w:eastAsia="Arial" w:hAnsi="Arial"/>
                  <w:sz w:val="18"/>
                  <w:szCs w:val="18"/>
                  <w:color w:val="0E32E1"/>
                  <w:w w:val="92"/>
                </w:rPr>
                <w:t>Certification of Chief Financial Officer pursuant to Section 302 of the Sarbanes-Oxley Act of 2002.</w:t>
              </w:r>
            </w:hyperlink>
          </w:p>
        </w:tc>
        <w:tc>
          <w:tcPr>
            <w:tcW w:w="40" w:type="dxa"/>
            <w:vAlign w:val="bottom"/>
          </w:tcPr>
          <w:p>
            <w:pPr>
              <w:spacing w:after="0"/>
              <w:rPr>
                <w:sz w:val="24"/>
                <w:szCs w:val="24"/>
                <w:color w:val="auto"/>
              </w:rPr>
            </w:pPr>
          </w:p>
        </w:tc>
      </w:tr>
    </w:tbl>
    <w:p>
      <w:pPr>
        <w:spacing w:after="0" w:line="161" w:lineRule="exact"/>
        <w:rPr>
          <w:sz w:val="20"/>
          <w:szCs w:val="20"/>
          <w:color w:val="auto"/>
        </w:rPr>
      </w:pPr>
    </w:p>
    <w:p>
      <w:pPr>
        <w:ind w:left="1380" w:right="500" w:hanging="962"/>
        <w:spacing w:after="0" w:line="235" w:lineRule="auto"/>
        <w:tabs>
          <w:tab w:leader="none" w:pos="1380" w:val="left"/>
        </w:tabs>
        <w:numPr>
          <w:ilvl w:val="0"/>
          <w:numId w:val="32"/>
        </w:numPr>
        <w:rPr>
          <w:rFonts w:ascii="Arial" w:cs="Arial" w:eastAsia="Arial" w:hAnsi="Arial"/>
          <w:sz w:val="18"/>
          <w:szCs w:val="18"/>
          <w:u w:val="single" w:color="auto"/>
          <w:color w:val="0E32E1"/>
        </w:rPr>
      </w:pPr>
      <w:hyperlink w:anchor="page124">
        <w:r>
          <w:rPr>
            <w:rFonts w:ascii="Arial" w:cs="Arial" w:eastAsia="Arial" w:hAnsi="Arial"/>
            <w:sz w:val="18"/>
            <w:szCs w:val="18"/>
            <w:u w:val="single" w:color="auto"/>
            <w:color w:val="0E32E1"/>
          </w:rPr>
          <w:t>Certifications of Chief Executive Officer and Chief Financial Officer pursuant to Section 906 of the Sarbanes-Oxley Act of 2002, 18</w:t>
        </w:r>
      </w:hyperlink>
      <w:r>
        <w:rPr>
          <w:rFonts w:ascii="Arial" w:cs="Arial" w:eastAsia="Arial" w:hAnsi="Arial"/>
          <w:sz w:val="18"/>
          <w:szCs w:val="18"/>
          <w:u w:val="single" w:color="auto"/>
          <w:color w:val="0E32E1"/>
        </w:rPr>
        <w:t xml:space="preserve"> </w:t>
      </w:r>
      <w:hyperlink w:anchor="page124">
        <w:r>
          <w:rPr>
            <w:rFonts w:ascii="Arial" w:cs="Arial" w:eastAsia="Arial" w:hAnsi="Arial"/>
            <w:sz w:val="18"/>
            <w:szCs w:val="18"/>
            <w:u w:val="single" w:color="auto"/>
            <w:color w:val="0E32E1"/>
          </w:rPr>
          <w:t>U.S.C. Section 1350.</w:t>
        </w:r>
      </w:hyperlink>
    </w:p>
    <w:p>
      <w:pPr>
        <w:spacing w:after="0" w:line="108" w:lineRule="exact"/>
        <w:rPr>
          <w:rFonts w:ascii="Arial" w:cs="Arial" w:eastAsia="Arial" w:hAnsi="Arial"/>
          <w:sz w:val="18"/>
          <w:szCs w:val="18"/>
          <w:color w:val="auto"/>
        </w:rPr>
      </w:pPr>
    </w:p>
    <w:tbl>
      <w:tblPr>
        <w:tblLayout w:type="fixed"/>
        <w:tblInd w:w="180" w:type="dxa"/>
        <w:tblCellMar>
          <w:top w:w="0" w:type="dxa"/>
          <w:left w:w="0" w:type="dxa"/>
          <w:bottom w:w="0" w:type="dxa"/>
          <w:right w:w="0" w:type="dxa"/>
        </w:tblCellMar>
      </w:tblP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101.INS</w:t>
            </w:r>
          </w:p>
        </w:tc>
        <w:tc>
          <w:tcPr>
            <w:tcW w:w="480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480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4800" w:type="dxa"/>
            <w:vAlign w:val="bottom"/>
          </w:tcPr>
          <w:p>
            <w:pPr>
              <w:ind w:left="2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480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480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4800" w:type="dxa"/>
            <w:vAlign w:val="bottom"/>
          </w:tcPr>
          <w:p>
            <w:pPr>
              <w:ind w:left="2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rFonts w:ascii="Arial" w:cs="Arial" w:eastAsia="Arial" w:hAnsi="Arial"/>
          <w:sz w:val="18"/>
          <w:szCs w:val="18"/>
          <w:color w:val="auto"/>
        </w:rPr>
      </w:pPr>
    </w:p>
    <w:p>
      <w:pPr>
        <w:jc w:val="both"/>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AMC Networks Inc.</w:t>
      </w:r>
    </w:p>
    <w:p>
      <w:pPr>
        <w:spacing w:after="0" w:line="266" w:lineRule="exact"/>
        <w:rPr>
          <w:rFonts w:ascii="Arial" w:cs="Arial" w:eastAsia="Arial" w:hAnsi="Arial"/>
          <w:sz w:val="18"/>
          <w:szCs w:val="18"/>
          <w:color w:val="auto"/>
        </w:rPr>
      </w:pPr>
    </w:p>
    <w:p>
      <w:pPr>
        <w:ind w:left="20"/>
        <w:spacing w:after="0"/>
        <w:tabs>
          <w:tab w:leader="none" w:pos="660" w:val="left"/>
          <w:tab w:leader="none" w:pos="4820" w:val="left"/>
          <w:tab w:leader="none" w:pos="5260" w:val="left"/>
        </w:tabs>
        <w:rPr>
          <w:sz w:val="20"/>
          <w:szCs w:val="20"/>
          <w:color w:val="auto"/>
        </w:rPr>
      </w:pPr>
      <w:r>
        <w:rPr>
          <w:rFonts w:ascii="Arial" w:cs="Arial" w:eastAsia="Arial" w:hAnsi="Arial"/>
          <w:sz w:val="18"/>
          <w:szCs w:val="18"/>
          <w:color w:val="auto"/>
        </w:rPr>
        <w:t>Date:</w:t>
        <w:tab/>
        <w:t>2/26/2020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8931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Sean S. Sullivan</w:t>
      </w:r>
    </w:p>
    <w:p>
      <w:pPr>
        <w:spacing w:after="0" w:line="63"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Executive Vice President and Chief Financial Officer</w:t>
      </w:r>
    </w:p>
    <w:p>
      <w:pPr>
        <w:spacing w:after="0" w:line="14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u w:val="single" w:color="auto"/>
          <w:color w:val="auto"/>
        </w:rPr>
        <w:t>POWER OF ATTORNEY</w:t>
      </w:r>
    </w:p>
    <w:p>
      <w:pPr>
        <w:spacing w:after="0" w:line="117" w:lineRule="exact"/>
        <w:rPr>
          <w:rFonts w:ascii="Arial" w:cs="Arial" w:eastAsia="Arial" w:hAnsi="Arial"/>
          <w:sz w:val="18"/>
          <w:szCs w:val="18"/>
          <w:color w:val="auto"/>
        </w:rPr>
      </w:pPr>
    </w:p>
    <w:p>
      <w:pPr>
        <w:jc w:val="both"/>
        <w:ind w:firstLine="446"/>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Joshua W. Sapan and Sean S. Sullivan, and each of them, his true and lawful attorneys-in-fact and agents, with full power of substitution and resubstitution, for him in his name, place and stead, in any and all capacities, to sign this report, and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63" w:name="page64"/>
    <w:bookmarkEnd w:id="63"/>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ind w:left="1500"/>
              <w:spacing w:after="0"/>
              <w:rPr>
                <w:sz w:val="20"/>
                <w:szCs w:val="20"/>
                <w:color w:val="auto"/>
              </w:rPr>
            </w:pPr>
            <w:r>
              <w:rPr>
                <w:rFonts w:ascii="Arial" w:cs="Arial" w:eastAsia="Arial" w:hAnsi="Arial"/>
                <w:sz w:val="14"/>
                <w:szCs w:val="14"/>
                <w:color w:val="auto"/>
              </w:rPr>
              <w:t>Name</w:t>
            </w:r>
          </w:p>
        </w:tc>
        <w:tc>
          <w:tcPr>
            <w:tcW w:w="5580" w:type="dxa"/>
            <w:vAlign w:val="bottom"/>
            <w:gridSpan w:val="3"/>
          </w:tcPr>
          <w:p>
            <w:pPr>
              <w:ind w:left="2940"/>
              <w:spacing w:after="0"/>
              <w:rPr>
                <w:sz w:val="20"/>
                <w:szCs w:val="20"/>
                <w:color w:val="auto"/>
              </w:rPr>
            </w:pPr>
            <w:r>
              <w:rPr>
                <w:rFonts w:ascii="Arial" w:cs="Arial" w:eastAsia="Arial" w:hAnsi="Arial"/>
                <w:sz w:val="14"/>
                <w:szCs w:val="14"/>
                <w:color w:val="auto"/>
              </w:rPr>
              <w:t>Title</w:t>
            </w:r>
          </w:p>
        </w:tc>
        <w:tc>
          <w:tcPr>
            <w:tcW w:w="1900" w:type="dxa"/>
            <w:vAlign w:val="bottom"/>
            <w:gridSpan w:val="3"/>
          </w:tcPr>
          <w:p>
            <w:pPr>
              <w:jc w:val="center"/>
              <w:ind w:left="1072"/>
              <w:spacing w:after="0"/>
              <w:rPr>
                <w:sz w:val="20"/>
                <w:szCs w:val="20"/>
                <w:color w:val="auto"/>
              </w:rPr>
            </w:pPr>
            <w:r>
              <w:rPr>
                <w:rFonts w:ascii="Arial" w:cs="Arial" w:eastAsia="Arial" w:hAnsi="Arial"/>
                <w:sz w:val="14"/>
                <w:szCs w:val="14"/>
                <w:color w:val="auto"/>
                <w:w w:val="87"/>
              </w:rPr>
              <w:t>Date</w:t>
            </w:r>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34"/>
        </w:trPr>
        <w:tc>
          <w:tcPr>
            <w:tcW w:w="1500" w:type="dxa"/>
            <w:vAlign w:val="bottom"/>
          </w:tcPr>
          <w:p>
            <w:pPr>
              <w:ind w:left="20"/>
              <w:spacing w:after="0"/>
              <w:rPr>
                <w:sz w:val="20"/>
                <w:szCs w:val="20"/>
                <w:color w:val="auto"/>
              </w:rPr>
            </w:pPr>
            <w:r>
              <w:rPr>
                <w:rFonts w:ascii="Arial" w:cs="Arial" w:eastAsia="Arial" w:hAnsi="Arial"/>
                <w:sz w:val="18"/>
                <w:szCs w:val="18"/>
                <w:color w:val="auto"/>
                <w:w w:val="87"/>
              </w:rPr>
              <w:t>/s/ Joshua W. Sapan</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President and Chief Executive Officer</w:t>
            </w:r>
          </w:p>
        </w:tc>
        <w:tc>
          <w:tcPr>
            <w:tcW w:w="1900" w:type="dxa"/>
            <w:vAlign w:val="bottom"/>
            <w:gridSpan w:val="3"/>
          </w:tcPr>
          <w:p>
            <w:pPr>
              <w:jc w:val="center"/>
              <w:ind w:left="10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Joshua W. Sapan</w:t>
            </w: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(Principal Executive Officer)</w:t>
            </w: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Sean S. Sullivan</w:t>
            </w: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Executive Vice President and Chief Financial Officer</w:t>
            </w:r>
          </w:p>
        </w:tc>
        <w:tc>
          <w:tcPr>
            <w:tcW w:w="1900" w:type="dxa"/>
            <w:vAlign w:val="bottom"/>
            <w:gridSpan w:val="3"/>
          </w:tcPr>
          <w:p>
            <w:pPr>
              <w:jc w:val="center"/>
              <w:ind w:left="10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Sean S. Sullivan</w:t>
            </w: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(Principal Financial Officer)</w:t>
            </w: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Christian B. Wymbs</w:t>
            </w: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Executive Vice President and Chief Accounting Officer</w:t>
            </w:r>
          </w:p>
        </w:tc>
        <w:tc>
          <w:tcPr>
            <w:tcW w:w="1900" w:type="dxa"/>
            <w:vAlign w:val="bottom"/>
            <w:gridSpan w:val="3"/>
          </w:tcPr>
          <w:p>
            <w:pPr>
              <w:jc w:val="center"/>
              <w:ind w:left="10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Christian B. Wymbs</w:t>
            </w: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(Principal Accounting Officer)</w:t>
            </w: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Charles F. Dolan</w:t>
            </w: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Chairman of the Board of Directors</w:t>
            </w:r>
          </w:p>
        </w:tc>
        <w:tc>
          <w:tcPr>
            <w:tcW w:w="1900" w:type="dxa"/>
            <w:vAlign w:val="bottom"/>
            <w:gridSpan w:val="3"/>
          </w:tcPr>
          <w:p>
            <w:pPr>
              <w:jc w:val="center"/>
              <w:ind w:left="10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Charles F. Dolan</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William J. Bell</w:t>
            </w: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0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William J. Bell</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James L. Dolan</w:t>
            </w: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0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James L. Dolan</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Kristin A. Dolan</w:t>
            </w: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0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Kristin A. Dolan</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w w:val="85"/>
              </w:rPr>
              <w:t>Name</w:t>
            </w:r>
          </w:p>
        </w:tc>
        <w:tc>
          <w:tcPr>
            <w:tcW w:w="1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rPr>
              <w:t>Title</w:t>
            </w:r>
          </w:p>
        </w:tc>
        <w:tc>
          <w:tcPr>
            <w:tcW w:w="2500" w:type="dxa"/>
            <w:vAlign w:val="bottom"/>
            <w:gridSpan w:val="3"/>
          </w:tcPr>
          <w:p>
            <w:pPr>
              <w:jc w:val="center"/>
              <w:ind w:left="1672"/>
              <w:spacing w:after="0"/>
              <w:rPr>
                <w:sz w:val="20"/>
                <w:szCs w:val="20"/>
                <w:color w:val="auto"/>
              </w:rPr>
            </w:pPr>
            <w:r>
              <w:rPr>
                <w:rFonts w:ascii="Arial" w:cs="Arial" w:eastAsia="Arial" w:hAnsi="Arial"/>
                <w:sz w:val="14"/>
                <w:szCs w:val="14"/>
                <w:color w:val="auto"/>
                <w:w w:val="87"/>
              </w:rPr>
              <w:t>Date</w:t>
            </w:r>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Marianne Dolan Weber</w:t>
            </w: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6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Marianne Dolan Weber</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Patrick F. Dolan</w:t>
            </w: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6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Patrick F. Dolan</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Thomas C. Dolan</w:t>
            </w: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6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Thomas C. Dolan</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Jonathan F. Miller</w:t>
            </w: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6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Jonathan F. Miller</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Brian G. Sweeney</w:t>
            </w: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6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Brian G. Sweeney</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Vincent Tese</w:t>
            </w: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6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Vincent Tese</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Leonard Tow</w:t>
            </w: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6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Leonard Tow</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David E. Van Zandt</w:t>
            </w: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6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David E. Van Zandt</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Carl E. Vogel</w:t>
            </w: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6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Carl E. Vogel</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2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 Robert C. Wright</w:t>
            </w:r>
          </w:p>
        </w:tc>
        <w:tc>
          <w:tcPr>
            <w:tcW w:w="498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672"/>
              <w:spacing w:after="0"/>
              <w:rPr>
                <w:sz w:val="20"/>
                <w:szCs w:val="20"/>
                <w:color w:val="auto"/>
              </w:rPr>
            </w:pPr>
            <w:r>
              <w:rPr>
                <w:rFonts w:ascii="Arial" w:cs="Arial" w:eastAsia="Arial" w:hAnsi="Arial"/>
                <w:sz w:val="18"/>
                <w:szCs w:val="18"/>
                <w:color w:val="auto"/>
                <w:w w:val="92"/>
              </w:rPr>
              <w:t>2/26/2020</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Robert C. Wright</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00"/>
          </w:cols>
          <w:pgMar w:left="240" w:top="937" w:right="859" w:bottom="1440" w:gutter="0" w:footer="0" w:header="0"/>
        </w:sectPr>
      </w:pPr>
    </w:p>
    <w:bookmarkStart w:id="65" w:name="page66"/>
    <w:bookmarkEnd w:id="65"/>
    <w:p>
      <w:pPr>
        <w:jc w:val="center"/>
        <w:ind w:right="-279"/>
        <w:spacing w:after="0"/>
        <w:rPr>
          <w:sz w:val="20"/>
          <w:szCs w:val="20"/>
          <w:color w:val="auto"/>
        </w:rPr>
      </w:pPr>
      <w:r>
        <w:rPr>
          <w:rFonts w:ascii="Arial" w:cs="Arial" w:eastAsia="Arial" w:hAnsi="Arial"/>
          <w:sz w:val="18"/>
          <w:szCs w:val="18"/>
          <w:b w:val="1"/>
          <w:bCs w:val="1"/>
          <w:color w:val="auto"/>
        </w:rPr>
        <w:t>AMC NETWORKS INC.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20" w:type="dxa"/>
            <w:vAlign w:val="bottom"/>
            <w:gridSpan w:val="9"/>
          </w:tcPr>
          <w:p>
            <w:pPr>
              <w:spacing w:after="0"/>
              <w:rPr>
                <w:sz w:val="20"/>
                <w:szCs w:val="20"/>
                <w:color w:val="auto"/>
              </w:rPr>
            </w:pPr>
            <w:r>
              <w:rPr>
                <w:rFonts w:ascii="Arial" w:cs="Arial" w:eastAsia="Arial" w:hAnsi="Arial"/>
                <w:sz w:val="18"/>
                <w:szCs w:val="18"/>
                <w:b w:val="1"/>
                <w:bCs w:val="1"/>
                <w:color w:val="auto"/>
                <w:w w:val="97"/>
              </w:rPr>
              <w:t>Consolidated Financial Statements as of December 31, 2019 and 2018 and for the years ended December 31, 2019, 2018 and 2017</w:t>
            </w:r>
          </w:p>
        </w:tc>
        <w:tc>
          <w:tcPr>
            <w:tcW w:w="240" w:type="dxa"/>
            <w:vAlign w:val="bottom"/>
          </w:tcPr>
          <w:p>
            <w:pPr>
              <w:spacing w:after="0"/>
              <w:rPr>
                <w:sz w:val="20"/>
                <w:szCs w:val="20"/>
                <w:color w:val="auto"/>
              </w:rPr>
            </w:pPr>
          </w:p>
        </w:tc>
      </w:tr>
      <w:tr>
        <w:trPr>
          <w:trHeight w:val="324"/>
        </w:trPr>
        <w:tc>
          <w:tcPr>
            <w:tcW w:w="10820" w:type="dxa"/>
            <w:vAlign w:val="bottom"/>
            <w:gridSpan w:val="9"/>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Reports of Independent Registered Public Accounting Firm</w:t>
              </w:r>
            </w:hyperlink>
          </w:p>
        </w:tc>
        <w:tc>
          <w:tcPr>
            <w:tcW w:w="240" w:type="dxa"/>
            <w:vAlign w:val="bottom"/>
          </w:tcPr>
          <w:p>
            <w:pPr>
              <w:spacing w:after="0"/>
              <w:rPr>
                <w:rFonts w:ascii="Arial" w:cs="Arial" w:eastAsia="Arial" w:hAnsi="Arial"/>
                <w:sz w:val="18"/>
                <w:szCs w:val="18"/>
                <w:color w:val="0000FF"/>
                <w:w w:val="81"/>
              </w:rPr>
            </w:pPr>
            <w:hyperlink w:anchor="page66">
              <w:r>
                <w:rPr>
                  <w:rFonts w:ascii="Arial" w:cs="Arial" w:eastAsia="Arial" w:hAnsi="Arial"/>
                  <w:sz w:val="18"/>
                  <w:szCs w:val="18"/>
                  <w:color w:val="0000FF"/>
                  <w:w w:val="81"/>
                </w:rPr>
                <w:t>F-1</w:t>
              </w:r>
            </w:hyperlink>
          </w:p>
        </w:tc>
      </w:tr>
      <w:tr>
        <w:trPr>
          <w:trHeight w:val="210"/>
        </w:trPr>
        <w:tc>
          <w:tcPr>
            <w:tcW w:w="4280" w:type="dxa"/>
            <w:vAlign w:val="bottom"/>
            <w:tcBorders>
              <w:top w:val="single" w:sz="8" w:color="0000FF"/>
            </w:tcBorders>
            <w:gridSpan w:val="7"/>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Consolidated Balance Sheets</w:t>
              </w:r>
            </w:hyperlink>
          </w:p>
        </w:tc>
        <w:tc>
          <w:tcPr>
            <w:tcW w:w="6540" w:type="dxa"/>
            <w:vAlign w:val="bottom"/>
            <w:gridSpan w:val="2"/>
          </w:tcPr>
          <w:p>
            <w:pPr>
              <w:spacing w:after="0"/>
              <w:rPr>
                <w:sz w:val="18"/>
                <w:szCs w:val="18"/>
                <w:color w:val="auto"/>
              </w:rPr>
            </w:pPr>
          </w:p>
        </w:tc>
        <w:tc>
          <w:tcPr>
            <w:tcW w:w="240" w:type="dxa"/>
            <w:vAlign w:val="bottom"/>
            <w:tcBorders>
              <w:top w:val="single" w:sz="8" w:color="0000FF"/>
            </w:tcBorders>
          </w:tcPr>
          <w:p>
            <w:pPr>
              <w:spacing w:after="0"/>
              <w:rPr>
                <w:rFonts w:ascii="Arial" w:cs="Arial" w:eastAsia="Arial" w:hAnsi="Arial"/>
                <w:sz w:val="18"/>
                <w:szCs w:val="18"/>
                <w:color w:val="0000FF"/>
                <w:w w:val="81"/>
              </w:rPr>
            </w:pPr>
            <w:hyperlink w:anchor="page69">
              <w:r>
                <w:rPr>
                  <w:rFonts w:ascii="Arial" w:cs="Arial" w:eastAsia="Arial" w:hAnsi="Arial"/>
                  <w:sz w:val="18"/>
                  <w:szCs w:val="18"/>
                  <w:color w:val="0000FF"/>
                  <w:w w:val="81"/>
                </w:rPr>
                <w:t>F-4</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10820" w:type="dxa"/>
            <w:vAlign w:val="bottom"/>
            <w:gridSpan w:val="9"/>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Consolidated Statements of Income</w:t>
              </w:r>
            </w:hyperlink>
          </w:p>
        </w:tc>
        <w:tc>
          <w:tcPr>
            <w:tcW w:w="240" w:type="dxa"/>
            <w:vAlign w:val="bottom"/>
          </w:tcPr>
          <w:p>
            <w:pPr>
              <w:spacing w:after="0"/>
              <w:rPr>
                <w:rFonts w:ascii="Arial" w:cs="Arial" w:eastAsia="Arial" w:hAnsi="Arial"/>
                <w:sz w:val="18"/>
                <w:szCs w:val="18"/>
                <w:color w:val="0000FF"/>
                <w:w w:val="81"/>
              </w:rPr>
            </w:pPr>
            <w:hyperlink w:anchor="page70">
              <w:r>
                <w:rPr>
                  <w:rFonts w:ascii="Arial" w:cs="Arial" w:eastAsia="Arial" w:hAnsi="Arial"/>
                  <w:sz w:val="18"/>
                  <w:szCs w:val="18"/>
                  <w:color w:val="0000FF"/>
                  <w:w w:val="81"/>
                </w:rPr>
                <w:t>F-5</w:t>
              </w:r>
            </w:hyperlink>
          </w:p>
        </w:tc>
      </w:tr>
      <w:tr>
        <w:trPr>
          <w:trHeight w:val="20"/>
        </w:trPr>
        <w:tc>
          <w:tcPr>
            <w:tcW w:w="25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37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Consolidated Statements of Comprehensive Income</w:t>
              </w:r>
            </w:hyperlink>
          </w:p>
        </w:tc>
        <w:tc>
          <w:tcPr>
            <w:tcW w:w="7080" w:type="dxa"/>
            <w:vAlign w:val="bottom"/>
            <w:gridSpan w:val="3"/>
          </w:tcPr>
          <w:p>
            <w:pPr>
              <w:spacing w:after="0"/>
              <w:rPr>
                <w:sz w:val="18"/>
                <w:szCs w:val="18"/>
                <w:color w:val="auto"/>
              </w:rPr>
            </w:pPr>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71">
              <w:r>
                <w:rPr>
                  <w:rFonts w:ascii="Arial" w:cs="Arial" w:eastAsia="Arial" w:hAnsi="Arial"/>
                  <w:sz w:val="18"/>
                  <w:szCs w:val="18"/>
                  <w:color w:val="0000FF"/>
                  <w:w w:val="81"/>
                </w:rPr>
                <w:t>F-6</w:t>
              </w:r>
            </w:hyperlink>
          </w:p>
        </w:tc>
      </w:tr>
      <w:tr>
        <w:trPr>
          <w:trHeight w:val="210"/>
        </w:trPr>
        <w:tc>
          <w:tcPr>
            <w:tcW w:w="10820" w:type="dxa"/>
            <w:vAlign w:val="bottom"/>
            <w:gridSpan w:val="9"/>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Consolidated Statements of Stockholders’ Equity (Deficiency)</w:t>
              </w:r>
            </w:hyperlink>
          </w:p>
        </w:tc>
        <w:tc>
          <w:tcPr>
            <w:tcW w:w="240" w:type="dxa"/>
            <w:vAlign w:val="bottom"/>
          </w:tcPr>
          <w:p>
            <w:pPr>
              <w:spacing w:after="0"/>
              <w:rPr>
                <w:rFonts w:ascii="Arial" w:cs="Arial" w:eastAsia="Arial" w:hAnsi="Arial"/>
                <w:sz w:val="18"/>
                <w:szCs w:val="18"/>
                <w:color w:val="0000FF"/>
                <w:w w:val="81"/>
              </w:rPr>
            </w:pPr>
            <w:hyperlink w:anchor="page72">
              <w:r>
                <w:rPr>
                  <w:rFonts w:ascii="Arial" w:cs="Arial" w:eastAsia="Arial" w:hAnsi="Arial"/>
                  <w:sz w:val="18"/>
                  <w:szCs w:val="18"/>
                  <w:color w:val="0000FF"/>
                  <w:w w:val="81"/>
                </w:rPr>
                <w:t>F-7</w:t>
              </w:r>
            </w:hyperlink>
          </w:p>
        </w:tc>
      </w:tr>
      <w:tr>
        <w:trPr>
          <w:trHeight w:val="210"/>
        </w:trPr>
        <w:tc>
          <w:tcPr>
            <w:tcW w:w="4500" w:type="dxa"/>
            <w:vAlign w:val="bottom"/>
            <w:tcBorders>
              <w:top w:val="single" w:sz="8" w:color="0000FF"/>
            </w:tcBorders>
            <w:gridSpan w:val="8"/>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Consolidated Statements of Cash Flows</w:t>
              </w:r>
            </w:hyperlink>
          </w:p>
        </w:tc>
        <w:tc>
          <w:tcPr>
            <w:tcW w:w="6320" w:type="dxa"/>
            <w:vAlign w:val="bottom"/>
          </w:tcPr>
          <w:p>
            <w:pPr>
              <w:spacing w:after="0"/>
              <w:rPr>
                <w:sz w:val="18"/>
                <w:szCs w:val="18"/>
                <w:color w:val="auto"/>
              </w:rPr>
            </w:pPr>
          </w:p>
        </w:tc>
        <w:tc>
          <w:tcPr>
            <w:tcW w:w="240" w:type="dxa"/>
            <w:vAlign w:val="bottom"/>
            <w:tcBorders>
              <w:top w:val="single" w:sz="8" w:color="0000FF"/>
            </w:tcBorders>
          </w:tcPr>
          <w:p>
            <w:pPr>
              <w:spacing w:after="0"/>
              <w:rPr>
                <w:rFonts w:ascii="Arial" w:cs="Arial" w:eastAsia="Arial" w:hAnsi="Arial"/>
                <w:sz w:val="18"/>
                <w:szCs w:val="18"/>
                <w:color w:val="0000FF"/>
                <w:w w:val="81"/>
              </w:rPr>
            </w:pPr>
            <w:hyperlink w:anchor="page73">
              <w:r>
                <w:rPr>
                  <w:rFonts w:ascii="Arial" w:cs="Arial" w:eastAsia="Arial" w:hAnsi="Arial"/>
                  <w:sz w:val="18"/>
                  <w:szCs w:val="18"/>
                  <w:color w:val="0000FF"/>
                  <w:w w:val="81"/>
                </w:rPr>
                <w:t>F-8</w:t>
              </w:r>
            </w:hyperlink>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10820" w:type="dxa"/>
            <w:vAlign w:val="bottom"/>
            <w:gridSpan w:val="9"/>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Notes to Consolidated Financial Statements</w:t>
              </w:r>
            </w:hyperlink>
          </w:p>
        </w:tc>
        <w:tc>
          <w:tcPr>
            <w:tcW w:w="240" w:type="dxa"/>
            <w:vAlign w:val="bottom"/>
          </w:tcPr>
          <w:p>
            <w:pPr>
              <w:spacing w:after="0"/>
              <w:rPr>
                <w:rFonts w:ascii="Arial" w:cs="Arial" w:eastAsia="Arial" w:hAnsi="Arial"/>
                <w:sz w:val="18"/>
                <w:szCs w:val="18"/>
                <w:color w:val="0000FF"/>
                <w:w w:val="81"/>
              </w:rPr>
            </w:pPr>
            <w:hyperlink w:anchor="page74">
              <w:r>
                <w:rPr>
                  <w:rFonts w:ascii="Arial" w:cs="Arial" w:eastAsia="Arial" w:hAnsi="Arial"/>
                  <w:sz w:val="18"/>
                  <w:szCs w:val="18"/>
                  <w:color w:val="0000FF"/>
                  <w:w w:val="81"/>
                </w:rPr>
                <w:t>F-9</w:t>
              </w:r>
            </w:hyperlink>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10820" w:type="dxa"/>
            <w:vAlign w:val="bottom"/>
            <w:gridSpan w:val="9"/>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Schedule II—Valuation and Qualifying Accounts</w:t>
              </w:r>
            </w:hyperlink>
          </w:p>
        </w:tc>
        <w:tc>
          <w:tcPr>
            <w:tcW w:w="240" w:type="dxa"/>
            <w:vAlign w:val="bottom"/>
          </w:tcPr>
          <w:p>
            <w:pPr>
              <w:spacing w:after="0"/>
              <w:rPr>
                <w:rFonts w:ascii="Arial" w:cs="Arial" w:eastAsia="Arial" w:hAnsi="Arial"/>
                <w:sz w:val="18"/>
                <w:szCs w:val="18"/>
                <w:color w:val="0000FF"/>
                <w:w w:val="78"/>
              </w:rPr>
            </w:pPr>
            <w:hyperlink w:anchor="page118">
              <w:r>
                <w:rPr>
                  <w:rFonts w:ascii="Arial" w:cs="Arial" w:eastAsia="Arial" w:hAnsi="Arial"/>
                  <w:sz w:val="18"/>
                  <w:szCs w:val="18"/>
                  <w:color w:val="0000FF"/>
                  <w:w w:val="78"/>
                </w:rPr>
                <w:t>S-1</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80" w:top="891" w:right="5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AMC Networks Inc. and subsidiaries’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stockholders’ equity, and cash flows for each of the years in the three-year period ended December 31, 2019, and the related notes, and the related financial statement Schedule II referred to in Item 15 (a)(2) (collectively, the consolidated financial statements), and our report, dated February 26, 2020, expressed an unqualified opinion on those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AMC Networks Inc. and subsidiaries (the Company) as of December 31, 2019 and 2018, and the related consolidated statements of income, comprehensive income, stockholders’ equity (deficiency), and cash flows for each of the years in the three-year period ended December 31, 2019, and the related notes, and the related financial statement Schedule II referred to in Item 15 (a)(2)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2020,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As discussed in Note 2 to the consolidated financial statements, the Company (i) changed its method of accounting for leases due to the adoption of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effective January 1, 2019, and (ii) changed its method of accounting for revenue due to the adoption of ASU No.2014-09,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effective January 1,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Assessment of the carrying value of goodwill in the AMC Networks International (AMCNI) reporting unit</w:t>
      </w:r>
    </w:p>
    <w:p>
      <w:pPr>
        <w:spacing w:after="0" w:line="11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discussed in note 10 to the consolidated financial statements, the Company’s goodwill balance for its International and Other segment was $464.9 million at December 31, 2019, which includes the AMCNI reporting unit. The Company performs goodwill impairment testing on an annual basis during the fourth quarter of each fiscal year as of December 1, and whenever events and changes in circumstances indicate that the carrying value of a reporting unit might exceed its fair value. In connection with its 2019 annual impairment test, the Company recognized a charge of $98.0 million to reduce the carrying value of the AMCNI reporting unit to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68" w:name="page69"/>
    <w:bookmarkEnd w:id="68"/>
    <w:p>
      <w:pPr>
        <w:jc w:val="both"/>
        <w:ind w:left="340" w:right="20"/>
        <w:spacing w:after="0" w:line="264" w:lineRule="auto"/>
        <w:rPr>
          <w:sz w:val="20"/>
          <w:szCs w:val="20"/>
          <w:color w:val="auto"/>
        </w:rPr>
      </w:pPr>
      <w:r>
        <w:rPr>
          <w:rFonts w:ascii="Arial" w:cs="Arial" w:eastAsia="Arial" w:hAnsi="Arial"/>
          <w:sz w:val="18"/>
          <w:szCs w:val="18"/>
          <w:color w:val="auto"/>
        </w:rPr>
        <w:t>We identified the assessment of the carrying value of goodwill in the AMCNI reporting unit as a critical audit matter. Revenue growth rates and the discount rate used by the Company to estimate the fair value of the reporting unit involved challenging auditor judgments, and have a significant effect on the Company’s assessment of the carrying value of the reporting unit’s goodwill.</w:t>
      </w:r>
    </w:p>
    <w:p>
      <w:pPr>
        <w:spacing w:after="0" w:line="73"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internal controls over the Company’s goodwill impairment assessment process, including controls related to the selection of relevant assumptions used to estimate the fair value of the reporting unit, such as revenue growth rates and the discount rate. We performed sensitivity analyses over the revenue growth rates and discount rate assumptions to assess their potential impact on the Company’s determination of the fair value of the reporting unit. We evaluated the Company’s forecasted reporting unit revenue growth rate assumptions by comparing the assumptions to the reporting unit’s historical revenue growth rates, to projected revenue growth rates for guideline companies, and to projected television broadcasting revenue growth rates published by a third-party. We compared the Company’s historical revenue forecasts to actual results to assess the Company’s ability to accurately forecast. We involved a valuation professional with specialized skill and knowledge who assisted in:</w:t>
      </w:r>
    </w:p>
    <w:p>
      <w:pPr>
        <w:spacing w:after="0" w:line="71" w:lineRule="exact"/>
        <w:rPr>
          <w:sz w:val="20"/>
          <w:szCs w:val="20"/>
          <w:color w:val="auto"/>
        </w:rPr>
      </w:pPr>
    </w:p>
    <w:p>
      <w:pPr>
        <w:ind w:left="500" w:right="20" w:hanging="168"/>
        <w:spacing w:after="0" w:line="277"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evaluating the Company’s discount rate, by comparing it to a discount rate range that we independently developed using publicly available market data for comparable entities; and</w:t>
      </w:r>
    </w:p>
    <w:p>
      <w:pPr>
        <w:spacing w:after="0" w:line="62" w:lineRule="exact"/>
        <w:rPr>
          <w:rFonts w:ascii="Arial" w:cs="Arial" w:eastAsia="Arial" w:hAnsi="Arial"/>
          <w:sz w:val="18"/>
          <w:szCs w:val="18"/>
          <w:color w:val="auto"/>
        </w:rPr>
      </w:pPr>
    </w:p>
    <w:p>
      <w:pPr>
        <w:jc w:val="both"/>
        <w:ind w:left="500" w:hanging="168"/>
        <w:spacing w:after="0" w:line="264"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evaluating the Company’s estimated fair value of the reporting unit, by comparing it to a range of indicative fair values that we independently developed using the reporting unit’s cash flow forecast, our independently developed discount rate range, and publicly available market multiples for comparable entities.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Assessment of the amortization of owned original program rights</w:t>
      </w:r>
    </w:p>
    <w:p>
      <w:pPr>
        <w:spacing w:after="0" w:line="117"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As discussed in note 6 to the consolidated financial statements, the balance of the Company’s owned original program rights, net as of December 31, 2019 was $548.7 million. Owned original program rights costs are amortized over their estimated useful lives, commencing upon the first airing, based on attributable revenue to-date as a percentage of total projected attributable revenue (ultimate revenues) under the individual-film-forecast-computation method. The Company bases its estimates of projected ultimate revenues primarily on distribution and advertising revenues historically generated from similar content in comparable markets, and projected program usage. Projected program usage is based on the Company’s expectation of future exhibitions. The Company reviews ultimate revenue estimates and projected program usage and revises assumptions, if necessary, which could either accelerate or delay the timing of amortization expense or result in a write-down of unamortized costs to fair value.</w:t>
      </w:r>
    </w:p>
    <w:p>
      <w:pPr>
        <w:spacing w:after="0" w:line="5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identified the assessment of ultimate revenues used in the amortization of owned original program rights as a critical audit matter. The assumptions used by the Company to determine ultimate revenues involved especially challenging auditor judgment as they involve subjective assessments about future distribution (subscription fee revenues and content licensing revenues) and advertising revenues. Changes in those assumptions could have a significant effect on the carrying amount of the Company’s owned original program rights and associated current period program rights amortization expense.</w:t>
      </w:r>
    </w:p>
    <w:p>
      <w:pPr>
        <w:spacing w:after="0" w:line="80"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The primary procedures we performed to address this critical audit matter included the following. We tested certain internal controls over the Company’s ultimate revenue forecasting process, including controls related to the development of assumptions used in determining projected attributable distribution revenue and attributable advertising revenue. We compared the Company’s historical projections of attributable distribution and advertising revenues to actual results to assess the Company’s ability to accurately project ultimate revenues. For a selection of owned original programming series, we evaluated</w:t>
      </w:r>
    </w:p>
    <w:p>
      <w:pPr>
        <w:spacing w:after="0" w:line="2" w:lineRule="exact"/>
        <w:rPr>
          <w:sz w:val="20"/>
          <w:szCs w:val="20"/>
          <w:color w:val="auto"/>
        </w:rPr>
      </w:pPr>
    </w:p>
    <w:p>
      <w:pPr>
        <w:jc w:val="both"/>
        <w:ind w:left="340" w:hanging="8"/>
        <w:spacing w:after="0" w:line="252"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projected attributable subscription fee revenue, by comparing the Company’s assumptions for projected subscribers and rates to recent actual subscriber and rate trends and terms of existing distribution agreements, (2) projected attributable content licensing revenue, by comparing expected licensing fees to contractual terms of existing agreements and recent historical trends of sales and usage based royalties, (3) projected attributable advertising revenue, by comparing the underlying pricing and ratings assumptions to recent historical trends, and (4) projected program usage by comparing historical projections to actual usage, to assess the company’s ability to accurately project program usage, and compared projected program usage to historical trends.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0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0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816,170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554,886</w:t>
            </w:r>
          </w:p>
        </w:tc>
        <w:tc>
          <w:tcPr>
            <w:tcW w:w="0" w:type="dxa"/>
            <w:vAlign w:val="bottom"/>
          </w:tcPr>
          <w:p>
            <w:pPr>
              <w:spacing w:after="0"/>
              <w:rPr>
                <w:sz w:val="1"/>
                <w:szCs w:val="1"/>
                <w:color w:val="auto"/>
              </w:rPr>
            </w:pPr>
          </w:p>
        </w:tc>
      </w:tr>
      <w:tr>
        <w:trPr>
          <w:trHeight w:val="166"/>
        </w:trPr>
        <w:tc>
          <w:tcPr>
            <w:tcW w:w="8400" w:type="dxa"/>
            <w:vAlign w:val="bottom"/>
          </w:tcPr>
          <w:p>
            <w:pPr>
              <w:ind w:left="340"/>
              <w:spacing w:after="0" w:line="166" w:lineRule="exact"/>
              <w:rPr>
                <w:sz w:val="20"/>
                <w:szCs w:val="20"/>
                <w:color w:val="auto"/>
              </w:rPr>
            </w:pPr>
            <w:r>
              <w:rPr>
                <w:rFonts w:ascii="Arial" w:cs="Arial" w:eastAsia="Arial" w:hAnsi="Arial"/>
                <w:sz w:val="16"/>
                <w:szCs w:val="16"/>
                <w:color w:val="auto"/>
                <w:w w:val="92"/>
              </w:rPr>
              <w:t>Accounts receivable, trade (including amounts due from related parties, net, less allowance for doubtful accounts of $5,733</w:t>
            </w:r>
          </w:p>
        </w:tc>
        <w:tc>
          <w:tcPr>
            <w:tcW w:w="320" w:type="dxa"/>
            <w:vAlign w:val="bottom"/>
          </w:tcPr>
          <w:p>
            <w:pPr>
              <w:spacing w:after="0"/>
              <w:rPr>
                <w:sz w:val="14"/>
                <w:szCs w:val="14"/>
                <w:color w:val="auto"/>
              </w:rPr>
            </w:pPr>
          </w:p>
        </w:tc>
        <w:tc>
          <w:tcPr>
            <w:tcW w:w="1100" w:type="dxa"/>
            <w:vAlign w:val="bottom"/>
            <w:vMerge w:val="restart"/>
          </w:tcPr>
          <w:p>
            <w:pPr>
              <w:jc w:val="right"/>
              <w:ind w:right="79"/>
              <w:spacing w:after="0"/>
              <w:rPr>
                <w:sz w:val="20"/>
                <w:szCs w:val="20"/>
                <w:color w:val="auto"/>
              </w:rPr>
            </w:pPr>
            <w:r>
              <w:rPr>
                <w:rFonts w:ascii="Arial" w:cs="Arial" w:eastAsia="Arial" w:hAnsi="Arial"/>
                <w:sz w:val="16"/>
                <w:szCs w:val="16"/>
                <w:color w:val="auto"/>
              </w:rPr>
              <w:t>857,143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6"/>
                <w:szCs w:val="16"/>
                <w:color w:val="auto"/>
              </w:rPr>
              <w:t>835,977</w:t>
            </w:r>
          </w:p>
        </w:tc>
        <w:tc>
          <w:tcPr>
            <w:tcW w:w="0" w:type="dxa"/>
            <w:vAlign w:val="bottom"/>
          </w:tcPr>
          <w:p>
            <w:pPr>
              <w:spacing w:after="0"/>
              <w:rPr>
                <w:sz w:val="1"/>
                <w:szCs w:val="1"/>
                <w:color w:val="auto"/>
              </w:rPr>
            </w:pPr>
          </w:p>
        </w:tc>
      </w:tr>
      <w:tr>
        <w:trPr>
          <w:trHeight w:val="209"/>
        </w:trPr>
        <w:tc>
          <w:tcPr>
            <w:tcW w:w="8400" w:type="dxa"/>
            <w:vAlign w:val="bottom"/>
          </w:tcPr>
          <w:p>
            <w:pPr>
              <w:ind w:left="340"/>
              <w:spacing w:after="0"/>
              <w:rPr>
                <w:sz w:val="20"/>
                <w:szCs w:val="20"/>
                <w:color w:val="auto"/>
              </w:rPr>
            </w:pPr>
            <w:r>
              <w:rPr>
                <w:rFonts w:ascii="Arial" w:cs="Arial" w:eastAsia="Arial" w:hAnsi="Arial"/>
                <w:sz w:val="16"/>
                <w:szCs w:val="16"/>
                <w:color w:val="auto"/>
              </w:rPr>
              <w:t>and $10,788)</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Current portion of program rights, net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426,624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440,739</w:t>
            </w:r>
          </w:p>
        </w:tc>
        <w:tc>
          <w:tcPr>
            <w:tcW w:w="0" w:type="dxa"/>
            <w:vAlign w:val="bottom"/>
          </w:tcPr>
          <w:p>
            <w:pPr>
              <w:spacing w:after="0"/>
              <w:rPr>
                <w:sz w:val="1"/>
                <w:szCs w:val="1"/>
                <w:color w:val="auto"/>
              </w:rPr>
            </w:pPr>
          </w:p>
        </w:tc>
      </w:tr>
      <w:tr>
        <w:trPr>
          <w:trHeight w:val="224"/>
        </w:trPr>
        <w:tc>
          <w:tcPr>
            <w:tcW w:w="840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230,360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131,809</w:t>
            </w:r>
          </w:p>
        </w:tc>
        <w:tc>
          <w:tcPr>
            <w:tcW w:w="0" w:type="dxa"/>
            <w:vAlign w:val="bottom"/>
          </w:tcPr>
          <w:p>
            <w:pPr>
              <w:spacing w:after="0"/>
              <w:rPr>
                <w:sz w:val="1"/>
                <w:szCs w:val="1"/>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2,330,297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1,963,411</w:t>
            </w:r>
          </w:p>
        </w:tc>
        <w:tc>
          <w:tcPr>
            <w:tcW w:w="0" w:type="dxa"/>
            <w:vAlign w:val="bottom"/>
          </w:tcPr>
          <w:p>
            <w:pPr>
              <w:spacing w:after="0"/>
              <w:rPr>
                <w:sz w:val="1"/>
                <w:szCs w:val="1"/>
                <w:color w:val="auto"/>
              </w:rPr>
            </w:pPr>
          </w:p>
        </w:tc>
      </w:tr>
      <w:tr>
        <w:trPr>
          <w:trHeight w:val="254"/>
        </w:trPr>
        <w:tc>
          <w:tcPr>
            <w:tcW w:w="840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 of $347,302 and $293,918</w:t>
            </w:r>
          </w:p>
        </w:tc>
        <w:tc>
          <w:tcPr>
            <w:tcW w:w="320" w:type="dxa"/>
            <w:vAlign w:val="bottom"/>
          </w:tcPr>
          <w:p>
            <w:pPr>
              <w:spacing w:after="0"/>
              <w:rPr>
                <w:sz w:val="22"/>
                <w:szCs w:val="22"/>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283,752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246,262</w:t>
            </w:r>
          </w:p>
        </w:tc>
        <w:tc>
          <w:tcPr>
            <w:tcW w:w="0" w:type="dxa"/>
            <w:vAlign w:val="bottom"/>
          </w:tcPr>
          <w:p>
            <w:pPr>
              <w:spacing w:after="0"/>
              <w:rPr>
                <w:sz w:val="1"/>
                <w:szCs w:val="1"/>
                <w:color w:val="auto"/>
              </w:rPr>
            </w:pPr>
          </w:p>
        </w:tc>
      </w:tr>
      <w:tr>
        <w:trPr>
          <w:trHeight w:val="24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Program rights, net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1,038,060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1,214,051</w:t>
            </w:r>
          </w:p>
        </w:tc>
        <w:tc>
          <w:tcPr>
            <w:tcW w:w="0" w:type="dxa"/>
            <w:vAlign w:val="bottom"/>
          </w:tcPr>
          <w:p>
            <w:pPr>
              <w:spacing w:after="0"/>
              <w:rPr>
                <w:sz w:val="1"/>
                <w:szCs w:val="1"/>
                <w:color w:val="auto"/>
              </w:rPr>
            </w:pPr>
          </w:p>
        </w:tc>
      </w:tr>
      <w:tr>
        <w:trPr>
          <w:trHeight w:val="224"/>
        </w:trPr>
        <w:tc>
          <w:tcPr>
            <w:tcW w:w="8400" w:type="dxa"/>
            <w:vAlign w:val="bottom"/>
          </w:tcPr>
          <w:p>
            <w:pPr>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524,531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578,907</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701,980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798,037</w:t>
            </w:r>
          </w:p>
        </w:tc>
        <w:tc>
          <w:tcPr>
            <w:tcW w:w="0" w:type="dxa"/>
            <w:vAlign w:val="bottom"/>
          </w:tcPr>
          <w:p>
            <w:pPr>
              <w:spacing w:after="0"/>
              <w:rPr>
                <w:sz w:val="1"/>
                <w:szCs w:val="1"/>
                <w:color w:val="auto"/>
              </w:rPr>
            </w:pPr>
          </w:p>
        </w:tc>
      </w:tr>
      <w:tr>
        <w:trPr>
          <w:trHeight w:val="224"/>
        </w:trPr>
        <w:tc>
          <w:tcPr>
            <w:tcW w:w="8400" w:type="dxa"/>
            <w:vAlign w:val="bottom"/>
          </w:tcPr>
          <w:p>
            <w:pPr>
              <w:spacing w:after="0"/>
              <w:rPr>
                <w:sz w:val="20"/>
                <w:szCs w:val="20"/>
                <w:color w:val="auto"/>
              </w:rPr>
            </w:pPr>
            <w:r>
              <w:rPr>
                <w:rFonts w:ascii="Arial" w:cs="Arial" w:eastAsia="Arial" w:hAnsi="Arial"/>
                <w:sz w:val="16"/>
                <w:szCs w:val="16"/>
                <w:color w:val="auto"/>
              </w:rPr>
              <w:t>Deferred tax assets, net</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51,545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19,272</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170,056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400" w:type="dxa"/>
            <w:vAlign w:val="bottom"/>
          </w:tcPr>
          <w:p>
            <w:pPr>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496,465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458,623</w:t>
            </w:r>
          </w:p>
        </w:tc>
        <w:tc>
          <w:tcPr>
            <w:tcW w:w="0" w:type="dxa"/>
            <w:vAlign w:val="bottom"/>
          </w:tcPr>
          <w:p>
            <w:pPr>
              <w:spacing w:after="0"/>
              <w:rPr>
                <w:sz w:val="1"/>
                <w:szCs w:val="1"/>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5,596,686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5,278,563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4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40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94,306</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107,066</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251,214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264,918</w:t>
            </w:r>
          </w:p>
        </w:tc>
        <w:tc>
          <w:tcPr>
            <w:tcW w:w="0" w:type="dxa"/>
            <w:vAlign w:val="bottom"/>
          </w:tcPr>
          <w:p>
            <w:pPr>
              <w:spacing w:after="0"/>
              <w:rPr>
                <w:sz w:val="1"/>
                <w:szCs w:val="1"/>
                <w:color w:val="auto"/>
              </w:rPr>
            </w:pPr>
          </w:p>
        </w:tc>
      </w:tr>
      <w:tr>
        <w:trPr>
          <w:trHeight w:val="224"/>
        </w:trPr>
        <w:tc>
          <w:tcPr>
            <w:tcW w:w="8400" w:type="dxa"/>
            <w:vAlign w:val="bottom"/>
          </w:tcPr>
          <w:p>
            <w:pPr>
              <w:ind w:left="320"/>
              <w:spacing w:after="0"/>
              <w:rPr>
                <w:sz w:val="20"/>
                <w:szCs w:val="20"/>
                <w:color w:val="auto"/>
              </w:rPr>
            </w:pPr>
            <w:r>
              <w:rPr>
                <w:rFonts w:ascii="Arial" w:cs="Arial" w:eastAsia="Arial" w:hAnsi="Arial"/>
                <w:sz w:val="16"/>
                <w:szCs w:val="16"/>
                <w:color w:val="auto"/>
              </w:rPr>
              <w:t>Current portion of program rights obligations</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304,692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343,589</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63,921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55,424</w:t>
            </w:r>
          </w:p>
        </w:tc>
        <w:tc>
          <w:tcPr>
            <w:tcW w:w="0" w:type="dxa"/>
            <w:vAlign w:val="bottom"/>
          </w:tcPr>
          <w:p>
            <w:pPr>
              <w:spacing w:after="0"/>
              <w:rPr>
                <w:sz w:val="1"/>
                <w:szCs w:val="1"/>
                <w:color w:val="auto"/>
              </w:rPr>
            </w:pPr>
          </w:p>
        </w:tc>
      </w:tr>
      <w:tr>
        <w:trPr>
          <w:trHeight w:val="224"/>
        </w:trPr>
        <w:tc>
          <w:tcPr>
            <w:tcW w:w="8400" w:type="dxa"/>
            <w:vAlign w:val="bottom"/>
          </w:tcPr>
          <w:p>
            <w:pPr>
              <w:ind w:left="32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56,250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21,334</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Current portion of lease obligations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33,959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217"/>
        </w:trPr>
        <w:tc>
          <w:tcPr>
            <w:tcW w:w="840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804,342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797,421</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Program rights obligations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239,813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373,249</w:t>
            </w:r>
          </w:p>
        </w:tc>
        <w:tc>
          <w:tcPr>
            <w:tcW w:w="0" w:type="dxa"/>
            <w:vAlign w:val="bottom"/>
          </w:tcPr>
          <w:p>
            <w:pPr>
              <w:spacing w:after="0"/>
              <w:rPr>
                <w:sz w:val="1"/>
                <w:szCs w:val="1"/>
                <w:color w:val="auto"/>
              </w:rPr>
            </w:pPr>
          </w:p>
        </w:tc>
      </w:tr>
      <w:tr>
        <w:trPr>
          <w:trHeight w:val="224"/>
        </w:trPr>
        <w:tc>
          <w:tcPr>
            <w:tcW w:w="8400" w:type="dxa"/>
            <w:vAlign w:val="bottom"/>
          </w:tcPr>
          <w:p>
            <w:pPr>
              <w:spacing w:after="0"/>
              <w:rPr>
                <w:sz w:val="20"/>
                <w:szCs w:val="20"/>
                <w:color w:val="auto"/>
              </w:rPr>
            </w:pPr>
            <w:r>
              <w:rPr>
                <w:rFonts w:ascii="Arial" w:cs="Arial" w:eastAsia="Arial" w:hAnsi="Arial"/>
                <w:sz w:val="16"/>
                <w:szCs w:val="16"/>
                <w:color w:val="auto"/>
              </w:rPr>
              <w:t>Long-term debt, net</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3,039,979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3,088,221</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Lease obligations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211,047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21,427</w:t>
            </w:r>
          </w:p>
        </w:tc>
        <w:tc>
          <w:tcPr>
            <w:tcW w:w="0" w:type="dxa"/>
            <w:vAlign w:val="bottom"/>
          </w:tcPr>
          <w:p>
            <w:pPr>
              <w:spacing w:after="0"/>
              <w:rPr>
                <w:sz w:val="1"/>
                <w:szCs w:val="1"/>
                <w:color w:val="auto"/>
              </w:rPr>
            </w:pPr>
          </w:p>
        </w:tc>
      </w:tr>
      <w:tr>
        <w:trPr>
          <w:trHeight w:val="224"/>
        </w:trPr>
        <w:tc>
          <w:tcPr>
            <w:tcW w:w="8400" w:type="dxa"/>
            <w:vAlign w:val="bottom"/>
          </w:tcPr>
          <w:p>
            <w:pPr>
              <w:spacing w:after="0"/>
              <w:rPr>
                <w:sz w:val="20"/>
                <w:szCs w:val="20"/>
                <w:color w:val="auto"/>
              </w:rPr>
            </w:pPr>
            <w:r>
              <w:rPr>
                <w:rFonts w:ascii="Arial" w:cs="Arial" w:eastAsia="Arial" w:hAnsi="Arial"/>
                <w:sz w:val="16"/>
                <w:szCs w:val="16"/>
                <w:color w:val="auto"/>
              </w:rPr>
              <w:t>Deferred tax liability, net</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136,911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145,443</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163,638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208,036</w:t>
            </w:r>
          </w:p>
        </w:tc>
        <w:tc>
          <w:tcPr>
            <w:tcW w:w="0" w:type="dxa"/>
            <w:vAlign w:val="bottom"/>
          </w:tcPr>
          <w:p>
            <w:pPr>
              <w:spacing w:after="0"/>
              <w:rPr>
                <w:sz w:val="1"/>
                <w:szCs w:val="1"/>
                <w:color w:val="auto"/>
              </w:rPr>
            </w:pPr>
          </w:p>
        </w:tc>
      </w:tr>
      <w:tr>
        <w:trPr>
          <w:trHeight w:val="217"/>
        </w:trPr>
        <w:tc>
          <w:tcPr>
            <w:tcW w:w="840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4,595,730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4,633,797</w:t>
            </w:r>
          </w:p>
        </w:tc>
        <w:tc>
          <w:tcPr>
            <w:tcW w:w="0" w:type="dxa"/>
            <w:vAlign w:val="bottom"/>
          </w:tcPr>
          <w:p>
            <w:pPr>
              <w:spacing w:after="0"/>
              <w:rPr>
                <w:sz w:val="1"/>
                <w:szCs w:val="1"/>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309,451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299,558</w:t>
            </w:r>
          </w:p>
        </w:tc>
        <w:tc>
          <w:tcPr>
            <w:tcW w:w="0" w:type="dxa"/>
            <w:vAlign w:val="bottom"/>
          </w:tcPr>
          <w:p>
            <w:pPr>
              <w:spacing w:after="0"/>
              <w:rPr>
                <w:sz w:val="1"/>
                <w:szCs w:val="1"/>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00" w:type="dxa"/>
            <w:vAlign w:val="bottom"/>
          </w:tcPr>
          <w:p>
            <w:pPr>
              <w:spacing w:after="0" w:line="166" w:lineRule="exact"/>
              <w:rPr>
                <w:sz w:val="20"/>
                <w:szCs w:val="20"/>
                <w:color w:val="auto"/>
              </w:rPr>
            </w:pPr>
            <w:r>
              <w:rPr>
                <w:rFonts w:ascii="Arial" w:cs="Arial" w:eastAsia="Arial" w:hAnsi="Arial"/>
                <w:sz w:val="16"/>
                <w:szCs w:val="16"/>
                <w:color w:val="auto"/>
                <w:w w:val="93"/>
              </w:rPr>
              <w:t>Class A Common Stock, $0.01 par value, 360,000 shares authorized, 63,886 and 63,255 shares issued and 44,078 and 44,749</w:t>
            </w:r>
          </w:p>
        </w:tc>
        <w:tc>
          <w:tcPr>
            <w:tcW w:w="320" w:type="dxa"/>
            <w:vAlign w:val="bottom"/>
          </w:tcPr>
          <w:p>
            <w:pPr>
              <w:spacing w:after="0"/>
              <w:rPr>
                <w:sz w:val="14"/>
                <w:szCs w:val="14"/>
                <w:color w:val="auto"/>
              </w:rPr>
            </w:pPr>
          </w:p>
        </w:tc>
        <w:tc>
          <w:tcPr>
            <w:tcW w:w="1100" w:type="dxa"/>
            <w:vAlign w:val="bottom"/>
            <w:vMerge w:val="restart"/>
          </w:tcPr>
          <w:p>
            <w:pPr>
              <w:jc w:val="right"/>
              <w:ind w:right="79"/>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9"/>
        </w:trPr>
        <w:tc>
          <w:tcPr>
            <w:tcW w:w="8400" w:type="dxa"/>
            <w:vAlign w:val="bottom"/>
          </w:tcPr>
          <w:p>
            <w:pPr>
              <w:spacing w:after="0"/>
              <w:rPr>
                <w:sz w:val="20"/>
                <w:szCs w:val="20"/>
                <w:color w:val="auto"/>
              </w:rPr>
            </w:pPr>
            <w:r>
              <w:rPr>
                <w:rFonts w:ascii="Arial" w:cs="Arial" w:eastAsia="Arial" w:hAnsi="Arial"/>
                <w:sz w:val="16"/>
                <w:szCs w:val="16"/>
                <w:color w:val="auto"/>
              </w:rPr>
              <w:t>shares outstanding, respectively</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54"/>
        </w:trPr>
        <w:tc>
          <w:tcPr>
            <w:tcW w:w="8400" w:type="dxa"/>
            <w:vAlign w:val="bottom"/>
          </w:tcPr>
          <w:p>
            <w:pPr>
              <w:spacing w:after="0"/>
              <w:rPr>
                <w:sz w:val="20"/>
                <w:szCs w:val="20"/>
                <w:color w:val="auto"/>
              </w:rPr>
            </w:pPr>
            <w:r>
              <w:rPr>
                <w:rFonts w:ascii="Arial" w:cs="Arial" w:eastAsia="Arial" w:hAnsi="Arial"/>
                <w:sz w:val="16"/>
                <w:szCs w:val="16"/>
                <w:color w:val="auto"/>
              </w:rPr>
              <w:t>Preferred stock, $0.01 par value, 45,000 shares authorized; none issued</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Paid-in capital</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286,491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239,767</w:t>
            </w:r>
          </w:p>
        </w:tc>
        <w:tc>
          <w:tcPr>
            <w:tcW w:w="0" w:type="dxa"/>
            <w:vAlign w:val="bottom"/>
          </w:tcPr>
          <w:p>
            <w:pPr>
              <w:spacing w:after="0"/>
              <w:rPr>
                <w:sz w:val="1"/>
                <w:szCs w:val="1"/>
                <w:color w:val="auto"/>
              </w:rPr>
            </w:pPr>
          </w:p>
        </w:tc>
      </w:tr>
      <w:tr>
        <w:trPr>
          <w:trHeight w:val="224"/>
        </w:trPr>
        <w:tc>
          <w:tcPr>
            <w:tcW w:w="8400" w:type="dxa"/>
            <w:vAlign w:val="bottom"/>
          </w:tcPr>
          <w:p>
            <w:pPr>
              <w:spacing w:after="0"/>
              <w:rPr>
                <w:sz w:val="20"/>
                <w:szCs w:val="20"/>
                <w:color w:val="auto"/>
              </w:rPr>
            </w:pPr>
            <w:r>
              <w:rPr>
                <w:rFonts w:ascii="Arial" w:cs="Arial" w:eastAsia="Arial" w:hAnsi="Arial"/>
                <w:sz w:val="16"/>
                <w:szCs w:val="16"/>
                <w:color w:val="auto"/>
              </w:rPr>
              <w:t>Accumulated earnings</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1,609,428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1,228,942</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 (19,808 and 18,507 shares Class A Common Stock, respectively)</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(1,063,181)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(992,583)</w:t>
            </w:r>
          </w:p>
        </w:tc>
        <w:tc>
          <w:tcPr>
            <w:tcW w:w="0" w:type="dxa"/>
            <w:vAlign w:val="bottom"/>
          </w:tcPr>
          <w:p>
            <w:pPr>
              <w:spacing w:after="0"/>
              <w:rPr>
                <w:sz w:val="1"/>
                <w:szCs w:val="1"/>
                <w:color w:val="auto"/>
              </w:rPr>
            </w:pPr>
          </w:p>
        </w:tc>
      </w:tr>
      <w:tr>
        <w:trPr>
          <w:trHeight w:val="224"/>
        </w:trPr>
        <w:tc>
          <w:tcPr>
            <w:tcW w:w="840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(167,711)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(160,194)</w:t>
            </w:r>
          </w:p>
        </w:tc>
        <w:tc>
          <w:tcPr>
            <w:tcW w:w="0" w:type="dxa"/>
            <w:vAlign w:val="bottom"/>
          </w:tcPr>
          <w:p>
            <w:pPr>
              <w:spacing w:after="0"/>
              <w:rPr>
                <w:sz w:val="1"/>
                <w:szCs w:val="1"/>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AMC Networks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665,781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316,680</w:t>
            </w:r>
          </w:p>
        </w:tc>
        <w:tc>
          <w:tcPr>
            <w:tcW w:w="0" w:type="dxa"/>
            <w:vAlign w:val="bottom"/>
          </w:tcPr>
          <w:p>
            <w:pPr>
              <w:spacing w:after="0"/>
              <w:rPr>
                <w:sz w:val="1"/>
                <w:szCs w:val="1"/>
                <w:color w:val="auto"/>
              </w:rPr>
            </w:pPr>
          </w:p>
        </w:tc>
      </w:tr>
      <w:tr>
        <w:trPr>
          <w:trHeight w:val="224"/>
        </w:trPr>
        <w:tc>
          <w:tcPr>
            <w:tcW w:w="8400" w:type="dxa"/>
            <w:vAlign w:val="bottom"/>
          </w:tcPr>
          <w:p>
            <w:pPr>
              <w:spacing w:after="0"/>
              <w:rPr>
                <w:sz w:val="20"/>
                <w:szCs w:val="20"/>
                <w:color w:val="auto"/>
              </w:rPr>
            </w:pPr>
            <w:r>
              <w:rPr>
                <w:rFonts w:ascii="Arial" w:cs="Arial" w:eastAsia="Arial" w:hAnsi="Arial"/>
                <w:sz w:val="16"/>
                <w:szCs w:val="16"/>
                <w:color w:val="auto"/>
              </w:rPr>
              <w:t>Non-redeemable noncontrolling interests</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28,528</w:t>
            </w:r>
          </w:p>
        </w:tc>
        <w:tc>
          <w:tcPr>
            <w:tcW w:w="0" w:type="dxa"/>
            <w:vAlign w:val="bottom"/>
          </w:tcPr>
          <w:p>
            <w:pPr>
              <w:spacing w:after="0"/>
              <w:rPr>
                <w:sz w:val="1"/>
                <w:szCs w:val="1"/>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691,505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345,208</w:t>
            </w:r>
          </w:p>
        </w:tc>
        <w:tc>
          <w:tcPr>
            <w:tcW w:w="0" w:type="dxa"/>
            <w:vAlign w:val="bottom"/>
          </w:tcPr>
          <w:p>
            <w:pPr>
              <w:spacing w:after="0"/>
              <w:rPr>
                <w:sz w:val="1"/>
                <w:szCs w:val="1"/>
                <w:color w:val="auto"/>
              </w:rPr>
            </w:pPr>
          </w:p>
        </w:tc>
      </w:tr>
      <w:tr>
        <w:trPr>
          <w:trHeight w:val="247"/>
        </w:trPr>
        <w:tc>
          <w:tcPr>
            <w:tcW w:w="8400" w:type="dxa"/>
            <w:vAlign w:val="bottom"/>
          </w:tcPr>
          <w:p>
            <w:pPr>
              <w:ind w:left="64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5,596,686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5,278,563</w:t>
            </w:r>
          </w:p>
        </w:tc>
        <w:tc>
          <w:tcPr>
            <w:tcW w:w="0" w:type="dxa"/>
            <w:vAlign w:val="bottom"/>
          </w:tcPr>
          <w:p>
            <w:pPr>
              <w:spacing w:after="0"/>
              <w:rPr>
                <w:sz w:val="1"/>
                <w:szCs w:val="1"/>
                <w:color w:val="auto"/>
              </w:rPr>
            </w:pPr>
          </w:p>
        </w:tc>
      </w:tr>
      <w:tr>
        <w:trPr>
          <w:trHeight w:val="24"/>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60"/>
          </w:cols>
          <w:pgMar w:left="280" w:top="774"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78105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774" w:right="25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3,060,321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2,971,929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2,805,691</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Technical and operating (excluding depreciation and amortization)</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1,506,985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1,445,949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1,341,076</w:t>
            </w:r>
          </w:p>
        </w:tc>
      </w:tr>
      <w:tr>
        <w:trPr>
          <w:trHeight w:val="270"/>
        </w:trPr>
        <w:tc>
          <w:tcPr>
            <w:tcW w:w="66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679,444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657,457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613,342</w:t>
            </w:r>
          </w:p>
        </w:tc>
      </w:tr>
      <w:tr>
        <w:trPr>
          <w:trHeight w:val="250"/>
        </w:trPr>
        <w:tc>
          <w:tcPr>
            <w:tcW w:w="6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101,098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94,638</w:t>
            </w:r>
          </w:p>
        </w:tc>
      </w:tr>
      <w:tr>
        <w:trPr>
          <w:trHeight w:val="243"/>
        </w:trPr>
        <w:tc>
          <w:tcPr>
            <w:tcW w:w="6640" w:type="dxa"/>
            <w:vAlign w:val="bottom"/>
          </w:tcPr>
          <w:p>
            <w:pPr>
              <w:ind w:left="320"/>
              <w:spacing w:after="0"/>
              <w:rPr>
                <w:sz w:val="20"/>
                <w:szCs w:val="20"/>
                <w:color w:val="auto"/>
              </w:rPr>
            </w:pPr>
            <w:r>
              <w:rPr>
                <w:rFonts w:ascii="Arial" w:cs="Arial" w:eastAsia="Arial" w:hAnsi="Arial"/>
                <w:sz w:val="18"/>
                <w:szCs w:val="18"/>
                <w:color w:val="auto"/>
              </w:rPr>
              <w:t>Impairment and related charges</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106,603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28,148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40,914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45,847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6,128</w:t>
            </w:r>
          </w:p>
        </w:tc>
      </w:tr>
      <w:tr>
        <w:trPr>
          <w:trHeight w:val="237"/>
        </w:trPr>
        <w:tc>
          <w:tcPr>
            <w:tcW w:w="664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2,435,044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2,245,020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2,083,332</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625,277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726,909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722,359</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(134,001)</w:t>
            </w:r>
          </w:p>
        </w:tc>
      </w:tr>
      <w:tr>
        <w:trPr>
          <w:trHeight w:val="243"/>
        </w:trPr>
        <w:tc>
          <w:tcPr>
            <w:tcW w:w="664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24,707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19,180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14,704</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(3,004)</w:t>
            </w:r>
          </w:p>
        </w:tc>
      </w:tr>
      <w:tr>
        <w:trPr>
          <w:trHeight w:val="243"/>
        </w:trPr>
        <w:tc>
          <w:tcPr>
            <w:tcW w:w="6640" w:type="dxa"/>
            <w:vAlign w:val="bottom"/>
          </w:tcPr>
          <w:p>
            <w:pPr>
              <w:ind w:left="320"/>
              <w:spacing w:after="0"/>
              <w:rPr>
                <w:sz w:val="20"/>
                <w:szCs w:val="20"/>
                <w:color w:val="auto"/>
              </w:rPr>
            </w:pPr>
            <w:r>
              <w:rPr>
                <w:rFonts w:ascii="Arial" w:cs="Arial" w:eastAsia="Arial" w:hAnsi="Arial"/>
                <w:sz w:val="18"/>
                <w:szCs w:val="18"/>
                <w:color w:val="auto"/>
              </w:rPr>
              <w:t>Miscellaneous,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29,177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40,320</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(81,981)</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486,186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620,273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640,378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(78,470)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(150,741)</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407,716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463,967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489,637</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(18,321)</w:t>
            </w:r>
          </w:p>
        </w:tc>
      </w:tr>
      <w:tr>
        <w:trPr>
          <w:trHeight w:val="264"/>
        </w:trPr>
        <w:tc>
          <w:tcPr>
            <w:tcW w:w="664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380,486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446,187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471,316</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9"/>
        </w:trPr>
        <w:tc>
          <w:tcPr>
            <w:tcW w:w="6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7.26</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7.18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62"/>
        </w:trPr>
        <w:tc>
          <w:tcPr>
            <w:tcW w:w="6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58,066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64,905</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57,037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58,947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65,625</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895" w:right="259" w:bottom="1440" w:gutter="0" w:footer="0" w:header="0"/>
        </w:sectPr>
      </w:pPr>
    </w:p>
    <w:bookmarkStart w:id="71" w:name="page72"/>
    <w:bookmarkEnd w:id="71"/>
    <w:p>
      <w:pPr>
        <w:ind w:left="40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MC NETWORKS INC. AND SUBSIDIARIES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407,716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463,967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489,637</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76,023</w:t>
            </w:r>
          </w:p>
        </w:tc>
      </w:tr>
      <w:tr>
        <w:trPr>
          <w:trHeight w:val="243"/>
        </w:trPr>
        <w:tc>
          <w:tcPr>
            <w:tcW w:w="6640" w:type="dxa"/>
            <w:vAlign w:val="bottom"/>
          </w:tcPr>
          <w:p>
            <w:pPr>
              <w:ind w:left="660"/>
              <w:spacing w:after="0"/>
              <w:rPr>
                <w:sz w:val="20"/>
                <w:szCs w:val="20"/>
                <w:color w:val="auto"/>
              </w:rPr>
            </w:pPr>
            <w:r>
              <w:rPr>
                <w:rFonts w:ascii="Arial" w:cs="Arial" w:eastAsia="Arial" w:hAnsi="Arial"/>
                <w:sz w:val="18"/>
                <w:szCs w:val="18"/>
                <w:color w:val="auto"/>
              </w:rPr>
              <w:t>Unrealized loss on interest rate swaps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Unrealized gain on available for 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5,398</w:t>
            </w:r>
          </w:p>
        </w:tc>
      </w:tr>
      <w:tr>
        <w:trPr>
          <w:trHeight w:val="243"/>
        </w:trPr>
        <w:tc>
          <w:tcPr>
            <w:tcW w:w="6640" w:type="dxa"/>
            <w:vAlign w:val="bottom"/>
          </w:tcPr>
          <w:p>
            <w:pPr>
              <w:ind w:left="660"/>
              <w:spacing w:after="0"/>
              <w:rPr>
                <w:sz w:val="20"/>
                <w:szCs w:val="20"/>
                <w:color w:val="auto"/>
              </w:rPr>
            </w:pPr>
            <w:r>
              <w:rPr>
                <w:rFonts w:ascii="Arial" w:cs="Arial" w:eastAsia="Arial" w:hAnsi="Arial"/>
                <w:sz w:val="18"/>
                <w:szCs w:val="18"/>
                <w:color w:val="auto"/>
              </w:rPr>
              <w:t>Amounts reclassified from accumulated other comprehensive loss</w:t>
            </w:r>
          </w:p>
        </w:tc>
        <w:tc>
          <w:tcPr>
            <w:tcW w:w="3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81,386</w:t>
            </w:r>
          </w:p>
        </w:tc>
      </w:tr>
      <w:tr>
        <w:trPr>
          <w:trHeight w:val="243"/>
        </w:trPr>
        <w:tc>
          <w:tcPr>
            <w:tcW w:w="6640" w:type="dxa"/>
            <w:vAlign w:val="bottom"/>
          </w:tcPr>
          <w:p>
            <w:pPr>
              <w:ind w:left="66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(1,974)</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79,412</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400,199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421,570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569,049</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(21,430)</w:t>
            </w:r>
          </w:p>
        </w:tc>
      </w:tr>
      <w:tr>
        <w:trPr>
          <w:trHeight w:val="264"/>
        </w:trPr>
        <w:tc>
          <w:tcPr>
            <w:tcW w:w="664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373,121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405,526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547,619</w:t>
            </w:r>
          </w:p>
        </w:tc>
      </w:tr>
      <w:tr>
        <w:trPr>
          <w:trHeight w:val="21"/>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5"/>
          <w:szCs w:val="15"/>
          <w:b w:val="1"/>
          <w:bCs w:val="1"/>
          <w:color w:val="auto"/>
        </w:rPr>
        <w:t>AMC NETWORKS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STOCKHOLDERS' EQUITY (DEFICIENCY)</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 AMC</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3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Networks</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31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Class A</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Class B</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redeemable</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Stockholders'</w:t>
            </w:r>
          </w:p>
        </w:tc>
      </w:tr>
      <w:tr>
        <w:trPr>
          <w:trHeight w:val="149"/>
        </w:trPr>
        <w:tc>
          <w:tcPr>
            <w:tcW w:w="31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Treasury</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Equity</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Equity</w:t>
            </w:r>
          </w:p>
        </w:tc>
      </w:tr>
      <w:tr>
        <w:trPr>
          <w:trHeight w:val="182"/>
        </w:trPr>
        <w:tc>
          <w:tcPr>
            <w:tcW w:w="312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(Deficiency)</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5"/>
                <w:szCs w:val="15"/>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(Deficiency)</w:t>
            </w:r>
          </w:p>
        </w:tc>
      </w:tr>
      <w:tr>
        <w:trPr>
          <w:trHeight w:val="20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2016</w:t>
            </w:r>
          </w:p>
        </w:tc>
        <w:tc>
          <w:tcPr>
            <w:tcW w:w="6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624</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3"/>
              </w:rPr>
              <w:t>$ 142,798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295,409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(275,230)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(193,798)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(30,082)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28,438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(1,644)</w:t>
            </w:r>
          </w:p>
        </w:tc>
      </w:tr>
      <w:tr>
        <w:trPr>
          <w:trHeight w:val="157"/>
        </w:trPr>
        <w:tc>
          <w:tcPr>
            <w:tcW w:w="3120" w:type="dxa"/>
            <w:vAlign w:val="bottom"/>
          </w:tcPr>
          <w:p>
            <w:pPr>
              <w:ind w:left="20"/>
              <w:spacing w:after="0" w:line="157" w:lineRule="exact"/>
              <w:rPr>
                <w:sz w:val="20"/>
                <w:szCs w:val="20"/>
                <w:color w:val="auto"/>
              </w:rPr>
            </w:pPr>
            <w:r>
              <w:rPr>
                <w:rFonts w:ascii="Arial" w:cs="Arial" w:eastAsia="Arial" w:hAnsi="Arial"/>
                <w:sz w:val="14"/>
                <w:szCs w:val="14"/>
                <w:color w:val="auto"/>
              </w:rPr>
              <w:t>Net income attributable to AMC Networks'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471,316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471,316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471,316</w:t>
            </w:r>
          </w:p>
        </w:tc>
      </w:tr>
      <w:tr>
        <w:trPr>
          <w:trHeight w:val="16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non-redeemable</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524</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Distribution to noncontrolling member</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(3,070)</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not yet settled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Settlement of treasury stock</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10,454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10,454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10,454</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79,412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82,521</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53,545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53,545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53,545</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(434,210)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(434,210)</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(14,499)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(14,496)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(14,496)</w:t>
            </w:r>
          </w:p>
        </w:tc>
      </w:tr>
      <w:tr>
        <w:trPr>
          <w:trHeight w:val="202"/>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6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627</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191,303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766,725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(709,440)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(114,386)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134,944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29,001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163,945</w:t>
            </w:r>
          </w:p>
        </w:tc>
      </w:tr>
      <w:tr>
        <w:trPr>
          <w:trHeight w:val="157"/>
        </w:trPr>
        <w:tc>
          <w:tcPr>
            <w:tcW w:w="3120" w:type="dxa"/>
            <w:vAlign w:val="bottom"/>
          </w:tcPr>
          <w:p>
            <w:pPr>
              <w:ind w:left="20"/>
              <w:spacing w:after="0" w:line="157" w:lineRule="exact"/>
              <w:rPr>
                <w:sz w:val="20"/>
                <w:szCs w:val="20"/>
                <w:color w:val="auto"/>
              </w:rPr>
            </w:pPr>
            <w:r>
              <w:rPr>
                <w:rFonts w:ascii="Arial" w:cs="Arial" w:eastAsia="Arial" w:hAnsi="Arial"/>
                <w:sz w:val="14"/>
                <w:szCs w:val="14"/>
                <w:color w:val="auto"/>
              </w:rPr>
              <w:t>Net income attributable to AMC Networks’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446,187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446,187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446,187</w:t>
            </w:r>
          </w:p>
        </w:tc>
      </w:tr>
      <w:tr>
        <w:trPr>
          <w:trHeight w:val="16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non-redeemable</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2,756</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Distributions to noncontrolling member</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(2,847)</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acquired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1,354</w:t>
            </w:r>
          </w:p>
        </w:tc>
      </w:tr>
      <w:tr>
        <w:trPr>
          <w:trHeight w:val="157"/>
        </w:trPr>
        <w:tc>
          <w:tcPr>
            <w:tcW w:w="3120" w:type="dxa"/>
            <w:vAlign w:val="bottom"/>
          </w:tcPr>
          <w:p>
            <w:pPr>
              <w:ind w:left="20"/>
              <w:spacing w:after="0" w:line="157" w:lineRule="exact"/>
              <w:rPr>
                <w:sz w:val="20"/>
                <w:szCs w:val="20"/>
                <w:color w:val="auto"/>
              </w:rPr>
            </w:pPr>
            <w:r>
              <w:rPr>
                <w:rFonts w:ascii="Arial" w:cs="Arial" w:eastAsia="Arial" w:hAnsi="Arial"/>
                <w:sz w:val="14"/>
                <w:szCs w:val="14"/>
                <w:color w:val="auto"/>
              </w:rPr>
              <w:t>Cumulative effects of adoption of accounting</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standards</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16,030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(3,411)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12,619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12,619</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not yet settled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Settlement of treasury stock</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995</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(44,133)</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60,979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60,979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60,979</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4,317</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(283,143)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(283,143)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(283,143)</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(16,836)</w:t>
            </w: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6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633</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239,767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93"/>
              </w:rPr>
              <w:t>1,228,942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(992,583)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(160,194)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316,680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28,528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345,208</w:t>
            </w:r>
          </w:p>
        </w:tc>
      </w:tr>
      <w:tr>
        <w:trPr>
          <w:trHeight w:val="16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AMC Networks’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380,486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380,486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380,486</w:t>
            </w:r>
          </w:p>
        </w:tc>
      </w:tr>
      <w:tr>
        <w:trPr>
          <w:trHeight w:val="157"/>
        </w:trPr>
        <w:tc>
          <w:tcPr>
            <w:tcW w:w="3120" w:type="dxa"/>
            <w:vAlign w:val="bottom"/>
          </w:tcPr>
          <w:p>
            <w:pPr>
              <w:ind w:left="20"/>
              <w:spacing w:after="0" w:line="157" w:lineRule="exact"/>
              <w:rPr>
                <w:sz w:val="20"/>
                <w:szCs w:val="20"/>
                <w:color w:val="auto"/>
              </w:rPr>
            </w:pPr>
            <w:r>
              <w:rPr>
                <w:rFonts w:ascii="Arial" w:cs="Arial" w:eastAsia="Arial" w:hAnsi="Arial"/>
                <w:sz w:val="14"/>
                <w:szCs w:val="14"/>
                <w:color w:val="auto"/>
              </w:rPr>
              <w:t>Net income attributable to non-redeemable</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4,911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4,911</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(3,438)</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w w:val="99"/>
              </w:rPr>
              <w:t>Non-redeemable noncontrolling interests changes</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(4,429)</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treasury stock</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985</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(7,517)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(7,517)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(7,365)</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64,133</w:t>
            </w: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4,630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4,630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4,630</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(70,598)</w:t>
            </w:r>
          </w:p>
        </w:tc>
      </w:tr>
      <w:tr>
        <w:trPr>
          <w:trHeight w:val="197"/>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(23,024)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(23,018)</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(23,018)</w:t>
            </w:r>
          </w:p>
        </w:tc>
      </w:tr>
      <w:tr>
        <w:trPr>
          <w:trHeight w:val="227"/>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639</w:t>
            </w: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3"/>
              </w:rPr>
              <w:t>$ 286,491</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3"/>
              </w:rPr>
              <w:t>1,609,428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2"/>
              </w:rPr>
              <w:t>(1,063,181)</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(167,711)</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665,781</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25,724</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691,505</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689"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4"/>
        </w:trPr>
        <w:tc>
          <w:tcPr>
            <w:tcW w:w="7680" w:type="dxa"/>
            <w:vAlign w:val="bottom"/>
          </w:tcPr>
          <w:p>
            <w:pPr>
              <w:ind w:left="340"/>
              <w:spacing w:after="0"/>
              <w:rPr>
                <w:sz w:val="20"/>
                <w:szCs w:val="20"/>
                <w:color w:val="auto"/>
              </w:rPr>
            </w:pPr>
            <w:r>
              <w:rPr>
                <w:rFonts w:ascii="Arial" w:cs="Arial" w:eastAsia="Arial" w:hAnsi="Arial"/>
                <w:sz w:val="16"/>
                <w:szCs w:val="16"/>
                <w:color w:val="auto"/>
              </w:rPr>
              <w:t>Net income including noncontrolling interests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407,716</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463,967</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489,637</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4"/>
        </w:trPr>
        <w:tc>
          <w:tcPr>
            <w:tcW w:w="768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101,098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91,281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94,638</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Impairment and related charges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106,603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17,112</w:t>
            </w:r>
          </w:p>
        </w:tc>
      </w:tr>
      <w:tr>
        <w:trPr>
          <w:trHeight w:val="224"/>
        </w:trPr>
        <w:tc>
          <w:tcPr>
            <w:tcW w:w="7680" w:type="dxa"/>
            <w:vAlign w:val="bottom"/>
          </w:tcPr>
          <w:p>
            <w:pPr>
              <w:ind w:left="66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64,133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60,979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53,545</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restructuring and other related charges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680" w:type="dxa"/>
            <w:vAlign w:val="bottom"/>
          </w:tcPr>
          <w:p>
            <w:pPr>
              <w:ind w:left="660"/>
              <w:spacing w:after="0"/>
              <w:rPr>
                <w:sz w:val="20"/>
                <w:szCs w:val="20"/>
                <w:color w:val="auto"/>
              </w:rPr>
            </w:pPr>
            <w:r>
              <w:rPr>
                <w:rFonts w:ascii="Arial" w:cs="Arial" w:eastAsia="Arial" w:hAnsi="Arial"/>
                <w:sz w:val="16"/>
                <w:szCs w:val="16"/>
                <w:color w:val="auto"/>
              </w:rPr>
              <w:t>Amortization and write-off of program rights</w:t>
            </w: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974,835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961,134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954,238</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deferred carriage fees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17,605</w:t>
            </w:r>
          </w:p>
        </w:tc>
      </w:tr>
      <w:tr>
        <w:trPr>
          <w:trHeight w:val="224"/>
        </w:trPr>
        <w:tc>
          <w:tcPr>
            <w:tcW w:w="7680" w:type="dxa"/>
            <w:vAlign w:val="bottom"/>
          </w:tcPr>
          <w:p>
            <w:pPr>
              <w:ind w:left="660"/>
              <w:spacing w:after="0"/>
              <w:rPr>
                <w:sz w:val="20"/>
                <w:szCs w:val="20"/>
                <w:color w:val="auto"/>
              </w:rPr>
            </w:pPr>
            <w:r>
              <w:rPr>
                <w:rFonts w:ascii="Arial" w:cs="Arial" w:eastAsia="Arial" w:hAnsi="Arial"/>
                <w:sz w:val="16"/>
                <w:szCs w:val="16"/>
                <w:color w:val="auto"/>
              </w:rPr>
              <w:t>Unrealized foreign currency transaction (gain) loss</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(16,325)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(15,258)</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Unrealized (gain) on derivative contracts, net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(27,233)</w:t>
            </w:r>
          </w:p>
        </w:tc>
      </w:tr>
      <w:tr>
        <w:trPr>
          <w:trHeight w:val="224"/>
        </w:trPr>
        <w:tc>
          <w:tcPr>
            <w:tcW w:w="7680" w:type="dxa"/>
            <w:vAlign w:val="bottom"/>
          </w:tcPr>
          <w:p>
            <w:pPr>
              <w:ind w:left="66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8,436</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3,004</w:t>
            </w:r>
          </w:p>
        </w:tc>
      </w:tr>
      <w:tr>
        <w:trPr>
          <w:trHeight w:val="224"/>
        </w:trPr>
        <w:tc>
          <w:tcPr>
            <w:tcW w:w="7680" w:type="dxa"/>
            <w:vAlign w:val="bottom"/>
          </w:tcPr>
          <w:p>
            <w:pPr>
              <w:ind w:left="660"/>
              <w:spacing w:after="0"/>
              <w:rPr>
                <w:sz w:val="20"/>
                <w:szCs w:val="20"/>
                <w:color w:val="auto"/>
              </w:rPr>
            </w:pPr>
            <w:r>
              <w:rPr>
                <w:rFonts w:ascii="Arial" w:cs="Arial" w:eastAsia="Arial" w:hAnsi="Arial"/>
                <w:sz w:val="16"/>
                <w:szCs w:val="16"/>
                <w:color w:val="auto"/>
              </w:rPr>
              <w:t>Bad debt expense</w:t>
            </w: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12,641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3,567</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33,367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(48,665)</w:t>
            </w:r>
          </w:p>
        </w:tc>
      </w:tr>
      <w:tr>
        <w:trPr>
          <w:trHeight w:val="224"/>
        </w:trPr>
        <w:tc>
          <w:tcPr>
            <w:tcW w:w="7680" w:type="dxa"/>
            <w:vAlign w:val="bottom"/>
          </w:tcPr>
          <w:p>
            <w:pPr>
              <w:ind w:left="660"/>
              <w:spacing w:after="0"/>
              <w:rPr>
                <w:sz w:val="20"/>
                <w:szCs w:val="20"/>
                <w:color w:val="auto"/>
              </w:rPr>
            </w:pPr>
            <w:r>
              <w:rPr>
                <w:rFonts w:ascii="Arial" w:cs="Arial" w:eastAsia="Arial" w:hAnsi="Arial"/>
                <w:sz w:val="16"/>
                <w:szCs w:val="16"/>
                <w:color w:val="auto"/>
              </w:rPr>
              <w:t>Write-down of non-marketable equity securities and note receivable</w:t>
            </w: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(11,014)</w:t>
            </w:r>
          </w:p>
        </w:tc>
      </w:tr>
      <w:tr>
        <w:trPr>
          <w:trHeight w:val="224"/>
        </w:trPr>
        <w:tc>
          <w:tcPr>
            <w:tcW w:w="7680" w:type="dxa"/>
            <w:vAlign w:val="bottom"/>
          </w:tcPr>
          <w:p>
            <w:pPr>
              <w:ind w:left="34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(74,561)</w:t>
            </w:r>
          </w:p>
        </w:tc>
      </w:tr>
      <w:tr>
        <w:trPr>
          <w:trHeight w:val="224"/>
        </w:trPr>
        <w:tc>
          <w:tcPr>
            <w:tcW w:w="768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(142,303)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(2,789)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(59,979)</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Program rights and obligations, net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(969,900)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(978,763)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(996,816)</w:t>
            </w:r>
          </w:p>
        </w:tc>
      </w:tr>
      <w:tr>
        <w:trPr>
          <w:trHeight w:val="224"/>
        </w:trPr>
        <w:tc>
          <w:tcPr>
            <w:tcW w:w="7680" w:type="dxa"/>
            <w:vAlign w:val="bottom"/>
          </w:tcPr>
          <w:p>
            <w:pPr>
              <w:ind w:left="66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(21,966)</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(11,553)</w:t>
            </w:r>
          </w:p>
        </w:tc>
      </w:tr>
      <w:tr>
        <w:trPr>
          <w:trHeight w:val="224"/>
        </w:trPr>
        <w:tc>
          <w:tcPr>
            <w:tcW w:w="7680" w:type="dxa"/>
            <w:vAlign w:val="bottom"/>
          </w:tcPr>
          <w:p>
            <w:pPr>
              <w:ind w:left="660"/>
              <w:spacing w:after="0"/>
              <w:rPr>
                <w:sz w:val="20"/>
                <w:szCs w:val="20"/>
                <w:color w:val="auto"/>
              </w:rPr>
            </w:pPr>
            <w:r>
              <w:rPr>
                <w:rFonts w:ascii="Arial" w:cs="Arial" w:eastAsia="Arial" w:hAnsi="Arial"/>
                <w:sz w:val="16"/>
                <w:szCs w:val="16"/>
                <w:color w:val="auto"/>
              </w:rPr>
              <w:t>Deferred carriage fees, net</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(4,617)</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76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 xml:space="preserve">Accounts payable, accrued </w:t>
            </w:r>
            <w:r>
              <w:rPr>
                <w:rFonts w:ascii="Arial" w:cs="Arial" w:eastAsia="Arial" w:hAnsi="Arial"/>
                <w:sz w:val="18"/>
                <w:szCs w:val="18"/>
                <w:color w:val="auto"/>
              </w:rPr>
              <w:t>liabilities</w:t>
            </w:r>
            <w:r>
              <w:rPr>
                <w:rFonts w:ascii="Arial" w:cs="Arial" w:eastAsia="Arial" w:hAnsi="Arial"/>
                <w:sz w:val="16"/>
                <w:szCs w:val="16"/>
                <w:color w:val="auto"/>
              </w:rPr>
              <w:t xml:space="preserve"> and other liabilities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(28,408)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48,851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15,609</w:t>
            </w:r>
          </w:p>
        </w:tc>
      </w:tr>
      <w:tr>
        <w:trPr>
          <w:trHeight w:val="217"/>
        </w:trPr>
        <w:tc>
          <w:tcPr>
            <w:tcW w:w="768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483,748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606,547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385,729</w:t>
            </w: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4"/>
        </w:trPr>
        <w:tc>
          <w:tcPr>
            <w:tcW w:w="768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(91,604)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(89,802)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(80,049)</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Return of capital from investees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2,447</w:t>
            </w:r>
          </w:p>
        </w:tc>
      </w:tr>
      <w:tr>
        <w:trPr>
          <w:trHeight w:val="224"/>
        </w:trPr>
        <w:tc>
          <w:tcPr>
            <w:tcW w:w="7680" w:type="dxa"/>
            <w:vAlign w:val="bottom"/>
          </w:tcPr>
          <w:p>
            <w:pPr>
              <w:ind w:left="340"/>
              <w:spacing w:after="0"/>
              <w:rPr>
                <w:sz w:val="20"/>
                <w:szCs w:val="20"/>
                <w:color w:val="auto"/>
              </w:rPr>
            </w:pPr>
            <w:r>
              <w:rPr>
                <w:rFonts w:ascii="Arial" w:cs="Arial" w:eastAsia="Arial" w:hAnsi="Arial"/>
                <w:sz w:val="16"/>
                <w:szCs w:val="16"/>
                <w:color w:val="auto"/>
              </w:rPr>
              <w:t>Investments in and loans to investees</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(90,081)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(53,000)</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Payments for acquisition of a business, net of cash acquired</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768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(89,707)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(260,184)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(130,602)</w:t>
            </w: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4"/>
        </w:trPr>
        <w:tc>
          <w:tcPr>
            <w:tcW w:w="7680" w:type="dxa"/>
            <w:vAlign w:val="bottom"/>
          </w:tcPr>
          <w:p>
            <w:pPr>
              <w:ind w:left="340"/>
              <w:spacing w:after="0"/>
              <w:rPr>
                <w:sz w:val="20"/>
                <w:szCs w:val="20"/>
                <w:color w:val="auto"/>
              </w:rPr>
            </w:pPr>
            <w:r>
              <w:rPr>
                <w:rFonts w:ascii="Arial" w:cs="Arial" w:eastAsia="Arial" w:hAnsi="Arial"/>
                <w:sz w:val="16"/>
                <w:szCs w:val="16"/>
                <w:color w:val="auto"/>
              </w:rPr>
              <w:t>Proceeds from the issuance of long-term debt</w:t>
            </w: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1,536,000</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Principal payments on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(1,257,965)</w:t>
            </w:r>
          </w:p>
        </w:tc>
      </w:tr>
      <w:tr>
        <w:trPr>
          <w:trHeight w:val="224"/>
        </w:trPr>
        <w:tc>
          <w:tcPr>
            <w:tcW w:w="7680" w:type="dxa"/>
            <w:vAlign w:val="bottom"/>
          </w:tcPr>
          <w:p>
            <w:pPr>
              <w:ind w:left="340"/>
              <w:spacing w:after="0"/>
              <w:rPr>
                <w:sz w:val="20"/>
                <w:szCs w:val="20"/>
                <w:color w:val="auto"/>
              </w:rPr>
            </w:pPr>
            <w:r>
              <w:rPr>
                <w:rFonts w:ascii="Arial" w:cs="Arial" w:eastAsia="Arial" w:hAnsi="Arial"/>
                <w:sz w:val="16"/>
                <w:szCs w:val="16"/>
                <w:color w:val="auto"/>
              </w:rPr>
              <w:t>Payments for financing costs</w:t>
            </w: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(10,405)</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Deemed repurchase of restricted stock units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(14,496)</w:t>
            </w:r>
          </w:p>
        </w:tc>
      </w:tr>
      <w:tr>
        <w:trPr>
          <w:trHeight w:val="224"/>
        </w:trPr>
        <w:tc>
          <w:tcPr>
            <w:tcW w:w="7680" w:type="dxa"/>
            <w:vAlign w:val="bottom"/>
          </w:tcPr>
          <w:p>
            <w:pPr>
              <w:ind w:left="340"/>
              <w:spacing w:after="0"/>
              <w:rPr>
                <w:sz w:val="20"/>
                <w:szCs w:val="20"/>
                <w:color w:val="auto"/>
              </w:rPr>
            </w:pPr>
            <w:r>
              <w:rPr>
                <w:rFonts w:ascii="Arial" w:cs="Arial" w:eastAsia="Arial" w:hAnsi="Arial"/>
                <w:sz w:val="16"/>
                <w:szCs w:val="16"/>
                <w:color w:val="auto"/>
              </w:rPr>
              <w:t>Purchase of treasury stock</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(70,598)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(283,143)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(434,210)</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stock option exercises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680" w:type="dxa"/>
            <w:vAlign w:val="bottom"/>
          </w:tcPr>
          <w:p>
            <w:pPr>
              <w:ind w:left="340"/>
              <w:spacing w:after="0"/>
              <w:rPr>
                <w:sz w:val="20"/>
                <w:szCs w:val="20"/>
                <w:color w:val="auto"/>
              </w:rPr>
            </w:pPr>
            <w:r>
              <w:rPr>
                <w:rFonts w:ascii="Arial" w:cs="Arial" w:eastAsia="Arial" w:hAnsi="Arial"/>
                <w:sz w:val="16"/>
                <w:szCs w:val="16"/>
                <w:color w:val="auto"/>
              </w:rPr>
              <w:t>Principal payments on finance lease obligations</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(4,573)</w:t>
            </w: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(18,561)</w:t>
            </w:r>
          </w:p>
        </w:tc>
      </w:tr>
      <w:tr>
        <w:trPr>
          <w:trHeight w:val="217"/>
        </w:trPr>
        <w:tc>
          <w:tcPr>
            <w:tcW w:w="7680" w:type="dxa"/>
            <w:vAlign w:val="bottom"/>
          </w:tcPr>
          <w:p>
            <w:pPr>
              <w:ind w:left="98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(131,126)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(314,607)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(204,210)</w:t>
            </w: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262,915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31,756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50,917</w:t>
            </w:r>
          </w:p>
        </w:tc>
      </w:tr>
      <w:tr>
        <w:trPr>
          <w:trHeight w:val="217"/>
        </w:trPr>
        <w:tc>
          <w:tcPr>
            <w:tcW w:w="76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(35,653)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26,477</w:t>
            </w: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554,886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481,389</w:t>
            </w:r>
          </w:p>
        </w:tc>
      </w:tr>
      <w:tr>
        <w:trPr>
          <w:trHeight w:val="247"/>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816,170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554,886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558,783</w:t>
            </w:r>
          </w:p>
        </w:tc>
      </w:tr>
      <w:tr>
        <w:trPr>
          <w:trHeight w:val="24"/>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612"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62" w:lineRule="exact"/>
        <w:rPr>
          <w:sz w:val="20"/>
          <w:szCs w:val="20"/>
          <w:color w:val="auto"/>
        </w:rPr>
      </w:pPr>
    </w:p>
    <w:p>
      <w:pPr>
        <w:jc w:val="both"/>
        <w:ind w:left="660" w:hanging="328"/>
        <w:spacing w:after="0" w:line="302" w:lineRule="auto"/>
        <w:tabs>
          <w:tab w:leader="none" w:pos="655"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 produces original programming for our programming networks and also licenses such programming worldwide. AMC Networks Broadcasting &amp; Technology is our technical services business, which primarily services most of the national programming networks.</w:t>
      </w:r>
    </w:p>
    <w:p>
      <w:pPr>
        <w:spacing w:after="0" w:line="46" w:lineRule="exact"/>
        <w:rPr>
          <w:rFonts w:ascii="Arial" w:cs="Arial" w:eastAsia="Arial" w:hAnsi="Arial"/>
          <w:sz w:val="16"/>
          <w:szCs w:val="16"/>
          <w:i w:val="1"/>
          <w:iCs w:val="1"/>
          <w:color w:val="auto"/>
        </w:rPr>
      </w:pPr>
    </w:p>
    <w:p>
      <w:pPr>
        <w:ind w:left="660" w:hanging="328"/>
        <w:spacing w:after="0"/>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International and Other</w:t>
      </w:r>
      <w:r>
        <w:rPr>
          <w:rFonts w:ascii="Arial" w:cs="Arial" w:eastAsia="Arial" w:hAnsi="Arial"/>
          <w:sz w:val="16"/>
          <w:szCs w:val="16"/>
          <w:color w:val="auto"/>
        </w:rPr>
        <w:t>: Includes AMCNI, the Company's international programming businesses consisting of a portfolio of channels around the</w:t>
      </w:r>
    </w:p>
    <w:p>
      <w:pPr>
        <w:spacing w:after="0" w:line="46" w:lineRule="exact"/>
        <w:rPr>
          <w:rFonts w:ascii="Arial" w:cs="Arial" w:eastAsia="Arial" w:hAnsi="Arial"/>
          <w:sz w:val="16"/>
          <w:szCs w:val="16"/>
          <w:i w:val="1"/>
          <w:iCs w:val="1"/>
          <w:color w:val="auto"/>
        </w:rPr>
      </w:pPr>
    </w:p>
    <w:p>
      <w:pPr>
        <w:ind w:left="660"/>
        <w:spacing w:after="0" w:line="290" w:lineRule="auto"/>
        <w:rPr>
          <w:rFonts w:ascii="Arial" w:cs="Arial" w:eastAsia="Arial" w:hAnsi="Arial"/>
          <w:sz w:val="16"/>
          <w:szCs w:val="16"/>
          <w:i w:val="1"/>
          <w:iCs w:val="1"/>
          <w:color w:val="auto"/>
        </w:rPr>
      </w:pPr>
      <w:r>
        <w:rPr>
          <w:rFonts w:ascii="Arial" w:cs="Arial" w:eastAsia="Arial" w:hAnsi="Arial"/>
          <w:sz w:val="17"/>
          <w:szCs w:val="17"/>
          <w:color w:val="auto"/>
        </w:rPr>
        <w:t>world; AMC Networks SVOD consisting of the Company's targeted subscription streaming services: Acorn TV, Shudder, Sundance Now, and UMC; Levity, our production services and comedy venues business; and IFC Films, the Company's independent film distribution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were made to the prior period amounts to conform to the current period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adopted ASU No. 2014-09, Revenue from Contracts with Customers (Topic 606) on January 1, 2018, using the modified retrospective method for all contracts not completed as of the date of adoption. The reported results as of and for the years ended December 31, 2019 and 2018 reflect the application of the new standard, while the reported results for 2017 have not been adjusted to reflect the new standard and were prepared under prior revenue recognition accounting guidance.</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primarily earns revenue from the distribution of its programming services, including licensing of its programming and other content, and advertising. 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The Company’s revenue recognition policies associated with each major source of revenue from contracts with customers are described in Note 3 Revenue Recognition.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Lease Standard</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adopted ASU No. 2016-02, Leases (Topic 842) on January 1, 2019, using the modified retrospective approach and effective date method. In addition, the Company elected the package of practical expedients, permitted under the transition guidance within the new standard, which among other things, allowed for the carry forward of the historical classification of leases. The adoption of the new standard resulted in additional net lease assets of $180.0 million (which is net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historical deferred rent liability balance of $57.0 million) and lease liabilities of $237.0 million, respectively, as of January 1, 2019. The new standard did not materially impact our consolidated net income or cash flows. See Note 15 for further discussion regarding leases.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and Operating Expenses</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Costs of revenues, including but not limited to programming expense, primarily consisting of amortization or write-offs of programming rights, such as those for original programming, feature films and licensed series, participation and residual costs, distribution and production related costs and program delivery costs, such as transmission, encryption, hosting and formatting are classified as technical and operating expenses in the consolidated statements of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Distribution Expenses</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Advertising costs are charged to expense when incurred and are included in selling, general and administrative expenses in the consolidated statements of income. Advertising costs were $180.3 million, $196.0 million and $200.4 million for the years ended December 31, 2019, 2018 and 2017, respectively. Marketing, distribution and general and administrative costs related to the exploitation of owned original programming are expensed as incurred and included in selling, general and administrative expenses in the consolidated statements of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Company measures the cost of employee services received in exchange for an award of equity-based instruments based on the grant date fair value of the portion of awards that are ultimately expected to vest. The cost is recognized in earnings over the period during which an employee is required to provide service in exchange for the award using a straight-line amortization method, except for restricted stock units granted to non-employee directors which vest 100%, and are expensed, at the date of grant. Share-based compensation expense is included in selling, general and administrative expenses in the consolidated statements of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reporting currency of the Company is the U.S. dollar. The functional currency of most of the Company's international subsidiaries is the local currency. Assets and liabilities, including intercompany balances for which settlement is anticipated in the foreseeable future, are translated at exchange rates in effect at the balance sheet date. Foreign currency equity balances are translated at historical rates. Revenues and expenses denominated in foreign currencies are translated at average exchange rates for the respective periods. Foreign currency translation adjustments are recorded as a component of other comprehensive income ("OCI") in the consolidated statements of stockholders' equity.</w:t>
      </w:r>
    </w:p>
    <w:p>
      <w:pPr>
        <w:spacing w:after="0" w:line="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Transactions denominated in currencies other than subsidiaries' functional currencies are recorded based on exchange rates at the time such transactions arise. Changes in exchange rates with respect to amounts recorded in the consolidated balance sheets related to these items will result in unrealized foreign currency transaction gains and losses based upon period-end exchange rates. The Company also records realized foreign currency transaction gains and losses upon settlement of the transactions. The Company recognized realized and unrealized foreign currency transaction gains (losses) of $11.1 million, $(6.8) million and $15.0 million for the years ended December 31, 2019, 2018 and 2017, respectively, which are included in miscellaneous, net in the consolidated statements of income.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The Company's cash investments are placed with money market funds and financial institutions that are investment grade as rated by Standard &amp; Poor's and Moody's Investors Service. The Company selects money market funds that predominantly invest in marketable, direct obligations issued or guaranteed by the U.S. government or its agencies, commercial paper, fully collateralized repurchase agreements, certificates of deposit, and time deposits.</w:t>
      </w:r>
    </w:p>
    <w:p>
      <w:pPr>
        <w:spacing w:after="0" w:line="3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considers the balance of its investment in funds that hold securities that mature within three months or less from the date the fund purchases these securities to be cash equivalents. The carrying amount of cash and cash equivalents either approximates fair value due to the short-term maturity of these instruments or are at fair value.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Trade</w:t>
      </w:r>
    </w:p>
    <w:p>
      <w:pPr>
        <w:spacing w:after="0" w:line="12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 periodically assesses the adequacy of valuation allowances for uncollectible accounts receivable by evaluating the collectability of outstanding receivables and general factors such as length of time individual receivables are past due, historical collection experience, and the economic and competitive environment. As of December 31, 2019 and 2018, the Company had $273.0 million and $182.1 million, respectively, of accounts receivable contractually due in excess of one-year, which are included in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Rights to programming, including feature films and episodic series, acquired under license agreements are stated at the lower of unamortized cost or net realizable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the license period begins. Costs are amortized to technical and operating expense on a straight-line or accelerated basis over a period not to exceed the respective license periods.</w:t>
      </w:r>
    </w:p>
    <w:p>
      <w:pPr>
        <w:spacing w:after="0" w:line="8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Owned original programming costs, including estimated participation and residual costs, qualifying for capitalization as program rights are amortized to technical and operating expense over their estimated useful lives, commencing upon the first airing, based on attributable revenue for airings to date as a percentage of total projected attributable revenue, or ultimate revenue (individual-film-forecast-computation method). Projected attributable revenue is based on previously generated revenues for similar content in established markets, primarily consisting of distribution and advertising revenues, and projected program usage. Projected program usage is based on the Company's current expectation of future exhibitions taking into account historical usage of similar content. Projected attributable revenue can change based upon programming market acceptance, levels of distribution and advertising revenue and decisions regarding planned program usage. These calculations require management to make assumptions and to apply judgment regarding revenue and planned usage. Accordingly, the Company periodically reviews revenue estimates and planned usage and revises its assumptions if necessary, which could impact the timing of amortization expense or result in a write-down to fair value. Any capitalized development costs for programs that the Company determines will not be produced are written off.</w:t>
      </w:r>
    </w:p>
    <w:p>
      <w:pPr>
        <w:spacing w:after="0" w:line="70"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The Company periodically reviews the programming usefulness of its licensed and owned original program rights based on several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useful life is updated, which generally results in a write-off of the unamortized cost to technical and operating expense in the consolidated statements of income. See Note 6 for further discussion regarding program rights write-offs.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Investments in equity securities (excluding equity method investments) with readily determinable fair values are accounted for at fair value. The Company applies the measurement alternative to fair value for equity securities without readily determinable far values, which is to record the investments at cost, less impairment, if any, and subsequently adjust for observable price changes of identical or similar investments of the same issuer. All gains and losses related to equity securities are recorded in earnings as a component of miscellaneous, net, in the consolidated statements of income.</w:t>
      </w:r>
    </w:p>
    <w:p>
      <w:pPr>
        <w:spacing w:after="0" w:line="46"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Investments in which the Company has the ability to exercise significant influence but does not control and is not the primary beneficiary are equity method investments. Significant influence typically exists if the Company has a 20% to 50% ownership interest in a venture unless persuasive evidence to the contrary exists. Under this method of accounting, the Company records its proportionate share of the net earnings or losses of equity method investees and a corresponding increase or decrease to the investment balances. Cash payments to equity method investees such as additional investments, loans and advances and expenses incurred on behalf of investees as well as payments from equity method investees such as dividends, distributions and repayments of loans and advances are recorded as adjustments to investment balances. The Company applies the cumulative earnings approach for determining the cash flow presentation of cash distributions received from equity method investees. Distributions received are included in the consolidated statements of cash flows as operating activities, unless the cumulative distributions exceed the Company's portion of the cumulative equity in the net earnings of the equity method investment, in which case the excess distributions are deemed to be returns of the investment and are classified as investing activities in the consolidated statements of cash flows. The Company evaluates its equity method investments for impairment whenever events or changes in circumstances indicate that the carrying amounts of such investments may not be recoverable. See Note 8 for further discussion regarding investments.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Amortizable Intangible Assets</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Property and equipment are carried at cost. Equipment under finance leases is recorded at the present value of the total minimum lease payments. Depreciation is calculated on a straight-line basis over the estimated useful lives of the assets or, with respect to equipment under finance leases and leasehold improvements, amortized over the shorter of the lease term or the assets' useful lives and reported in depreciation and amortization in the consolidated statements of income.</w:t>
      </w:r>
    </w:p>
    <w:p>
      <w:pPr>
        <w:spacing w:after="0" w:line="79" w:lineRule="exact"/>
        <w:rPr>
          <w:sz w:val="20"/>
          <w:szCs w:val="20"/>
          <w:color w:val="auto"/>
        </w:rPr>
      </w:pPr>
    </w:p>
    <w:p>
      <w:pPr>
        <w:jc w:val="both"/>
        <w:ind w:right="20" w:firstLine="446"/>
        <w:spacing w:after="0" w:line="342" w:lineRule="auto"/>
        <w:rPr>
          <w:sz w:val="20"/>
          <w:szCs w:val="20"/>
          <w:color w:val="auto"/>
        </w:rPr>
      </w:pPr>
      <w:r>
        <w:rPr>
          <w:rFonts w:ascii="Arial" w:cs="Arial" w:eastAsia="Arial" w:hAnsi="Arial"/>
          <w:sz w:val="16"/>
          <w:szCs w:val="16"/>
          <w:color w:val="auto"/>
        </w:rPr>
        <w:t>Amortizable intangible assets established in connection with business combinations primarily consist of affiliate and customer relationships, advertiser relationships and tradenames. Amortizable intangible assets are amortized on a straight-line basis over their respective estimated useful lives.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The Company reviews its long-lived assets (property and equipment, and amortizable intangible assets) for impairment whenever events or circumstances indicate that the carrying amount of an asset may not be recoverable. If the sum of the expected cash flows, undiscounted and without interest, is less than the carrying amount of the asset, an impairment loss is recognized as the amount by which the carrying amount of the asset exceeds its fair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Goodwill and identifiable intangible assets that have indefinite useful lives are not amortized, but instead are tested annually for impairment and upon the occurrence of certain events or substantive changes in circumstances.</w:t>
      </w:r>
    </w:p>
    <w:p>
      <w:pPr>
        <w:spacing w:after="0" w:line="62"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calculates any goodwill impairment as the difference between the carrying amount of a reporting unit and its fair value, but not to exceed the carrying amount of goodwill. See Note 10 for further discussion regarding goodwill impairment.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Indefinite-lived intangible assets established in connection with business combinations consist of trademarks. 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Carriage Fees</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Deferred carriage fees, included in other assets in the consolidated balance sheets, represent amounts principally paid to multichannel video programming distributors to obtain additional subscribers and/or guarantee carriage of certain programming services and are amortized as a reduction of revenue over the period of the related affiliation arrangement (up to 10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The Company's derivative financial instruments are recorded as either assets or liabilities in the consolidated balance sheet based on their fair values. The Company's embedded derivative financial instruments which are clearly and closely related to the host contracts are not accounted for on a stand-alone basis. Changes in the fair values are reported in earnings or other comprehensive income depending on the use of the derivative and whether it qualifies for hedge accounting. Derivative instruments are designated and accounted for as either a hedge of a recognized asset or liability (fair value hedge) or a hedge of a forecasted transaction (cash flow hedge). For derivatives not designated as hedges, changes in fair values are recognized in earnings and included in interest expense, for interest rate swap contracts and miscellaneous, net, for foreign currency and other derivative contracts. For derivatives designated as effective cash flow hedges, changes in fair values are recognized in other comprehensive income (loss). Changes in fair values related to fair value hedges as well as the ineffective portion of cash flow hedges are recognized in earnings. Changes in the fair value of the underlying hedged item of a fair value hedge are also recognized in earnings. See Note 14 for a further discussion of the Company's derivative financial instruments.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Company's provision for income taxes is based on current period income, changes in deferred tax assets and liabilities and estimates with regard to the liability for unrecognized tax benefits resulting from uncertain tax positions. Deferred tax assets are evaluated quarterly for expected future realization and reduced by a valuation allowance to the extent management believes it is more likely than not that a portion will not be realized. The Company provides deferred taxes for the outside basis difference for its investment in partnerships and uses the deferral method to recognize the income tax benefit from investment tax credits. Global low taxed intangible income (“GILTI”) tax is treated as a period expense. Interest and penalties, if any, associated with uncertain tax positions are included in income tax expense.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of the contingency can be reasonably estimated. See Note 17 for further discussion regarding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 As of December 31, 2019, two customers accounted for 16% and 10%, respectively, of the combined balances of consolidated accounts receivable, trade and receivables due in excess of one-year (included in other assets). As of December 31, 2018, two customers accounted for 13% and 12%, respectively, of the combined balances of consolidated accounts receivable, trade and receivables due in excess of one-year.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12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Noncontrolling interest with redemption features, such as put options, that are not solely within the Company's control are considered redeemable noncontrolling interests. Redeemable noncontrolling interests are considered to be temporary equity and are reported in the mezzanine section between total liabilities and stockholders' equity in the Company's consolidated balance sheet at the greater of their initial carrying amount, increased or decreased for contributions, distributions and the noncontrolling interest's share of net income or loss, or redemption value.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consolidated statements of income present basic and diluted net income per share ("EPS"). Basic EPS is based upon net income divided by the weighted-average number of common shares outstanding during the period. Diluted EPS reflects the dilutive effects of AMC Networks outstanding equity-based awards.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0" w:type="dxa"/>
            <w:vAlign w:val="bottom"/>
            <w:gridSpan w:val="5"/>
          </w:tcPr>
          <w:p>
            <w:pPr>
              <w:ind w:left="60"/>
              <w:spacing w:after="0"/>
              <w:rPr>
                <w:sz w:val="20"/>
                <w:szCs w:val="20"/>
                <w:color w:val="auto"/>
              </w:rPr>
            </w:pPr>
            <w:r>
              <w:rPr>
                <w:rFonts w:ascii="Arial" w:cs="Arial" w:eastAsia="Arial" w:hAnsi="Arial"/>
                <w:sz w:val="16"/>
                <w:szCs w:val="16"/>
                <w:b w:val="1"/>
                <w:bCs w:val="1"/>
                <w:color w:val="auto"/>
              </w:rPr>
              <w:t>Years Ended December 31,</w:t>
            </w:r>
          </w:p>
        </w:tc>
        <w:tc>
          <w:tcPr>
            <w:tcW w:w="126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56,205</w:t>
            </w:r>
          </w:p>
        </w:tc>
        <w:tc>
          <w:tcPr>
            <w:tcW w:w="176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58,066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64,905</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Effect of dilution:</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76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642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818</w:t>
            </w:r>
          </w:p>
        </w:tc>
        <w:tc>
          <w:tcPr>
            <w:tcW w:w="1760" w:type="dxa"/>
            <w:vAlign w:val="bottom"/>
            <w:gridSpan w:val="3"/>
          </w:tcPr>
          <w:p>
            <w:pPr>
              <w:jc w:val="right"/>
              <w:ind w:right="79"/>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719</w:t>
            </w:r>
          </w:p>
        </w:tc>
      </w:tr>
      <w:tr>
        <w:trPr>
          <w:trHeight w:val="27"/>
        </w:trPr>
        <w:tc>
          <w:tcPr>
            <w:tcW w:w="64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57,037</w:t>
            </w:r>
          </w:p>
        </w:tc>
        <w:tc>
          <w:tcPr>
            <w:tcW w:w="176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58,947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65,625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 AMC Networks</w:t>
      </w:r>
    </w:p>
    <w:p>
      <w:pPr>
        <w:spacing w:after="0" w:line="12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Each holder of AMC Networks Class A Common Stock has one vote per share while holders of AMC Networks Class B Common Stock have ten votes per share. AMC Networks Class B shares can be converted to AMC Networks Class A Common Stock at any time with a conversion ratio of one AMC Networks Class A common share for one AMC Networks Class B common share. The AMC Networks Class A stockholders are entitled to elect 25% of the Company's Board of Directors. AMC Networks Class B stockholders have the right to elect the remaining members of the Company's Board of Directors. In addition, AMC Networks Class B stockholders are parties to an agreement which has the effect of causing the voting power of these AMC Networks Class B stockholders to be cast as a block.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year ended December 31, 2019, the Company repurchased 1.3 million shares of its Class A common stock at an average purchase price of $54.24 per share. As of December 31, 2019, the Company has $488.8 million available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160" w:type="dxa"/>
            <w:vAlign w:val="bottom"/>
            <w:gridSpan w:val="3"/>
          </w:tcPr>
          <w:p>
            <w:pPr>
              <w:ind w:left="900"/>
              <w:spacing w:after="0"/>
              <w:rPr>
                <w:sz w:val="20"/>
                <w:szCs w:val="20"/>
                <w:color w:val="auto"/>
              </w:rPr>
            </w:pPr>
            <w:r>
              <w:rPr>
                <w:rFonts w:ascii="Arial" w:cs="Arial" w:eastAsia="Arial" w:hAnsi="Arial"/>
                <w:sz w:val="16"/>
                <w:szCs w:val="16"/>
                <w:b w:val="1"/>
                <w:bCs w:val="1"/>
                <w:color w:val="auto"/>
              </w:rPr>
              <w:t>Shares Outstanding</w:t>
            </w:r>
          </w:p>
        </w:tc>
      </w:tr>
      <w:tr>
        <w:trPr>
          <w:trHeight w:val="33"/>
        </w:trPr>
        <w:tc>
          <w:tcPr>
            <w:tcW w:w="82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56"/>
        </w:trPr>
        <w:tc>
          <w:tcPr>
            <w:tcW w:w="8220" w:type="dxa"/>
            <w:vAlign w:val="bottom"/>
          </w:tcPr>
          <w:p>
            <w:pPr>
              <w:spacing w:after="0"/>
              <w:rPr>
                <w:sz w:val="13"/>
                <w:szCs w:val="13"/>
                <w:color w:val="auto"/>
              </w:rPr>
            </w:pPr>
          </w:p>
        </w:tc>
        <w:tc>
          <w:tcPr>
            <w:tcW w:w="1640" w:type="dxa"/>
            <w:vAlign w:val="bottom"/>
            <w:gridSpan w:val="2"/>
          </w:tcPr>
          <w:p>
            <w:pPr>
              <w:ind w:left="480"/>
              <w:spacing w:after="0" w:line="155" w:lineRule="exact"/>
              <w:rPr>
                <w:sz w:val="20"/>
                <w:szCs w:val="20"/>
                <w:color w:val="auto"/>
              </w:rPr>
            </w:pPr>
            <w:r>
              <w:rPr>
                <w:rFonts w:ascii="Arial" w:cs="Arial" w:eastAsia="Arial" w:hAnsi="Arial"/>
                <w:sz w:val="16"/>
                <w:szCs w:val="16"/>
                <w:b w:val="1"/>
                <w:bCs w:val="1"/>
                <w:color w:val="auto"/>
              </w:rPr>
              <w:t>Class A</w:t>
            </w:r>
          </w:p>
        </w:tc>
        <w:tc>
          <w:tcPr>
            <w:tcW w:w="1520" w:type="dxa"/>
            <w:vAlign w:val="bottom"/>
          </w:tcPr>
          <w:p>
            <w:pPr>
              <w:jc w:val="right"/>
              <w:ind w:right="431"/>
              <w:spacing w:after="0" w:line="155" w:lineRule="exact"/>
              <w:rPr>
                <w:sz w:val="20"/>
                <w:szCs w:val="20"/>
                <w:color w:val="auto"/>
              </w:rPr>
            </w:pPr>
            <w:r>
              <w:rPr>
                <w:rFonts w:ascii="Arial" w:cs="Arial" w:eastAsia="Arial" w:hAnsi="Arial"/>
                <w:sz w:val="16"/>
                <w:szCs w:val="16"/>
                <w:b w:val="1"/>
                <w:bCs w:val="1"/>
                <w:color w:val="auto"/>
              </w:rPr>
              <w:t>Class B</w:t>
            </w:r>
          </w:p>
        </w:tc>
      </w:tr>
      <w:tr>
        <w:trPr>
          <w:trHeight w:val="213"/>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ind w:left="220"/>
              <w:spacing w:after="0"/>
              <w:rPr>
                <w:sz w:val="20"/>
                <w:szCs w:val="20"/>
                <w:color w:val="auto"/>
              </w:rPr>
            </w:pPr>
            <w:r>
              <w:rPr>
                <w:rFonts w:ascii="Arial" w:cs="Arial" w:eastAsia="Arial" w:hAnsi="Arial"/>
                <w:sz w:val="16"/>
                <w:szCs w:val="16"/>
                <w:b w:val="1"/>
                <w:bCs w:val="1"/>
                <w:color w:val="auto"/>
              </w:rPr>
              <w:t>Common Stock</w:t>
            </w:r>
          </w:p>
        </w:tc>
        <w:tc>
          <w:tcPr>
            <w:tcW w:w="1520" w:type="dxa"/>
            <w:vAlign w:val="bottom"/>
          </w:tcPr>
          <w:p>
            <w:pPr>
              <w:jc w:val="right"/>
              <w:ind w:right="151"/>
              <w:spacing w:after="0"/>
              <w:rPr>
                <w:sz w:val="20"/>
                <w:szCs w:val="20"/>
                <w:color w:val="auto"/>
              </w:rPr>
            </w:pPr>
            <w:r>
              <w:rPr>
                <w:rFonts w:ascii="Arial" w:cs="Arial" w:eastAsia="Arial" w:hAnsi="Arial"/>
                <w:sz w:val="16"/>
                <w:szCs w:val="16"/>
                <w:b w:val="1"/>
                <w:bCs w:val="1"/>
                <w:color w:val="auto"/>
              </w:rPr>
              <w:t>Common Stock</w:t>
            </w:r>
          </w:p>
        </w:tc>
      </w:tr>
      <w:tr>
        <w:trPr>
          <w:trHeight w:val="246"/>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15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57,079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11,484</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Share repurchases</w:t>
            </w:r>
          </w:p>
        </w:tc>
        <w:tc>
          <w:tcPr>
            <w:tcW w:w="1520" w:type="dxa"/>
            <w:vAlign w:val="bottom"/>
          </w:tcPr>
          <w:p>
            <w:pPr>
              <w:ind w:left="900"/>
              <w:spacing w:after="0"/>
              <w:rPr>
                <w:sz w:val="20"/>
                <w:szCs w:val="20"/>
                <w:color w:val="auto"/>
              </w:rPr>
            </w:pPr>
            <w:r>
              <w:rPr>
                <w:rFonts w:ascii="Arial" w:cs="Arial" w:eastAsia="Arial" w:hAnsi="Arial"/>
                <w:sz w:val="18"/>
                <w:szCs w:val="18"/>
                <w:color w:val="auto"/>
              </w:rPr>
              <w:t>(7,790)</w:t>
            </w:r>
          </w:p>
        </w:tc>
        <w:tc>
          <w:tcPr>
            <w:tcW w:w="1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Balance at December 31, 2017</w:t>
            </w: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49,601</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11,484</w:t>
            </w:r>
          </w:p>
        </w:tc>
      </w:tr>
      <w:tr>
        <w:trPr>
          <w:trHeight w:val="27"/>
        </w:trPr>
        <w:tc>
          <w:tcPr>
            <w:tcW w:w="8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1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(5,386)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44,749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11,484</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Share repurchases</w:t>
            </w:r>
          </w:p>
        </w:tc>
        <w:tc>
          <w:tcPr>
            <w:tcW w:w="1520" w:type="dxa"/>
            <w:vAlign w:val="bottom"/>
          </w:tcPr>
          <w:p>
            <w:pPr>
              <w:ind w:left="900"/>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64"/>
        </w:trPr>
        <w:tc>
          <w:tcPr>
            <w:tcW w:w="822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44,078</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11,484</w:t>
            </w:r>
          </w:p>
        </w:tc>
      </w:tr>
      <w:tr>
        <w:trPr>
          <w:trHeight w:val="21"/>
        </w:trPr>
        <w:tc>
          <w:tcPr>
            <w:tcW w:w="8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80" w:hanging="80"/>
        <w:spacing w:after="0" w:line="264" w:lineRule="auto"/>
        <w:rPr>
          <w:sz w:val="20"/>
          <w:szCs w:val="20"/>
          <w:color w:val="auto"/>
        </w:rPr>
      </w:pPr>
      <w:r>
        <w:rPr>
          <w:rFonts w:ascii="Arial" w:cs="Arial" w:eastAsia="Arial" w:hAnsi="Arial"/>
          <w:sz w:val="18"/>
          <w:szCs w:val="18"/>
          <w:color w:val="auto"/>
        </w:rPr>
        <w:t>*Reflects common stock activity in connection with restricted stock units and stock options granted to employees, as well as in connection with the fulfillment of employees' statutory tax withholding obligations for applicable income and other employment taxes and forfeited employee restricted stock units.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ASU 2016-13 changes the impairment model for most financial assets and certain other instruments, including trade and other receivables, held-to-maturity debt securities and loans, and requires entities to use a new forward-looking "expected loss" model that would generally result in the earlier recognition of allowances for losses. This ASU is effective for the first quarter of 2020. Adoption of the standard will be applied using a modified retrospective approach through a cumulative-effect adjustment to retained earnings as of the effective date to align our credit loss methodology with the new standard. The Company does not expect the adoption of this standard to have a material effect on its consolidated financial statements.</w:t>
      </w:r>
    </w:p>
    <w:p>
      <w:pPr>
        <w:spacing w:after="0" w:line="8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ASU 2018-13 changes the disclosure requirements for fair value measurements and is effective for the first quarter of 2020. ASU 2018-13 changes disclosure requirements related to transfers between Level I and II assets, as well as several aspects surrounding the valuation process and unrealized gains and losses related to Level III assets. The adoption of the modified disclosure requirements will not have a material impact on the consolidated financial statements.</w:t>
      </w:r>
    </w:p>
    <w:p>
      <w:pPr>
        <w:spacing w:after="0" w:line="6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Customer's Accounting for Implementation Costs Incurred in a Cloud Computing Arrangement</w:t>
      </w:r>
      <w:r>
        <w:rPr>
          <w:rFonts w:ascii="Arial" w:cs="Arial" w:eastAsia="Arial" w:hAnsi="Arial"/>
          <w:sz w:val="17"/>
          <w:szCs w:val="17"/>
          <w:color w:val="auto"/>
        </w:rPr>
        <w:t xml:space="preserve"> </w:t>
      </w:r>
      <w:r>
        <w:rPr>
          <w:rFonts w:ascii="Arial" w:cs="Arial" w:eastAsia="Arial" w:hAnsi="Arial"/>
          <w:sz w:val="17"/>
          <w:szCs w:val="17"/>
          <w:i w:val="1"/>
          <w:iCs w:val="1"/>
          <w:color w:val="auto"/>
        </w:rPr>
        <w:t>that is a Service Contract</w:t>
      </w:r>
      <w:r>
        <w:rPr>
          <w:rFonts w:ascii="Arial" w:cs="Arial" w:eastAsia="Arial" w:hAnsi="Arial"/>
          <w:sz w:val="17"/>
          <w:szCs w:val="17"/>
          <w:color w:val="auto"/>
        </w:rPr>
        <w:t>. ASU 2018-15 amends current guidance to align the accounting for costs incurred in a hosting arrangement that is a service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requirements for capitalizing costs associated with developing or obtaining internal-use software. Capitalized implementation costs must be expensed over the term of the hosting arrangement and presented in the same line item in the income statement as the fees associated with the hosting element (service) of the arrangement. The changes in this standard are effective for the first quarter of 2020. The Company does not expect the adoption of this standard to have a material effect on its consolidated financial statements.</w:t>
      </w:r>
    </w:p>
    <w:p>
      <w:pPr>
        <w:spacing w:after="0" w:line="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March 2019, the FASB issued ASU No. 2019-02, </w:t>
      </w:r>
      <w:r>
        <w:rPr>
          <w:rFonts w:ascii="Arial" w:cs="Arial" w:eastAsia="Arial" w:hAnsi="Arial"/>
          <w:sz w:val="17"/>
          <w:szCs w:val="17"/>
          <w:i w:val="1"/>
          <w:iCs w:val="1"/>
          <w:color w:val="auto"/>
        </w:rPr>
        <w:t>Improvements to Accounting for Costs of Films and License Agreements for Program Materials</w:t>
      </w:r>
      <w:r>
        <w:rPr>
          <w:rFonts w:ascii="Arial" w:cs="Arial" w:eastAsia="Arial" w:hAnsi="Arial"/>
          <w:sz w:val="17"/>
          <w:szCs w:val="17"/>
          <w:color w:val="auto"/>
        </w:rPr>
        <w:t>. ASU 2019-02 aligns the accounting for production costs of episodic television series with the accounting for production costs of films. In addition, ASU 2019-02 modifies certain aspects of the capitalization, impairment, presentation and disclosure requirements in Accounting Standards Codification (“ASC”) 926-20 and the impairment, presentation and disclosure requirements in ASC 920-350. The changes in this standard are effective for the first quarter of 2020. The Company will adopt the updated accounting guidance prospectively in the first quarter of 2020. Following adoption, the Company will present all program rights, including capitalized costs of acquired programming rights, as noncurrent assets in the consolidated balance sheet. The Company does not expect the adoption of this standard to have a material effect on its consolidated financial statements.</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removes certain exceptions to the general principles in Topic 740 - Income Taxes. These changes are effective for first quarter of 2021 with early adoption permitted. The Company is currently evaluating the impact the adoption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To the extent the transaction price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that is reasonably available. Amounts collected on behalf of others (including taxes), where the Company is an agent, are excluded from revenue.</w:t>
      </w:r>
    </w:p>
    <w:p>
      <w:pPr>
        <w:spacing w:after="0" w:line="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 expedient in the guidance, the Company does not assess whether a significant financing component exists if the period between when the Company performs its obligations under the contract and when the customer pays is one year or less.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Contracts may be modified to account for changes in contract specifications and requirements. Contract modifications exist when the modification either creates new or changes existing enforceable rights and obligations. The effect of a contract modification on the transaction price and measure of progress for the performance obligation to which it relates, is recognized as an adjustment to revenue (either as an increase in or a reduction of revenue) on a cumulative catch-up basis.</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primarily earns revenue from the distribution of its programming services, including licensing of its programming and other content, and advertising. The Company’s revenue recognition policies summarizing the nature, amount, timing and uncertainty associated with each major source of revenue from contracts with customers are described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majority of the Company’s distribution revenues relate to sales-based and usage-based royalties which are recognized on the later of (i) when the subsequent sale or usage occurs and (ii) when the performance obligation to which some or all of the sales-based or usage-based royalty has been allocated has been satisfied or partially satisfied. Occasionally, the Company incurs costs to obtain a distribution contract and these costs are amortized over the period of the related distribution contract as a reduction of revenue.</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Subscription fee revenue: Subscription fees are earned from cable and other multichannel video programming distribution platforms, including direct broadcast satellite ("DBS"), platforms operated by telecommunications providers and virtual multichannel video programming distributors (collectively "distributors"), for the rights to use the Company's network programming under multi-year contracts, commonly referred to as "affiliation agreements." The Company's performance obligation under affiliation agreements is a license of functional intellectual property that is satisfied as the Company provides its programming over the term of the agreement. The transaction price is represented by subscription fees that are generally based upon (i) contractual rates applied to the number of the distributor's subscribers who receive or can receive our programming ("rate-per-subscriber"), or (ii) fixed contractual monthly fees ("fixed fee").</w:t>
      </w:r>
    </w:p>
    <w:p>
      <w:pPr>
        <w:spacing w:after="0" w:line="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 correspond directly to the value of the performance to-date (for example, if the fees vary over the contract term due to a significant financing or credit risk component), the Company recognizes the total amount of fixed transaction price over the contract period using a time-based (e.g., straight-line) measure of progress.</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Certain of the Company’s fixed fee affiliation agreements contain guaranteed minimum fees that are recoupable during the term of the agreement, and variable fees based on rates-per-subscriber after the guaranteed minimum is recouped.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recognizes revenue for the fixed consideration over the minimum guarantee period and recognizes variable fees only when cumulative consideration exceeds the minimum guarantee.</w:t>
      </w:r>
    </w:p>
    <w:p>
      <w:pPr>
        <w:spacing w:after="0" w:line="6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Subscription revenue from AMC Networks SVOD services, consisting of the Company's targeted subscription streaming services: Acorn TV, Shudder, Sundance Now, and UMC, is recognized as the streaming service is provided to customers.</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Content licensing revenue: The Company licenses its original programming content to certain distributors, including under subscription video on-demand ("SVOD"), pay-per-view ("PPV") and electronic sell-through ("EST") arrangements. Under these arrangements, our performance obligation is a license to functional intellectual property that provides the distributor the right to use our programming as it exists at a point in time. The satisfaction of the Company’s performance obligation, and related recognition of revenue, occurs when the content is delivered to the licensee and the license period has begun. The Company’s performance obligation in a content license arrangement pertains to each distinct unit of content, which is generally each season of an episodic series or a film. The Company typically delivers all episodes of a season for a series concurrently and the licensee’s rights to exploit the content is the same across all of the episodes.</w:t>
      </w:r>
    </w:p>
    <w:p>
      <w:pPr>
        <w:spacing w:after="0" w:line="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SVOD arrangements, the Company adjusts the transaction price for the time value of money in cases where license fees are paid over several years. SVOD licensing revenue is recognized at the later of the beginning of the license period, or when we provide the programming to the distributor. The Company recognizes a contract asset for the difference between the revenue recognized and the amount we are permitted to invoice.</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PPV and EST license fee arrangements, the Company applies the sales-based or usage-based royalty guidance and recognizes revenue in the period of end-customer purchases, based on the fees earned during the period.</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performance obligation is a license of symbolic intellectual property that provides the customer with a right to access the intellectual property. The Company adjusts the transaction price for the time value of money in cases where license fees are paid over several years. The Company recognizes revenue for the minimum guarantee on a straight-line basis over the term of the agreement, and recognizes variable fees only when cumulative consideration exceeds the minimum guarantee.</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production services arrangements, the Company recognizes revenue based on the percentage of cost incurred to total estimated cost of the contract.</w:t>
      </w:r>
    </w:p>
    <w:p>
      <w:pPr>
        <w:spacing w:after="0" w:line="14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payment terms vary by the type and location of customer. Generally, payment terms are 30-45 days after revenue is earned. In certain limited circumstances, agreements with customers have payment terms in excess of one-year after satisfaction of the performance obligation.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which is generally within one year. Generally, payment terms are 30 days after revenue is earned.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guidance requires disclosure of the aggregate amount of transaction price that is allocated to performance obligations that have not yet been satisfied as of December 31, 2019. However, the guidance does not apply to sales-based or usage-based 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2019, other than contracts for which the Company has applied the practical expedients, the aggregate amount of transaction price allocated to remaining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receivables, contract assets and contract liabilities in the consolidated balance sheet.</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certain types of contracts with customers, the Company may recognize revenue in advance of the contractual right to invoice the customer, resulting in an amount recorded to contract assets. Once the Company has an unconditional right to consideration under a contract, the contract assets are reclassified to account receivables.</w:t>
      </w:r>
    </w:p>
    <w:p>
      <w:pPr>
        <w:spacing w:after="0" w:line="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and content licensing arrangements. As noted above, the Company’s programming networks generally guarantee viewer ratings for its programming. If these guaranteed viewer ratings are not met, the Company is required to provide additional advertising units to the advertiser. For these types of arrangements, a portion of the related revenue is deferred if the guaranteed ratings are not met, representing a contract liability, and is subsequently recognized either when the Company provides the required additional advertising time or the guarantee obligation contractually expires. In certain content licensing arrangements, payment may be received in advance of a distributor's ability to exhibit a program. Such payments are recorded as a contract liability and subsequently recognized when the program becomes available for exhibition.</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98"/>
              </w:rPr>
              <w:t>December 31, 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97"/>
              </w:rPr>
              <w:t>December 31, 2018</w:t>
            </w: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from contracts with customers:</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gridSpan w:val="2"/>
          </w:tcPr>
          <w:p>
            <w:pPr>
              <w:ind w:left="240"/>
              <w:spacing w:after="0"/>
              <w:rPr>
                <w:sz w:val="20"/>
                <w:szCs w:val="20"/>
                <w:color w:val="auto"/>
              </w:rPr>
            </w:pPr>
            <w:r>
              <w:rPr>
                <w:rFonts w:ascii="Arial" w:cs="Arial" w:eastAsia="Arial" w:hAnsi="Arial"/>
                <w:sz w:val="18"/>
                <w:szCs w:val="18"/>
                <w:color w:val="auto"/>
              </w:rPr>
              <w:t>Accounts receivable (including long-term, included in Other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1,121,834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1,018,105</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9,131</w:t>
            </w:r>
          </w:p>
        </w:tc>
      </w:tr>
      <w:tr>
        <w:trPr>
          <w:trHeight w:val="243"/>
        </w:trPr>
        <w:tc>
          <w:tcPr>
            <w:tcW w:w="726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22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9,964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8,136</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7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(Deferred revenue)</w:t>
            </w: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63,921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55,424</w:t>
            </w:r>
          </w:p>
        </w:tc>
      </w:tr>
      <w:tr>
        <w:trPr>
          <w:trHeight w:val="27"/>
        </w:trPr>
        <w:tc>
          <w:tcPr>
            <w:tcW w:w="7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780"/>
        <w:spacing w:after="0" w:line="375" w:lineRule="auto"/>
        <w:rPr>
          <w:sz w:val="20"/>
          <w:szCs w:val="20"/>
          <w:color w:val="auto"/>
        </w:rPr>
      </w:pPr>
      <w:r>
        <w:rPr>
          <w:rFonts w:ascii="Arial" w:cs="Arial" w:eastAsia="Arial" w:hAnsi="Arial"/>
          <w:sz w:val="18"/>
          <w:szCs w:val="18"/>
          <w:color w:val="auto"/>
        </w:rPr>
        <w:t xml:space="preserve">(a) Revenue recognized for the twelve months ended December 31, 2019 relating to the contract liability at December 31, 2018 was $50.2 million. </w:t>
      </w:r>
      <w:r>
        <w:rPr>
          <w:rFonts w:ascii="Arial" w:cs="Arial" w:eastAsia="Arial" w:hAnsi="Arial"/>
          <w:sz w:val="18"/>
          <w:szCs w:val="18"/>
          <w:b w:val="1"/>
          <w:bCs w:val="1"/>
          <w:color w:val="auto"/>
        </w:rPr>
        <w:t>Note 4. Impairment and Related Charges</w:t>
      </w:r>
    </w:p>
    <w:p>
      <w:pPr>
        <w:spacing w:after="0" w:line="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2019, the Company incurred impairment charges of $106.6 million, consisting of $98.0 million related to goodwill impairment associated with the AMCNI reporting unit, and $8.6 million related to impairments of intangibles and property and equipment associated with the sale of a subsidiary.</w:t>
      </w:r>
    </w:p>
    <w:p>
      <w:pPr>
        <w:spacing w:after="0" w:line="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preparation of the fourth quarter financial information, the Company performed its annual goodwill impairment test and concluded that the estimated fair value of the AMCNI reporting unit declined to less than its carrying amount. As a result, the Company recognized an impairment charge of $98.0 million for the year ended December 31, 2019, reflecting a partial write-down of the goodwill associated with the AMCNI reporting unit.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2018, AMCNI recognized a $4.5 million charge, primarily related to program rights, in connection with the disposition of a business.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2017, the Company completed the sale of its Amsterdam-based media logistics business, AMCNI – DMC. In connection with the sale, the Company recognized a pre-tax loss of $11.0 million and an impairment charge of $17.1 million to reflect the AMCNI – DMC assets held for sale at fair value less estimated sale costs, which are included in impairment and related charges in the consolidated statement of income for the year ended December 31,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Other Related Charges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Restructuring and other related charges of $40.9 million for the year ended December 31, 2019 related to the management restructuring, which commenced in the third quarter of 2019, and the AMC Networks SVOD organization restructuring, which commenced in the second quarter of 2019. In connection with each of these restructuring initiatives, a number of roles were eliminated to address redundancy at the management level and improve the effectiveness of management while reducing the cost structure of the Company.</w:t>
      </w:r>
    </w:p>
    <w:p>
      <w:pPr>
        <w:spacing w:after="0" w:line="79"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connection with restructuring initiative related to the management team, the Company incurred restructuring charges for severance and other personnel related costs of $26.0 million, of which $13.5 million was attributable to the National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Networks segment and $12.5 million was attributable to the International and Other segment. The Company expects additional restructuring charges in the first quarter of 2020.</w:t>
      </w:r>
    </w:p>
    <w:p>
      <w:pPr>
        <w:spacing w:after="0" w:line="6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AMC Networks SVOD restructuring, management made certain organization changes within the owned subscription streaming services businesses. The restructuring combined the owned subscription streaming services under one management team. As a result, the Company incurred restructuring charges of $1.9 million related to severance and other personnel related costs.</w:t>
      </w:r>
    </w:p>
    <w:p>
      <w:pPr>
        <w:spacing w:after="0" w:line="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organization changes in the AMC Networks SVOD business, the Company implemented changes to its strategy for owned subscription streaming services, including programming that will no longer be made available. As a result, the Company incurred other charges of $13.0 million related to the write-off of programming associated with the reorganization and change in strategy.</w:t>
      </w:r>
    </w:p>
    <w:p>
      <w:pPr>
        <w:spacing w:after="0" w:line="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third quarter of 2018, management commenced a restructuring initiative designed to reduce the cost structure of the Company. The restructuring was intended to improve the organizational design of the Company through the elimination of certain roles, a reduction in the grade of certain roles, an increase in the span of responsibilities of certain senior managers, and the re-alignment of certain senior leaders to new or additional responsibilities. This restructuring resulted in a $36.0 million charge for the year ended December 31, 2018 primarily related to severance.</w:t>
      </w:r>
    </w:p>
    <w:p>
      <w:pPr>
        <w:spacing w:after="0" w:line="6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fourth quarter of 2018, AMCNI completed a portfolio rationalization review that resulted in the termination of distribution in certain territories, resulting in a $9.9 million charge.</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2017, the Company incurred restructuring expense related to corporate headquarters severance costs and charges incurred at AMCNI related to costs associated with the termination of distribution in certain territories.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6"/>
                <w:szCs w:val="16"/>
                <w:b w:val="1"/>
                <w:bCs w:val="1"/>
                <w:color w:val="auto"/>
                <w:w w:val="94"/>
              </w:rPr>
              <w:t>Years Ended December 31,</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2017</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17,160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44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28,084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35,189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6,181</w:t>
            </w: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58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40,914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45,847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6,128</w:t>
            </w:r>
          </w:p>
        </w:tc>
      </w:tr>
      <w:tr>
        <w:trPr>
          <w:trHeight w:val="21"/>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and other related charges recognized for the three years: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b w:val="1"/>
                <w:bCs w:val="1"/>
                <w:color w:val="auto"/>
                <w:w w:val="95"/>
              </w:rPr>
              <w:t>Years Ended December 31,</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5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2017</w:t>
            </w: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27,897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45,847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6,128</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Other related charges</w:t>
            </w:r>
          </w:p>
        </w:tc>
        <w:tc>
          <w:tcPr>
            <w:tcW w:w="44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13,017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40,914</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45,847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6,128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accrued restructuring and other related costs: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Severance and Employee-</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Related Costs</w:t>
            </w:r>
          </w:p>
        </w:tc>
        <w:tc>
          <w:tcPr>
            <w:tcW w:w="220" w:type="dxa"/>
            <w:vAlign w:val="bottom"/>
          </w:tcPr>
          <w:p>
            <w:pPr>
              <w:spacing w:after="0"/>
              <w:rPr>
                <w:sz w:val="20"/>
                <w:szCs w:val="20"/>
                <w:color w:val="auto"/>
              </w:rPr>
            </w:pPr>
          </w:p>
        </w:tc>
        <w:tc>
          <w:tcPr>
            <w:tcW w:w="174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 Exit Costs</w:t>
            </w:r>
          </w:p>
        </w:tc>
        <w:tc>
          <w:tcPr>
            <w:tcW w:w="440" w:type="dxa"/>
            <w:vAlign w:val="bottom"/>
          </w:tcPr>
          <w:p>
            <w:pPr>
              <w:spacing w:after="0"/>
              <w:rPr>
                <w:sz w:val="20"/>
                <w:szCs w:val="20"/>
                <w:color w:val="auto"/>
              </w:rPr>
            </w:pPr>
          </w:p>
        </w:tc>
        <w:tc>
          <w:tcPr>
            <w:tcW w:w="1420" w:type="dxa"/>
            <w:vAlign w:val="bottom"/>
          </w:tcPr>
          <w:p>
            <w:pPr>
              <w:jc w:val="right"/>
              <w:ind w:right="651"/>
              <w:spacing w:after="0"/>
              <w:rPr>
                <w:sz w:val="20"/>
                <w:szCs w:val="20"/>
                <w:color w:val="auto"/>
              </w:rPr>
            </w:pPr>
            <w:r>
              <w:rPr>
                <w:rFonts w:ascii="Arial" w:cs="Arial" w:eastAsia="Arial" w:hAnsi="Arial"/>
                <w:sz w:val="16"/>
                <w:szCs w:val="16"/>
                <w:b w:val="1"/>
                <w:bCs w:val="1"/>
                <w:color w:val="auto"/>
              </w:rPr>
              <w:t>Total</w:t>
            </w:r>
          </w:p>
        </w:tc>
      </w:tr>
      <w:tr>
        <w:trPr>
          <w:trHeight w:val="250"/>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1,236</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35,965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9,882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45,847</w:t>
            </w: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2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(3,554)</w:t>
            </w: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(7,440)</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33,774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35,189</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26,132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27,897</w:t>
            </w: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(2,092)</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2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(31,897)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(32,311)</w:t>
            </w: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26</w:t>
            </w:r>
          </w:p>
        </w:tc>
      </w:tr>
      <w:tr>
        <w:trPr>
          <w:trHeight w:val="27"/>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27,407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27,628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Accrued restructuring and other related costs of $27.6 million are included in accrued liabilities in the consolidated balance sheet at December 31, 2019.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Program Rights and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12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Owned original program rights, net is comprised of $334.5 million of completed programming and $214.2 million of in-production programming at December 31, 2019 and is included as a component of long-term program rights, net in the consolidated balance sheet. The Company estimates that approximately 87% of unamortized owned original programming costs, as of December 31, 2019, will be amortized within the next three years. The Company expects to amortize approximately $173.2 million of unamortized owned original programming costs during the next twelve months. Program rights write-offs of $40.9 million, $50.5 million and $49.4 million were recorded for the years ended December 31, 2019, 2018 and 2017,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payable subsequent to December 31, 2019 related to program rights obligations included in the consolidated balance sheet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924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7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304,692</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125,189</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70,803</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26,500</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15,678</w:t>
            </w:r>
          </w:p>
        </w:tc>
      </w:tr>
      <w:tr>
        <w:trPr>
          <w:trHeight w:val="243"/>
        </w:trPr>
        <w:tc>
          <w:tcPr>
            <w:tcW w:w="20" w:type="dxa"/>
            <w:vAlign w:val="bottom"/>
          </w:tcPr>
          <w:p>
            <w:pPr>
              <w:spacing w:after="0"/>
              <w:rPr>
                <w:sz w:val="21"/>
                <w:szCs w:val="21"/>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1,643</w:t>
            </w:r>
          </w:p>
        </w:tc>
      </w:tr>
      <w:tr>
        <w:trPr>
          <w:trHeight w:val="27"/>
        </w:trPr>
        <w:tc>
          <w:tcPr>
            <w:tcW w:w="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spacing w:after="0"/>
              <w:rPr>
                <w:sz w:val="24"/>
                <w:szCs w:val="24"/>
                <w:color w:val="auto"/>
              </w:rPr>
            </w:pPr>
          </w:p>
        </w:tc>
        <w:tc>
          <w:tcPr>
            <w:tcW w:w="73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544,505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RLJ Entertainment</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29, 2018, the Company, Digital Entertainment Holdings LLC, a wholly-owned subsidiary of the Company ("DEH"), and River Merger Sub Inc., a wholly-owned subsidiary of DEH ("Merger Sub"), and RLJE entered into an Agreement and Plan of Merger (the "Merger Agreement") pursuant to which the Company agreed to acquire all of the outstanding shares of RLJE not owned by the Company or entities affiliated with Robert L. Johnson. The Merger Agreement provided, upon the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terms and subject to the conditions set forth therein, for the merger of Merger Sub with and into RLJE, with RLJE continuing as the surviving corporation and a subsidiary of DEH (the "Merger").</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DEH and RLJE were parties to a Credit and Guaranty Agreement entered into on October 14, 2016 pursuant to which DEH provided term loans to RLJE (the "RLJE Term Loans"). In connection with the RLJE Credit and Guaranty Agreement, DEH received Class A, Class B and Class C warrants to purchase at least 20 million shares of RLJE’s common stock, at a price of $3.00 per share (the "RLJE Warrants").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20, 2017, DEH exercised a portion of its RLJE Class A warrants at $3.00 per share and was issued 1.7 million shares of RLJE common stock in exchange for the cancellation of $5 million of the RLJE Term Loans. As of December 31, 2017, the balance of the RLJE Term Loans was $68 million, consisting of a $13 million Tranche A term loan and a $55 million Tranche B term loan.</w:t>
      </w:r>
    </w:p>
    <w:p>
      <w:pPr>
        <w:spacing w:after="0" w:line="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1, 2018, DEH fully exercised the remainder of its Class A warrants at $3.00 per share and was issued 3.3 million shares of RLJE common stock in exchange for the cancellation of $10.0 million of Tranche B of the RLJE Term Loans. On October 1, 2018, DEH also partially exercised its Class B warrant at $3.00 per share and was issued 3.4 million shares of RLJE common stock in exchange for the cancellation of $10.1 million of Tranche B of the RLJE Term Loans. As a result of the warrant exercises, the Company obtained a 51% controlling interest in RLJE and recognized a net gain of $2.6 million relating to the step-up to fair value of the Company's previously held equity interest in RLJE, which is included in miscellaneous, net in the consolidated statement of income for the year ended December 31, 2018.</w:t>
      </w:r>
    </w:p>
    <w:p>
      <w:pPr>
        <w:spacing w:after="0" w:line="8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30, 2018, DEH fully exercised the remainder of its Class B warrants at $3.00 per share and was issued 6.6 million shares of RLJE common stock in exchange for the cancellation of $19.9 million of Tranche B of the RLJE Term Loans. On October 30, 2018, DEH also fully exercised its Class C warrants at $3.00 per share and was issued 5.0 million shares of RLJE common stock in exchange for the cancellation of $15.0 million of Tranche B of the RLJE Term Loans. As a result of the warrant exercises, the full amount of Tranche B of the RLJE Term Loans was canceled.</w:t>
      </w:r>
    </w:p>
    <w:p>
      <w:pPr>
        <w:spacing w:after="0" w:line="6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31, 2018, the Company completed the acquisition of RLJE pursuant to the terms of the Merger Agreement. At the Effective Time, Merger Sub merged with and into RLJE, with RLJE continuing as the surviving corporation and a wholly owned subsidiary of DEH. The Merger Agreement was approved by the common stockholders of RLJE at a special meeting held earlier on October 31, 2018. The total cash purchase price paid by the Company to acquire the RLJE securities not previously owned by the Company or entities affiliated with Mr. Johnson was $52.2 million.</w:t>
      </w:r>
    </w:p>
    <w:p>
      <w:pPr>
        <w:spacing w:after="0" w:line="6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the Effective Time, DEH was renamed "RLJ Entertainment Holdings LLC" ("RLJE Holdings"). RLJE Holdings is a majority owned subsidiary of the Company, with a minority stake of 17% held by affiliates of Mr. Johnson. The Company has entered into arrangements with Mr. Johnson related to the governance of RLJE Holdings and RLJE following the Merger.</w:t>
      </w:r>
    </w:p>
    <w:p>
      <w:pPr>
        <w:spacing w:after="0" w:line="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RLJE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RLJE acquisition is generally not deductible for tax purposes.</w:t>
      </w:r>
    </w:p>
    <w:p>
      <w:pPr>
        <w:spacing w:after="0" w:line="6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connection with the acquisition of RLJE, the terms of the operating agreement provide the noncontrolling member with a right to put all of its noncontrolling interest to a subsidiary of the Company at the greater of the then fair value or the fair value of the initial equity interest at the closing date of the acquisition. The put option is exercisable following the seventh anniversary of the agreement, or earlier upon a change of control.</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valuation of the tangible and identifiable intangible assets acquired and liabilities assumed as of October 1, 2018, the date the Company obtained a controlling interest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consideration transferred</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41,513</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Fair value of previously held interest</w:t>
            </w:r>
          </w:p>
        </w:tc>
        <w:tc>
          <w:tcPr>
            <w:tcW w:w="5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130,890</w:t>
            </w:r>
          </w:p>
        </w:tc>
      </w:tr>
      <w:tr>
        <w:trPr>
          <w:trHeight w:val="27"/>
        </w:trPr>
        <w:tc>
          <w:tcPr>
            <w:tcW w:w="9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redeemable noncontrolling interest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103,359</w:t>
            </w:r>
          </w:p>
        </w:tc>
      </w:tr>
      <w:tr>
        <w:trPr>
          <w:trHeight w:val="237"/>
        </w:trPr>
        <w:tc>
          <w:tcPr>
            <w:tcW w:w="964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275,762</w:t>
            </w:r>
          </w:p>
        </w:tc>
      </w:tr>
      <w:tr>
        <w:trPr>
          <w:trHeight w:val="27"/>
        </w:trPr>
        <w:tc>
          <w:tcPr>
            <w:tcW w:w="9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96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Allocation to net assets acquired:</w:t>
            </w:r>
          </w:p>
        </w:tc>
        <w:tc>
          <w:tcPr>
            <w:tcW w:w="5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Cash</w:t>
            </w:r>
          </w:p>
        </w:tc>
        <w:tc>
          <w:tcPr>
            <w:tcW w:w="5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3,360</w:t>
            </w:r>
          </w:p>
        </w:tc>
      </w:tr>
      <w:tr>
        <w:trPr>
          <w:trHeight w:val="27"/>
        </w:trPr>
        <w:tc>
          <w:tcPr>
            <w:tcW w:w="9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16,316</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963</w:t>
            </w:r>
          </w:p>
        </w:tc>
      </w:tr>
      <w:tr>
        <w:trPr>
          <w:trHeight w:val="27"/>
        </w:trPr>
        <w:tc>
          <w:tcPr>
            <w:tcW w:w="9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Programming rights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69,775</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2,841</w:t>
            </w:r>
          </w:p>
        </w:tc>
      </w:tr>
      <w:tr>
        <w:trPr>
          <w:trHeight w:val="27"/>
        </w:trPr>
        <w:tc>
          <w:tcPr>
            <w:tcW w:w="9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(equity method investments)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38,800</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126,600</w:t>
            </w:r>
          </w:p>
        </w:tc>
      </w:tr>
      <w:tr>
        <w:trPr>
          <w:trHeight w:val="27"/>
        </w:trPr>
        <w:tc>
          <w:tcPr>
            <w:tcW w:w="9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(12,008)</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5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(42,935)</w:t>
            </w:r>
          </w:p>
        </w:tc>
      </w:tr>
      <w:tr>
        <w:trPr>
          <w:trHeight w:val="27"/>
        </w:trPr>
        <w:tc>
          <w:tcPr>
            <w:tcW w:w="9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(25,187)</w:t>
            </w:r>
          </w:p>
        </w:tc>
      </w:tr>
      <w:tr>
        <w:trPr>
          <w:trHeight w:val="237"/>
        </w:trPr>
        <w:tc>
          <w:tcPr>
            <w:tcW w:w="96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178,525</w:t>
            </w:r>
          </w:p>
        </w:tc>
      </w:tr>
      <w:tr>
        <w:trPr>
          <w:trHeight w:val="27"/>
        </w:trPr>
        <w:tc>
          <w:tcPr>
            <w:tcW w:w="9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97,237</w:t>
            </w:r>
          </w:p>
        </w:tc>
      </w:tr>
      <w:tr>
        <w:trPr>
          <w:trHeight w:val="237"/>
        </w:trPr>
        <w:tc>
          <w:tcPr>
            <w:tcW w:w="964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275,762</w:t>
            </w:r>
          </w:p>
        </w:tc>
      </w:tr>
      <w:tr>
        <w:trPr>
          <w:trHeight w:val="27"/>
        </w:trPr>
        <w:tc>
          <w:tcPr>
            <w:tcW w:w="9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9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Levity Entertainment Group LLC</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20, 2018, the Company acquired a 57% controlling interest in Levity Entertainment Group LLC ("Levity"), a production services and comedy venues company, for a total purchase price of $48.4 million. The purchase price consisted of a $35.0 million payment for the outstanding Class B Common Units of Levity and the acquisition of Series L Preferred Units for $13.4 million. The Company has entered into arrangements with the noncontrolling members related to the governance of Levity following the Merger. The Company views this acquisition as complementary to its business and programming content strategy.</w:t>
      </w:r>
    </w:p>
    <w:p>
      <w:pPr>
        <w:spacing w:after="0" w:line="8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Levity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Levity acquisition is generally deductible for tax purposes.</w:t>
      </w:r>
    </w:p>
    <w:p>
      <w:pPr>
        <w:spacing w:after="0" w:line="6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acquisition of Levity, the terms of the operating agreement provide the noncontrolling interest holders with a right to put 50% of their interests to a subsidiary of the Company on the four year anniversary of the agreement and a right to put all of their interests to the Company on the six year anniversary of the agreement. The put rights are at fair market value.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the tangible and identifiable intangible assets acquired and liabilities assumed (in thousands).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controlling interest</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48,350</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30,573</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Allocation to net assets acquired:</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6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20,663</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Noncontrolling interests acquired</w:t>
            </w:r>
          </w:p>
        </w:tc>
        <w:tc>
          <w:tcPr>
            <w:tcW w:w="5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net assets acquired</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54,709</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following unaudited pro forma financial information is based on (i) the historical financial statements of AMC Networks, (ii) the historical financial statements of RLJE and (iii) the historical financial statements of Levity and is intended to provide information about how the acquisitions may have affected the Company's historical consolidated financial statements if they had occurred as of January 1, 2017. The unaudited pro forma information has been prepared for comparative purposes only and includes adjustments for estimated additional depreciation and amortization expense as a result of tangible and identifiable intangible assets acquired. The pro forma information is not necessarily indicative of the results of operations that would have been achieved had the acquisition taken place on the date indicated or that may result in the future.</w:t>
      </w:r>
    </w:p>
    <w:p>
      <w:pPr>
        <w:spacing w:after="0" w:line="125"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Pro forma Financial Information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37465</wp:posOffset>
            </wp:positionV>
            <wp:extent cx="35077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66"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9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52"/>
              <w:spacing w:after="0"/>
              <w:rPr>
                <w:sz w:val="20"/>
                <w:szCs w:val="20"/>
                <w:color w:val="auto"/>
              </w:rPr>
            </w:pPr>
            <w:r>
              <w:rPr>
                <w:rFonts w:ascii="Arial" w:cs="Arial" w:eastAsia="Arial" w:hAnsi="Arial"/>
                <w:sz w:val="16"/>
                <w:szCs w:val="16"/>
                <w:b w:val="1"/>
                <w:bCs w:val="1"/>
                <w:color w:val="auto"/>
              </w:rPr>
              <w:t>2017</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940" w:type="dxa"/>
            <w:vAlign w:val="bottom"/>
            <w:tcBorders>
              <w:bottom w:val="single" w:sz="8" w:color="CCEEFF"/>
            </w:tcBorders>
            <w:shd w:val="clear" w:color="auto" w:fill="CCEEFF"/>
          </w:tcPr>
          <w:p>
            <w:pPr>
              <w:jc w:val="right"/>
              <w:ind w:right="17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3,087</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3,033</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Income from operations, net of income taxes</w:t>
            </w:r>
          </w:p>
        </w:tc>
        <w:tc>
          <w:tcPr>
            <w:tcW w:w="1940" w:type="dxa"/>
            <w:vAlign w:val="bottom"/>
          </w:tcPr>
          <w:p>
            <w:pPr>
              <w:jc w:val="right"/>
              <w:ind w:right="17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459</w:t>
            </w:r>
          </w:p>
        </w:tc>
      </w:tr>
      <w:tr>
        <w:trPr>
          <w:trHeight w:val="27"/>
        </w:trPr>
        <w:tc>
          <w:tcPr>
            <w:tcW w:w="5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1940" w:type="dxa"/>
            <w:vAlign w:val="bottom"/>
            <w:tcBorders>
              <w:bottom w:val="single" w:sz="8" w:color="CCEEFF"/>
            </w:tcBorders>
            <w:shd w:val="clear" w:color="auto" w:fill="CCEEFF"/>
          </w:tcPr>
          <w:p>
            <w:pPr>
              <w:jc w:val="right"/>
              <w:ind w:right="17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7.34</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7.06</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Net income per share, diluted</w:t>
            </w:r>
          </w:p>
        </w:tc>
        <w:tc>
          <w:tcPr>
            <w:tcW w:w="1940" w:type="dxa"/>
            <w:vAlign w:val="bottom"/>
          </w:tcPr>
          <w:p>
            <w:pPr>
              <w:jc w:val="right"/>
              <w:ind w:right="17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6.99</w:t>
            </w:r>
          </w:p>
        </w:tc>
      </w:tr>
    </w:tbl>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Revenues, net and operating loss attributable to business acquisitions of $134.9 million and $2.8 million, respectively are included in the consolidated statement of income from their respective acquisition dates to December 31, 2018. For the year ended December 31, 2018, the Company incurred acquisition related costs of $7.3 million which are included in selling, general and administrative expense in the consolidated statement of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Equity method investments were $69.1 million and $90.9 million at December 31, 2019 and 2018, respectively, and are included in Other assets in the consolidated balance sheets. In December 2019, one of the Company's equity method investments had a call option exercised to purchase the Company's interest in the joint venture. The call price of $20.0 million is equal to the Company's initial investment. The Company reclassified its investment in the joint venture to other receivables (current and noncurrent) as of December 31, 2019. In September 2018, the Company recognized an impairment charge of $3.5 million related to the partial write-down of an equity method investment, which is included in miscellaneous, net in the consolidated statement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included in miscellaneous, net in the consolidated statements of income.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2019, the Company purchased an additional interest in one of its marketable equity securities of $3.5 million. Investments in marketable equity securities were $4.4 million at December 31, 2019 and $1.2 million at December 31, 2018 and are included in Other assets in the consolidated balance sheets.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included in miscellaneous, net in the consolidated statements of income.</w:t>
      </w:r>
    </w:p>
    <w:p>
      <w:pPr>
        <w:spacing w:after="0" w:line="5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2018, the Company made an investment in fuboTV Inc. of $25.0 million, and provided a senior secured term loan to fuboTV Inc. of $25.0 million with a maturity date of April 6, 2023.</w:t>
      </w:r>
    </w:p>
    <w:p>
      <w:pPr>
        <w:spacing w:after="0" w:line="6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recognized impairment charges of $20.2 million and $10.0 million for the years ended December 31, 2019 and 2018, respectively, related to the partial write-down of certain non-marketable equity securities, included in miscellaneous, net in the consolidated statements of income.</w:t>
      </w:r>
    </w:p>
    <w:p>
      <w:pPr>
        <w:spacing w:after="0" w:line="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Investments in non-marketable equity securities were $61.8 million at December 31, 2019 and $71.8 million at December 31, 2018 and are included in Other assets in the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(including equipment under capital leases) consists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vMerge w:val="restart"/>
          </w:tcPr>
          <w:p>
            <w:pPr>
              <w:jc w:val="right"/>
              <w:ind w:right="713"/>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
                <w:szCs w:val="2"/>
                <w:color w:val="auto"/>
              </w:rPr>
            </w:pPr>
          </w:p>
        </w:tc>
        <w:tc>
          <w:tcPr>
            <w:tcW w:w="2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Useful Lives</w:t>
            </w:r>
          </w:p>
        </w:tc>
        <w:tc>
          <w:tcPr>
            <w:tcW w:w="0" w:type="dxa"/>
            <w:vAlign w:val="bottom"/>
          </w:tcPr>
          <w:p>
            <w:pPr>
              <w:spacing w:after="0"/>
              <w:rPr>
                <w:sz w:val="1"/>
                <w:szCs w:val="1"/>
                <w:color w:val="auto"/>
              </w:rPr>
            </w:pPr>
          </w:p>
        </w:tc>
      </w:tr>
      <w:tr>
        <w:trPr>
          <w:trHeight w:val="26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 service and test equipment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296,680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250,328</w:t>
            </w: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70"/>
        </w:trPr>
        <w:tc>
          <w:tcPr>
            <w:tcW w:w="5540" w:type="dxa"/>
            <w:vAlign w:val="bottom"/>
          </w:tcPr>
          <w:p>
            <w:pPr>
              <w:ind w:left="20"/>
              <w:spacing w:after="0"/>
              <w:rPr>
                <w:sz w:val="20"/>
                <w:szCs w:val="20"/>
                <w:color w:val="auto"/>
              </w:rPr>
            </w:pPr>
            <w:r>
              <w:rPr>
                <w:rFonts w:ascii="Arial" w:cs="Arial" w:eastAsia="Arial" w:hAnsi="Arial"/>
                <w:sz w:val="18"/>
                <w:szCs w:val="18"/>
                <w:color w:val="auto"/>
              </w:rPr>
              <w:t>Satellite equipment</w:t>
            </w:r>
          </w:p>
        </w:tc>
        <w:tc>
          <w:tcPr>
            <w:tcW w:w="38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46,871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46,368</w:t>
            </w:r>
          </w:p>
        </w:tc>
        <w:tc>
          <w:tcPr>
            <w:tcW w:w="12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29,811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29,421</w:t>
            </w: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8 years</w:t>
            </w:r>
          </w:p>
        </w:tc>
        <w:tc>
          <w:tcPr>
            <w:tcW w:w="0" w:type="dxa"/>
            <w:vAlign w:val="bottom"/>
          </w:tcPr>
          <w:p>
            <w:pPr>
              <w:spacing w:after="0"/>
              <w:rPr>
                <w:sz w:val="1"/>
                <w:szCs w:val="1"/>
                <w:color w:val="auto"/>
              </w:rPr>
            </w:pPr>
          </w:p>
        </w:tc>
      </w:tr>
      <w:tr>
        <w:trPr>
          <w:trHeight w:val="270"/>
        </w:trPr>
        <w:tc>
          <w:tcPr>
            <w:tcW w:w="5540" w:type="dxa"/>
            <w:vAlign w:val="bottom"/>
          </w:tcPr>
          <w:p>
            <w:pPr>
              <w:ind w:left="20"/>
              <w:spacing w:after="0"/>
              <w:rPr>
                <w:sz w:val="20"/>
                <w:szCs w:val="20"/>
                <w:color w:val="auto"/>
              </w:rPr>
            </w:pPr>
            <w:r>
              <w:rPr>
                <w:rFonts w:ascii="Arial" w:cs="Arial" w:eastAsia="Arial" w:hAnsi="Arial"/>
                <w:sz w:val="18"/>
                <w:szCs w:val="18"/>
                <w:color w:val="auto"/>
              </w:rPr>
              <w:t>Transmission equipment</w:t>
            </w:r>
          </w:p>
        </w:tc>
        <w:tc>
          <w:tcPr>
            <w:tcW w:w="38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76,604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58,710</w:t>
            </w:r>
          </w:p>
        </w:tc>
        <w:tc>
          <w:tcPr>
            <w:tcW w:w="12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181,088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155,353</w:t>
            </w:r>
          </w:p>
        </w:tc>
        <w:tc>
          <w:tcPr>
            <w:tcW w:w="1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631,054</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540,180</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(347,302)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(293,918)</w:t>
            </w:r>
          </w:p>
        </w:tc>
        <w:tc>
          <w:tcPr>
            <w:tcW w:w="1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283,752</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246,262</w:t>
            </w: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Depreciation and amortization expense on property and equipment (including capital leases) amounted to $54.9 million, $48.3 million and $47.6 million, for the years ended December 31, 2019, 2018 and 2017,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2019 and 2018, the gross amount of equipment and related accumulated amortization recorded under finance leases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2018</w:t>
            </w: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Satellite equipment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center"/>
              <w:ind w:left="394"/>
              <w:spacing w:after="0"/>
              <w:rPr>
                <w:sz w:val="20"/>
                <w:szCs w:val="20"/>
                <w:color w:val="auto"/>
              </w:rPr>
            </w:pPr>
            <w:r>
              <w:rPr>
                <w:rFonts w:ascii="Arial" w:cs="Arial" w:eastAsia="Arial" w:hAnsi="Arial"/>
                <w:sz w:val="18"/>
                <w:szCs w:val="18"/>
                <w:color w:val="auto"/>
                <w:w w:val="90"/>
              </w:rPr>
              <w:t>46,871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90"/>
              </w:rPr>
              <w:t>46,368</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80" w:type="dxa"/>
            <w:vAlign w:val="bottom"/>
          </w:tcPr>
          <w:p>
            <w:pPr>
              <w:spacing w:after="0"/>
              <w:rPr>
                <w:sz w:val="21"/>
                <w:szCs w:val="21"/>
                <w:color w:val="auto"/>
              </w:rPr>
            </w:pPr>
          </w:p>
        </w:tc>
        <w:tc>
          <w:tcPr>
            <w:tcW w:w="1300" w:type="dxa"/>
            <w:vAlign w:val="bottom"/>
          </w:tcPr>
          <w:p>
            <w:pPr>
              <w:jc w:val="center"/>
              <w:ind w:left="354"/>
              <w:spacing w:after="0"/>
              <w:rPr>
                <w:sz w:val="20"/>
                <w:szCs w:val="20"/>
                <w:color w:val="auto"/>
              </w:rPr>
            </w:pPr>
            <w:r>
              <w:rPr>
                <w:rFonts w:ascii="Arial" w:cs="Arial" w:eastAsia="Arial" w:hAnsi="Arial"/>
                <w:sz w:val="18"/>
                <w:szCs w:val="18"/>
                <w:color w:val="auto"/>
                <w:w w:val="92"/>
              </w:rPr>
              <w:t>(31,158)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center"/>
              <w:ind w:left="212"/>
              <w:spacing w:after="0"/>
              <w:rPr>
                <w:sz w:val="20"/>
                <w:szCs w:val="20"/>
                <w:color w:val="auto"/>
              </w:rPr>
            </w:pPr>
            <w:r>
              <w:rPr>
                <w:rFonts w:ascii="Arial" w:cs="Arial" w:eastAsia="Arial" w:hAnsi="Arial"/>
                <w:sz w:val="18"/>
                <w:szCs w:val="18"/>
                <w:color w:val="auto"/>
                <w:w w:val="89"/>
              </w:rPr>
              <w:t>(26,808)</w:t>
            </w:r>
          </w:p>
        </w:tc>
      </w:tr>
      <w:tr>
        <w:trPr>
          <w:trHeight w:val="27"/>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center"/>
              <w:ind w:left="394"/>
              <w:spacing w:after="0"/>
              <w:rPr>
                <w:sz w:val="20"/>
                <w:szCs w:val="20"/>
                <w:color w:val="auto"/>
              </w:rPr>
            </w:pPr>
            <w:r>
              <w:rPr>
                <w:rFonts w:ascii="Arial" w:cs="Arial" w:eastAsia="Arial" w:hAnsi="Arial"/>
                <w:sz w:val="18"/>
                <w:szCs w:val="18"/>
                <w:color w:val="auto"/>
                <w:w w:val="90"/>
              </w:rPr>
              <w:t>15,713</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90"/>
              </w:rPr>
              <w:t>19,560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National Networks</w:t>
            </w:r>
          </w:p>
        </w:tc>
        <w:tc>
          <w:tcPr>
            <w:tcW w:w="24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International</w:t>
            </w:r>
          </w:p>
        </w:tc>
        <w:tc>
          <w:tcPr>
            <w:tcW w:w="380" w:type="dxa"/>
            <w:vAlign w:val="bottom"/>
          </w:tcPr>
          <w:p>
            <w:pPr>
              <w:spacing w:after="0"/>
              <w:rPr>
                <w:sz w:val="16"/>
                <w:szCs w:val="16"/>
                <w:color w:val="auto"/>
              </w:rPr>
            </w:pPr>
          </w:p>
        </w:tc>
        <w:tc>
          <w:tcPr>
            <w:tcW w:w="130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and Other</w:t>
            </w: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239,759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455,399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695,158</w:t>
            </w:r>
          </w:p>
        </w:tc>
        <w:tc>
          <w:tcPr>
            <w:tcW w:w="0" w:type="dxa"/>
            <w:vAlign w:val="bottom"/>
          </w:tcPr>
          <w:p>
            <w:pPr>
              <w:spacing w:after="0"/>
              <w:rPr>
                <w:sz w:val="1"/>
                <w:szCs w:val="1"/>
                <w:color w:val="auto"/>
              </w:rPr>
            </w:pP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123,865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123,865</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"second component" goodwill</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(19,658)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(19,658)</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559,606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798,037</w:t>
            </w:r>
          </w:p>
        </w:tc>
        <w:tc>
          <w:tcPr>
            <w:tcW w:w="0" w:type="dxa"/>
            <w:vAlign w:val="bottom"/>
          </w:tcPr>
          <w:p>
            <w:pPr>
              <w:spacing w:after="0"/>
              <w:rPr>
                <w:sz w:val="1"/>
                <w:szCs w:val="1"/>
                <w:color w:val="auto"/>
              </w:rPr>
            </w:pP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Impairment charge</w:t>
            </w:r>
          </w:p>
        </w:tc>
        <w:tc>
          <w:tcPr>
            <w:tcW w:w="16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(97,996)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(97,996)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accounting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Amortization of "second component" goodwill</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64"/>
        </w:trPr>
        <w:tc>
          <w:tcPr>
            <w:tcW w:w="594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237,103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464,877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701,980</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the accumulated impairment charges totaled $98.0 million.</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increase in the carrying amount of goodwill in 2018 for the International and Other segment relates to the acquisitions of RLJE and Levity (see Note 7).</w:t>
      </w:r>
    </w:p>
    <w:p>
      <w:pPr>
        <w:spacing w:after="0" w:line="6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reduction of $1.3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Impairment Test of 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In accordance with Accounting Standards Update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Company recognizes goodwill impairment as the difference between the carrying amount of a reporting unit and its fair value, but not to exceed the carrying amount of goodwill.</w:t>
      </w:r>
    </w:p>
    <w:p>
      <w:pPr>
        <w:spacing w:after="0" w:line="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performed a quantitative assessment for our International Programming Networks reporting unit. The fair value was determined using a combination of an income approach, using a discounted cash flow model (DCF), and a market comparables approach. The DCF model includes significant assumptions about revenue growth rates, long-term growth rates and enterprise specific discount rates. Additionally, the market comparables approach is determined using guideline company financial multiples. Given the uncertainty in determining assumptions underlying the DCF approach, actual results may differ from those used in the valuations.</w:t>
      </w:r>
    </w:p>
    <w:p>
      <w:pPr>
        <w:spacing w:after="0" w:line="8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Based on the valuations performed, in response to current and expected trends across the International television broadcasting markets, the fair value of the Company's AMCNI reporting unit declined to less than its carrying amount. As a result, the Company recognized an impairment charge of $98.0 million related to the AMCNI reporting unit.</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impairment charge was required for any of the Company's other reporting units.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determination of fair value of the Company's AMCNI reporting unit represents a Level 3 fair value measurement in the fair value hierarchy due to its use of internal projections and unobservable measurement inputs. Changes in significant judgments and estimates could significantly impact the concluded fair value of the reporting unit or the valuation of intangible assets. Changes to assumptions that would decrease the fair value of the reporting unit would result in corresponding increases to the impairment of goodwill at the reporting unit.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0" w:name="page91"/>
    <w:bookmarkEnd w:id="90"/>
    <w:p>
      <w:pPr>
        <w:jc w:val="center"/>
        <w:ind w:left="1700"/>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relating to the Company's identifiable intangible assets:</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2019</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3"/>
                <w:szCs w:val="13"/>
                <w:color w:val="auto"/>
              </w:rPr>
            </w:pPr>
          </w:p>
        </w:tc>
        <w:tc>
          <w:tcPr>
            <w:tcW w:w="16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3"/>
                <w:szCs w:val="13"/>
                <w:color w:val="auto"/>
              </w:rPr>
            </w:pPr>
          </w:p>
        </w:tc>
        <w:tc>
          <w:tcPr>
            <w:tcW w:w="1260" w:type="dxa"/>
            <w:vAlign w:val="bottom"/>
            <w:vMerge w:val="restart"/>
          </w:tcPr>
          <w:p>
            <w:pPr>
              <w:jc w:val="right"/>
              <w:ind w:right="63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Amortization</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32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616,197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(232,193)</w:t>
            </w:r>
          </w:p>
        </w:tc>
        <w:tc>
          <w:tcPr>
            <w:tcW w:w="1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384,004</w:t>
            </w:r>
          </w:p>
        </w:tc>
        <w:tc>
          <w:tcPr>
            <w:tcW w:w="0" w:type="dxa"/>
            <w:vAlign w:val="bottom"/>
          </w:tcPr>
          <w:p>
            <w:pPr>
              <w:spacing w:after="0"/>
              <w:rPr>
                <w:sz w:val="1"/>
                <w:szCs w:val="1"/>
                <w:color w:val="auto"/>
              </w:rPr>
            </w:pPr>
          </w:p>
        </w:tc>
      </w:tr>
      <w:tr>
        <w:trPr>
          <w:trHeight w:val="270"/>
        </w:trPr>
        <w:tc>
          <w:tcPr>
            <w:tcW w:w="4480" w:type="dxa"/>
            <w:vAlign w:val="bottom"/>
          </w:tcPr>
          <w:p>
            <w:pPr>
              <w:ind w:left="320"/>
              <w:spacing w:after="0"/>
              <w:rPr>
                <w:sz w:val="20"/>
                <w:szCs w:val="20"/>
                <w:color w:val="auto"/>
              </w:rPr>
            </w:pPr>
            <w:r>
              <w:rPr>
                <w:rFonts w:ascii="Arial" w:cs="Arial" w:eastAsia="Arial" w:hAnsi="Arial"/>
                <w:sz w:val="18"/>
                <w:szCs w:val="18"/>
                <w:color w:val="auto"/>
              </w:rPr>
              <w:t>Advertiser relationships</w:t>
            </w:r>
          </w:p>
        </w:tc>
        <w:tc>
          <w:tcPr>
            <w:tcW w:w="36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46,282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(21,820)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24,462</w:t>
            </w:r>
          </w:p>
        </w:tc>
        <w:tc>
          <w:tcPr>
            <w:tcW w:w="0" w:type="dxa"/>
            <w:vAlign w:val="bottom"/>
          </w:tcPr>
          <w:p>
            <w:pPr>
              <w:spacing w:after="0"/>
              <w:rPr>
                <w:sz w:val="1"/>
                <w:szCs w:val="1"/>
                <w:color w:val="auto"/>
              </w:rPr>
            </w:pPr>
          </w:p>
        </w:tc>
      </w:tr>
      <w:tr>
        <w:trPr>
          <w:trHeight w:val="270"/>
        </w:trPr>
        <w:tc>
          <w:tcPr>
            <w:tcW w:w="4480" w:type="dxa"/>
            <w:vAlign w:val="bottom"/>
          </w:tcPr>
          <w:p>
            <w:pPr>
              <w:ind w:left="32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113,075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(17,997)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95,078</w:t>
            </w:r>
          </w:p>
        </w:tc>
        <w:tc>
          <w:tcPr>
            <w:tcW w:w="0" w:type="dxa"/>
            <w:vAlign w:val="bottom"/>
          </w:tcPr>
          <w:p>
            <w:pPr>
              <w:spacing w:after="0"/>
              <w:rPr>
                <w:sz w:val="1"/>
                <w:szCs w:val="1"/>
                <w:color w:val="auto"/>
              </w:rPr>
            </w:pPr>
          </w:p>
        </w:tc>
      </w:tr>
      <w:tr>
        <w:trPr>
          <w:trHeight w:val="270"/>
        </w:trPr>
        <w:tc>
          <w:tcPr>
            <w:tcW w:w="4480" w:type="dxa"/>
            <w:vAlign w:val="bottom"/>
          </w:tcPr>
          <w:p>
            <w:pPr>
              <w:ind w:left="32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2,798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Pr>
          <w:p>
            <w:pPr>
              <w:spacing w:after="0"/>
              <w:rPr>
                <w:sz w:val="20"/>
                <w:szCs w:val="20"/>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778,352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(273,721)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504,631</w:t>
            </w:r>
          </w:p>
        </w:tc>
        <w:tc>
          <w:tcPr>
            <w:tcW w:w="0" w:type="dxa"/>
            <w:vAlign w:val="bottom"/>
          </w:tcPr>
          <w:p>
            <w:pPr>
              <w:spacing w:after="0"/>
              <w:rPr>
                <w:sz w:val="1"/>
                <w:szCs w:val="1"/>
                <w:color w:val="auto"/>
              </w:rPr>
            </w:pPr>
          </w:p>
        </w:tc>
      </w:tr>
      <w:tr>
        <w:trPr>
          <w:trHeight w:val="27"/>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32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798,252</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(273,721)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524,531</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2018</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3"/>
                <w:szCs w:val="13"/>
                <w:color w:val="auto"/>
              </w:rPr>
            </w:pPr>
          </w:p>
        </w:tc>
        <w:tc>
          <w:tcPr>
            <w:tcW w:w="16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3"/>
                <w:szCs w:val="13"/>
                <w:color w:val="auto"/>
              </w:rPr>
            </w:pPr>
          </w:p>
        </w:tc>
        <w:tc>
          <w:tcPr>
            <w:tcW w:w="1260" w:type="dxa"/>
            <w:vAlign w:val="bottom"/>
            <w:vMerge w:val="restart"/>
          </w:tcPr>
          <w:p>
            <w:pPr>
              <w:jc w:val="right"/>
              <w:ind w:right="63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Amortization</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32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620,771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(198,500)</w:t>
            </w:r>
          </w:p>
        </w:tc>
        <w:tc>
          <w:tcPr>
            <w:tcW w:w="1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422,271</w:t>
            </w:r>
          </w:p>
        </w:tc>
        <w:tc>
          <w:tcPr>
            <w:tcW w:w="0" w:type="dxa"/>
            <w:vAlign w:val="bottom"/>
          </w:tcPr>
          <w:p>
            <w:pPr>
              <w:spacing w:after="0"/>
              <w:rPr>
                <w:sz w:val="1"/>
                <w:szCs w:val="1"/>
                <w:color w:val="auto"/>
              </w:rPr>
            </w:pPr>
          </w:p>
        </w:tc>
      </w:tr>
      <w:tr>
        <w:trPr>
          <w:trHeight w:val="270"/>
        </w:trPr>
        <w:tc>
          <w:tcPr>
            <w:tcW w:w="4480" w:type="dxa"/>
            <w:vAlign w:val="bottom"/>
          </w:tcPr>
          <w:p>
            <w:pPr>
              <w:ind w:left="320"/>
              <w:spacing w:after="0"/>
              <w:rPr>
                <w:sz w:val="20"/>
                <w:szCs w:val="20"/>
                <w:color w:val="auto"/>
              </w:rPr>
            </w:pPr>
            <w:r>
              <w:rPr>
                <w:rFonts w:ascii="Arial" w:cs="Arial" w:eastAsia="Arial" w:hAnsi="Arial"/>
                <w:sz w:val="18"/>
                <w:szCs w:val="18"/>
                <w:color w:val="auto"/>
              </w:rPr>
              <w:t>Advertiser relationships</w:t>
            </w:r>
          </w:p>
        </w:tc>
        <w:tc>
          <w:tcPr>
            <w:tcW w:w="36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46,282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(17,613)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28,669</w:t>
            </w:r>
          </w:p>
        </w:tc>
        <w:tc>
          <w:tcPr>
            <w:tcW w:w="0" w:type="dxa"/>
            <w:vAlign w:val="bottom"/>
          </w:tcPr>
          <w:p>
            <w:pPr>
              <w:spacing w:after="0"/>
              <w:rPr>
                <w:sz w:val="1"/>
                <w:szCs w:val="1"/>
                <w:color w:val="auto"/>
              </w:rPr>
            </w:pPr>
          </w:p>
        </w:tc>
      </w:tr>
      <w:tr>
        <w:trPr>
          <w:trHeight w:val="270"/>
        </w:trPr>
        <w:tc>
          <w:tcPr>
            <w:tcW w:w="4480" w:type="dxa"/>
            <w:vAlign w:val="bottom"/>
          </w:tcPr>
          <w:p>
            <w:pPr>
              <w:ind w:left="32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118,772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(17,971)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100,801</w:t>
            </w:r>
          </w:p>
        </w:tc>
        <w:tc>
          <w:tcPr>
            <w:tcW w:w="0" w:type="dxa"/>
            <w:vAlign w:val="bottom"/>
          </w:tcPr>
          <w:p>
            <w:pPr>
              <w:spacing w:after="0"/>
              <w:rPr>
                <w:sz w:val="1"/>
                <w:szCs w:val="1"/>
                <w:color w:val="auto"/>
              </w:rPr>
            </w:pPr>
          </w:p>
        </w:tc>
      </w:tr>
      <w:tr>
        <w:trPr>
          <w:trHeight w:val="270"/>
        </w:trPr>
        <w:tc>
          <w:tcPr>
            <w:tcW w:w="4480" w:type="dxa"/>
            <w:vAlign w:val="bottom"/>
          </w:tcPr>
          <w:p>
            <w:pPr>
              <w:ind w:left="32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13,643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(6,377)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Pr>
          <w:p>
            <w:pPr>
              <w:spacing w:after="0"/>
              <w:rPr>
                <w:sz w:val="20"/>
                <w:szCs w:val="20"/>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799,468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(240,461)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559,007</w:t>
            </w:r>
          </w:p>
        </w:tc>
        <w:tc>
          <w:tcPr>
            <w:tcW w:w="0" w:type="dxa"/>
            <w:vAlign w:val="bottom"/>
          </w:tcPr>
          <w:p>
            <w:pPr>
              <w:spacing w:after="0"/>
              <w:rPr>
                <w:sz w:val="1"/>
                <w:szCs w:val="1"/>
                <w:color w:val="auto"/>
              </w:rPr>
            </w:pPr>
          </w:p>
        </w:tc>
      </w:tr>
      <w:tr>
        <w:trPr>
          <w:trHeight w:val="27"/>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32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819,368</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(240,461)</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578,907</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-3258185</wp:posOffset>
            </wp:positionV>
            <wp:extent cx="71691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-2915285</wp:posOffset>
            </wp:positionV>
            <wp:extent cx="71691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-2563495</wp:posOffset>
            </wp:positionV>
            <wp:extent cx="71691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-2220595</wp:posOffset>
            </wp:positionV>
            <wp:extent cx="7169150" cy="197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69150" cy="19748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-1594485</wp:posOffset>
            </wp:positionV>
            <wp:extent cx="71691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-1251585</wp:posOffset>
            </wp:positionV>
            <wp:extent cx="716915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-908685</wp:posOffset>
            </wp:positionV>
            <wp:extent cx="71691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-556895</wp:posOffset>
            </wp:positionV>
            <wp:extent cx="716915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-213995</wp:posOffset>
            </wp:positionV>
            <wp:extent cx="7169150"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69150" cy="19748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-3601085</wp:posOffset>
            </wp:positionV>
            <wp:extent cx="716915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Estimated</w:t>
      </w:r>
    </w:p>
    <w:p>
      <w:pPr>
        <w:jc w:val="center"/>
        <w:ind w:right="400"/>
        <w:spacing w:after="0"/>
        <w:rPr>
          <w:sz w:val="20"/>
          <w:szCs w:val="20"/>
          <w:color w:val="auto"/>
        </w:rPr>
      </w:pPr>
      <w:r>
        <w:rPr>
          <w:rFonts w:ascii="Arial" w:cs="Arial" w:eastAsia="Arial" w:hAnsi="Arial"/>
          <w:sz w:val="14"/>
          <w:szCs w:val="14"/>
          <w:b w:val="1"/>
          <w:bCs w:val="1"/>
          <w:color w:val="auto"/>
        </w:rPr>
        <w:t>Useful Lives</w:t>
      </w:r>
    </w:p>
    <w:p>
      <w:pPr>
        <w:spacing w:after="0" w:line="34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 to 25 years</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 years</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 to 20 years</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 to 11 years</w:t>
      </w:r>
    </w:p>
    <w:p>
      <w:pPr>
        <w:spacing w:after="0" w:line="4545" w:lineRule="exact"/>
        <w:rPr>
          <w:sz w:val="20"/>
          <w:szCs w:val="20"/>
          <w:color w:val="auto"/>
        </w:rPr>
      </w:pPr>
    </w:p>
    <w:p>
      <w:pPr>
        <w:sectPr>
          <w:pgSz w:w="11900" w:h="16838" w:orient="portrait"/>
          <w:cols w:equalWidth="0" w:num="2">
            <w:col w:w="9720" w:space="440"/>
            <w:col w:w="1260"/>
          </w:cols>
          <w:pgMar w:left="240" w:top="125" w:right="239" w:bottom="1440" w:gutter="0" w:footer="0" w:header="0"/>
        </w:sectPr>
      </w:pPr>
    </w:p>
    <w:p>
      <w:pPr>
        <w:spacing w:after="0" w:line="24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Aggregate amortization expense for amortizable intangible assets for the years ended December 31, 2019, 2018 and 2017 was $46.2 million, $43.0 million and $47.1 million, respectively. Estimated aggregate amortization expense for intangible assets subject to amortization for each of the following five years is: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3680" w:type="dxa"/>
            <w:vAlign w:val="bottom"/>
          </w:tcPr>
          <w:p>
            <w:pPr>
              <w:spacing w:after="0"/>
              <w:rPr>
                <w:sz w:val="4"/>
                <w:szCs w:val="4"/>
                <w:color w:val="auto"/>
              </w:rPr>
            </w:pPr>
          </w:p>
        </w:tc>
        <w:tc>
          <w:tcPr>
            <w:tcW w:w="446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68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47,016</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36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46,579</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8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45,937</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6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45,502</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80" w:type="dxa"/>
            <w:vAlign w:val="bottom"/>
            <w:shd w:val="clear" w:color="auto" w:fill="CCEEFF"/>
          </w:tcPr>
          <w:p>
            <w:pPr>
              <w:spacing w:after="0"/>
              <w:rPr>
                <w:sz w:val="21"/>
                <w:szCs w:val="21"/>
                <w:color w:val="auto"/>
              </w:rPr>
            </w:pPr>
          </w:p>
        </w:tc>
        <w:tc>
          <w:tcPr>
            <w:tcW w:w="44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45,432</w:t>
            </w:r>
          </w:p>
        </w:tc>
      </w:tr>
      <w:tr>
        <w:trPr>
          <w:trHeight w:val="27"/>
        </w:trPr>
        <w:tc>
          <w:tcPr>
            <w:tcW w:w="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Identifiable Indefinite-Lived Intangible Assets</w:t>
      </w:r>
    </w:p>
    <w:p>
      <w:pPr>
        <w:spacing w:after="0" w:line="12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Based on the Company's 2019 annual impairment test for identifiable indefinite-lived intangible assets, no impairment charge was required. The Company's indefinite-lived intangible assets relate to SundanceTV trademarks, which were valued using a relief-from-royalty method in which the expected benefits are valued by discounting estimated royalty revenue over projected revenues covered by the trademarks. In order to evaluate the sensitivity of the fair value calculations for the Company's identifiable indefinite-lived intangible assets, the Company applied a hypothetical 20% decrease to the estimated fair value of the identifiable indefinite-lived intangible assets. This hypothetical decrease in estimated fair value would not result in an impairment.</w:t>
      </w:r>
    </w:p>
    <w:p>
      <w:pPr>
        <w:spacing w:after="0" w:line="50" w:lineRule="exact"/>
        <w:rPr>
          <w:sz w:val="20"/>
          <w:szCs w:val="20"/>
          <w:color w:val="auto"/>
        </w:rPr>
      </w:pPr>
    </w:p>
    <w:p>
      <w:pPr>
        <w:jc w:val="both"/>
        <w:ind w:right="20" w:firstLine="446"/>
        <w:spacing w:after="0" w:line="312" w:lineRule="auto"/>
        <w:rPr>
          <w:sz w:val="20"/>
          <w:szCs w:val="20"/>
          <w:color w:val="auto"/>
        </w:rPr>
      </w:pPr>
      <w:r>
        <w:rPr>
          <w:rFonts w:ascii="Arial" w:cs="Arial" w:eastAsia="Arial" w:hAnsi="Arial"/>
          <w:sz w:val="16"/>
          <w:szCs w:val="16"/>
          <w:color w:val="auto"/>
        </w:rPr>
        <w:t>Significant judgments inherent in estimating the fair value of indefinite-lived intangible assets include the selection of appropriate discount and royalty rates, estimating the amount and timing of estimated future cash flows and identification of appropriate continuing growth rate assumptions. The discount rates used in the analysis are intended to reflect the risk inherent in the projected future cash flows generated by the respective intangible assets.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0"/>
                <w:szCs w:val="20"/>
                <w:color w:val="auto"/>
              </w:rPr>
            </w:pPr>
          </w:p>
        </w:tc>
        <w:tc>
          <w:tcPr>
            <w:tcW w:w="176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w w:val="92"/>
              </w:rPr>
              <w:t>December 31, 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211"/>
              <w:spacing w:after="0"/>
              <w:rPr>
                <w:sz w:val="20"/>
                <w:szCs w:val="20"/>
                <w:color w:val="auto"/>
              </w:rPr>
            </w:pPr>
            <w:r>
              <w:rPr>
                <w:rFonts w:ascii="Arial" w:cs="Arial" w:eastAsia="Arial" w:hAnsi="Arial"/>
                <w:sz w:val="16"/>
                <w:szCs w:val="16"/>
                <w:b w:val="1"/>
                <w:bCs w:val="1"/>
                <w:color w:val="auto"/>
                <w:w w:val="90"/>
              </w:rPr>
              <w:t>December 31, 2018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89,753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100,729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Participations and residuals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70,682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70,955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29,767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30,018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61,012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63,216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251,214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264,918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Long-term Debt</w:t>
            </w: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75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The Company's long-term debt consists of:</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94"/>
              </w:rPr>
              <w:t>December 31, 2019</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7"/>
              </w:rPr>
              <w:t>December 31, 2018</w:t>
            </w:r>
          </w:p>
        </w:tc>
        <w:tc>
          <w:tcPr>
            <w:tcW w:w="0" w:type="dxa"/>
            <w:vAlign w:val="bottom"/>
          </w:tcPr>
          <w:p>
            <w:pPr>
              <w:spacing w:after="0"/>
              <w:rPr>
                <w:sz w:val="1"/>
                <w:szCs w:val="1"/>
                <w:color w:val="auto"/>
              </w:rPr>
            </w:pPr>
          </w:p>
        </w:tc>
      </w:tr>
      <w:tr>
        <w:trPr>
          <w:trHeight w:val="236"/>
        </w:trPr>
        <w:tc>
          <w:tcPr>
            <w:tcW w:w="40" w:type="dxa"/>
            <w:vAlign w:val="bottom"/>
            <w:tcBorders>
              <w:right w:val="single" w:sz="8" w:color="CCEEFF"/>
            </w:tcBorders>
          </w:tcPr>
          <w:p>
            <w:pPr>
              <w:spacing w:after="0"/>
              <w:rPr>
                <w:sz w:val="20"/>
                <w:szCs w:val="20"/>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Credit Facility:</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Pr>
          <w:p>
            <w:pPr>
              <w:ind w:left="30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731,250</w:t>
            </w:r>
          </w:p>
        </w:tc>
        <w:tc>
          <w:tcPr>
            <w:tcW w:w="1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4.75% Notes due August 2025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5.00% Notes due April 2024</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4.75% Notes due December 2022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debt</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3,131,250</w:t>
            </w: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3,152,584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Unamortized discount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(10,670)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(13,848)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3,096,229</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3,109,555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56,250</w:t>
            </w: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Borders>
              <w:right w:val="single" w:sz="8" w:color="CCEEFF"/>
            </w:tcBorders>
          </w:tcPr>
          <w:p>
            <w:pPr>
              <w:spacing w:after="0"/>
              <w:rPr>
                <w:sz w:val="24"/>
                <w:szCs w:val="24"/>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3,039,979</w:t>
            </w:r>
          </w:p>
        </w:tc>
        <w:tc>
          <w:tcPr>
            <w:tcW w:w="12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3,088,221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Secured Credit Facility</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July 28, 2017, AMC Networks entered into a Second Amended and Restated Credit Agreement (the "Credit Agreement") among AMC Networks and its subsidiary, AMC Network Entertainment LLC, as the Initial Borrowers, certain of AMC Networks' subsidiaries, as restricted subsidiaries, JPMorgan Chase Bank, N.A., as Administrative Agent, Collateral Agent and an L/C Issuer, Bank of America, as an L/C Issuer, and the lenders party thereto. The Credit Agreement amends and restates AMC Networks' prior credit agreement dated December 16, 2013 in its entirety. The Credit Agreement provides the Initial Borrowers with senior secured credit facilities consisting of (a) a $750 million Term Loan A (the "Term Loan A Facility") after giving effect to the approximate $400 million payment from the proceeds of the 4.75% Notes due 2025 described below and (b) a $500 million revolving credit facility (the "Revolving Facility") that was not drawn upon initially. Under the Credit Agreement, the maturity date of the Term Loan A Facility was extended to July 28, 2023 and the maturity date of the Revolving Facility was extended to July 28, 2022.</w:t>
      </w:r>
    </w:p>
    <w:p>
      <w:pPr>
        <w:spacing w:after="0" w:line="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Borrowings under the Credit Agreement bear interest at a floating rate, which at the option of the Initial Borrowers may be either (a) a base rate plus an additional rate ranging from 0.25% to 1.25% per annum (determined based on a cash flow ratio) (the "Base Rate"), or (b) a Eurodollar rate plus an additional rate ranging from 1.25% to 2.25% per annum (determined based on a cash flow ratio) (the "Eurodollar Rate"), provided that for the six month period following the closing date, the additional rate used in calculating both floating rates was (i) 0.50% per annum for borrowings bearing the Base Rate, and (ii) 1.50% per annum for borrowings bearing the Eurodollar Rate.</w:t>
      </w:r>
    </w:p>
    <w:p>
      <w:pPr>
        <w:spacing w:after="0" w:line="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Credit Agreement requires the Initial Borrowers to pay a commitment fee of between 0.25% and 0.50% (determined based on a cash flow ratio) in respect of the average daily unused commitments under the Revolving Facility. The Initial Borrowers also are required to pay customary letter of credit fees, as well as fronting fees, to banks that issue letters of credit pursuant to the Credit Agreement.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All obligations under the Credit Agreement are guaranteed by certain of the Initial Borrowers' existing and future domestic restricted subsidiaries in accordance with the Credit Agreement. All obligations under the Credit Agreement, including the guarantees of those obligations, are secured by certain assets of the Initial Borrowers and certain of their subsidiaries (collectively, the "Loan Parties").</w:t>
      </w:r>
    </w:p>
    <w:p>
      <w:pPr>
        <w:spacing w:after="0" w:line="7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Credit Agreement contains certain affirmative and negative covenants applicable to the Loan Parties. These include restrictions on the Loan Parties' ability to incur indebtedness, make investments, place liens on assets, dispose of assets, enter into certain affiliate transactions and make certain restricted payments, including restrictions on AMC Networks' ability to pay dividends on and to repurchase its common stock. The Credit Agreement also requires the Initial Borrowers to comply with the following financial covenants: (i) a maximum ratio of net debt to annual operating cash flow (each defined in the Credit Agreement) of 6.00:1 initially and decreasing in steps down to 5.00:1 on and after January 1, 2022, subject to increase if AMC Networks consummates any leveraging acquisition; and (ii) a minimum ratio of annual operating cash flow to annual total interest expense (as defined in the Credit Agreement) of 2.50:1.</w:t>
      </w:r>
    </w:p>
    <w:p>
      <w:pPr>
        <w:spacing w:after="0" w:line="5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revolving credit facility was not drawn upon at December 31, 2019. The total undrawn revolver commitment is available to be drawn for our general corporate purposes.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AMC Networks was in compliance with all of its financial covenants under the Credit Facility as of December 31, 2019.</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For the year ended December 31, 2017, in connection with the issuance of the 4.75% Notes due 2025 and the amendment to the Credit Agreement, AMC Networks incurred a loss on extinguishment of debt of $3.0 million for the write-off of a portion of unamortized deferred financing costs, and incurred financing costs of $10.4 million, of which $9.4 million were deferred and are being amortized, using the effective interest method, to interest expense over the term of the related borrowing, and $1.0 million were expensed when incurred.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Notes due 2025</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July 28, 2017, AMC Networks issued, and certain of AMC Networks' subsidiaries (hereinafter, the "Guarantors") guaranteed $800 million aggregate principal amount of senior notes due August 1, 2025 (the "4.75% Notes due 2025") in a registered public offering. The 4.75% Notes due 2025 were issued net of a $14.0 million underwriting discount. AMC Networks used approximately $400 million of the net proceeds to repay loans under AMC Networks' Term Loan A Facility and to pay fees and expenses related to the issuance. The remaining proceeds are for general corporate purposes. The 4.75% Notes due 2025 were issued pursuant to an indenture, dated as of March 30, 2016, as amended by the Second Supplemental Indenture, dated as of July 28, 2017.</w:t>
      </w:r>
    </w:p>
    <w:p>
      <w:pPr>
        <w:spacing w:after="0" w:line="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4.75% Notes due 2025 bear interest at a rate of 4.75% per annum and mature on August 1, 2025. Interest is payable semiannually on February 1 and August 1 of each year, commencing on February 1, 2018. The 4.75% Notes due 2025 are AMC Networks' general senior unsecured obligations and rank equally with all of AMC Networks' and the Guarantors' existing and future unsecured and unsubordinated indebtedness, but are effectively subordinated to all of AMC Networks' and the guarantors' existing and future secured indebtedness, including all borrowings and guarantees under the Credit Agreement referred to above, to the extent of the assets securing that indebtedness. The 4.75% Notes due 2025 are subject to redemption on the terms set forth in the Second Supplemental Indenture.</w:t>
      </w:r>
    </w:p>
    <w:p>
      <w:pPr>
        <w:spacing w:after="0" w:line="8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4.75% Notes due 2025 may be redeemed, at AMC Networks' option, in whole or in part, at any time on or after August 1, 2021, at a redemption price equal to 102.375% of the principal amount thereof (plus accrued and unpaid interest thereon, if any, to the date of such redemption), declining annually to 100% of the principal amount thereof (plus accrued and unpaid interest thereon, if any, to the date of such redemption) beginning on August 1, 2023.</w:t>
      </w:r>
    </w:p>
    <w:p>
      <w:pPr>
        <w:spacing w:after="0" w:line="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optional redemption of the 4.75% Notes due 2025 described above, at any time prior to August 1, 2020, AMC Networks may redeem up to 35% of the aggregate principal amount of the 4.75% Notes due 2025 at a redemption price equal to 104.750% of the principal amount thereof, plus accrued and unpaid interest and additional interest, if any, using the net proceeds of certain equity offerings.</w:t>
      </w:r>
    </w:p>
    <w:p>
      <w:pPr>
        <w:spacing w:after="0" w:line="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Finally, at any time prior to August 1, 2021, AMC Networks may redeem the 4.75% Notes due 2025, at its option in whole or in part, at any time and from time to time, at a redemption price equal to 100% of the principal amount thereof to be redeemed plus the "Applicable Premium" calculated as described in the Second Supplemental Indenture at the rate of T+50 basis points, and accrued and unpaid interest thereon, if any, to, but excluding, the redemption date.</w:t>
      </w:r>
    </w:p>
    <w:p>
      <w:pPr>
        <w:spacing w:after="0" w:line="3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indenture governing the 4.75% Notes due 2025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5.00% Notes due 2024</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30, 2016, the Company issued $1.0 billion in aggregate principal amount of 5.00% senior notes due 2024 (the "5.00% Notes due 2024"), net of an issuance discount of $17.5 million. AMC Networks used $703 million of the net proceeds of this offering to make a cash tender ("Tender Offer") for its outstanding 7.75% Notes due 2021 (the "7.75% Notes"). In addition, $45.6 million of the proceeds from the issuance of the 5.00% Notes due 2024 was used for the redemption of the 7.75% Notes not tendered. The remaining proceeds are for general corporate purposes. The 5.00% Notes due 2024 were issued pursuant to an indenture dated as of March 30, 2016.</w:t>
      </w:r>
    </w:p>
    <w:p>
      <w:pPr>
        <w:spacing w:after="0" w:line="8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connection with the issuance of the 5.00% Notes due 2024, AMC Networks incurred deferred financing costs of $2.1 million, which are being amortized, using the effective interest method, to interest expense over the term of the 5.00% Notes due 2024.</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on the 5.00% Notes due 2024 is payable semi-annually in arrears on April 1 and October 1 of each year.</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5.00% Notes due 2024 may be redeemed, in whole or in part, at any time on or after April 1, 2020, at a redemption price equal to 102.5% of the principal amount thereof (plus accrued and unpaid interest thereon, if any, to the date of such redemption), declining annually to 100% of the principal amount thereof (plus accrued and unpaid interest thereon, if any, to the date of such redemption) beginning on April 1, 2022.</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5.00% Notes due 2024 are guaranteed on a senior unsecured basis by the Guarantors, in accordance with the indenture governing the 5.00% Notes due 2024. The guarantees under the 5.00% Notes due 2024 are full and unconditional and joint and several.</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indenture governing the 5.00% Notes due 2024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Senior Notes due 2022</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17, 2012, AMC Networks issued $600 million in aggregate principal amount of its 4.75% senior notes, net of an issuance discount of $10.5 million, due December 15, 2022 (the "4.75% Notes due 2022"). AMC Networks used the net proceeds of this offering to repay the outstanding amount under its term loan B facility of approximately $587.6 million, with the remaining proceeds used for general corporate purposes. The 4.75% Notes due 2022 were issued pursuant to an indenture, and first supplemental indenture, each dated as of December 17, 2012.</w:t>
      </w:r>
    </w:p>
    <w:p>
      <w:pPr>
        <w:spacing w:after="0" w:line="6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connection with the issuance of the 4.75% Notes due 2022, AMC Networks incurred deferred financing costs of $1.5 million, which are being amortized, using the effective interest method, to interest expense over the term of the 4.75% Notes due 2022.</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on the 4.75% Notes due 2022 accrues at the rate of 4.75% per annum and is payable semi-annually in arrears on June 15 and December 15 of each year.</w:t>
      </w:r>
    </w:p>
    <w:p>
      <w:pPr>
        <w:spacing w:after="0" w:line="6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4.75% Notes due 2022 may be redeemed, in whole or in part, at a redemption price equal to 100.792% of the principal amount thereof (plus accrued and unpaid interest thereon, if any, to the date of such redemption), declining annually to 100% of the principal amount thereof (plus accrued and unpaid interest thereon, if any, to the date of such redemption) beginning on December 15, 2020.</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4.75% Notes due 2022 are guaranteed on a senior unsecured basis by the Guarantors, in accordance with the indenture governing the 4.75% Notes due 2022. The guarantees under the 4.75% Notes due 2022 are full and unconditional and joint and several.</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indenture governing the 4.75% Notes due 2022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amounts payable by the Company under its various debt obligations outstanding as of December 31, 2019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388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88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56,250</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388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75,000</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8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675,000</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88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525,000</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8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1,000,000</w:t>
            </w: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800,000</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2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a result of the acquisition of Levity, the Company has two lines of credit totaling $5 million. The lines of credit bear interest at the greater of 3.5% or the prime rate and mature on March 22, 2020. There were no outstanding borrowings on either line of credit as of December 31, 2019.</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 - Partial Redemption of 4.75% Notes due 2022</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3, 2020 the Company announced its intention to redeem $200 million of the outstanding $600 million principal amount of its 4.75% Notes due 2022. The 4.75% Notes due 2022 will be redeemed on March 4, 2020 (the "Redemption Date") at a redemption price of 100.792% of the principal amount of the 4.75% Notes due 2022, plus accrued and unpaid interest to, but excluding, the Redemption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I—Quoted prices for identical instruments in active markets.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II—Quoted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III—Instruments whose significant value drivers are unobservable.</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December 31, 2019 and December 31,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43"/>
        </w:trPr>
        <w:tc>
          <w:tcPr>
            <w:tcW w:w="5180" w:type="dxa"/>
            <w:vAlign w:val="bottom"/>
            <w:tcBorders>
              <w:top w:val="single" w:sz="8" w:color="CCEEFF"/>
              <w:bottom w:val="single" w:sz="8" w:color="CCEEFF"/>
            </w:tcBorders>
            <w:shd w:val="clear" w:color="auto" w:fill="CCEEFF"/>
          </w:tcPr>
          <w:p>
            <w:pPr>
              <w:ind w:left="1800"/>
              <w:spacing w:after="0"/>
              <w:rPr>
                <w:sz w:val="20"/>
                <w:szCs w:val="20"/>
                <w:color w:val="auto"/>
              </w:rPr>
            </w:pPr>
            <w:r>
              <w:rPr>
                <w:rFonts w:ascii="Arial" w:cs="Arial" w:eastAsia="Arial" w:hAnsi="Arial"/>
                <w:sz w:val="16"/>
                <w:szCs w:val="16"/>
                <w:b w:val="1"/>
                <w:bCs w:val="1"/>
                <w:color w:val="auto"/>
              </w:rPr>
              <w:t>At December 31, 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191,214</w:t>
            </w:r>
          </w:p>
        </w:tc>
      </w:tr>
      <w:tr>
        <w:trPr>
          <w:trHeight w:val="243"/>
        </w:trPr>
        <w:tc>
          <w:tcPr>
            <w:tcW w:w="51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4,448</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1,884</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rate swap contracts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1,966</w:t>
            </w:r>
          </w:p>
        </w:tc>
      </w:tr>
      <w:tr>
        <w:trPr>
          <w:trHeight w:val="243"/>
        </w:trPr>
        <w:tc>
          <w:tcPr>
            <w:tcW w:w="5180" w:type="dxa"/>
            <w:vAlign w:val="bottom"/>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1,888</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6"/>
                <w:szCs w:val="16"/>
                <w:b w:val="1"/>
                <w:bCs w:val="1"/>
                <w:color w:val="auto"/>
              </w:rPr>
              <w:t>At December 31, 2018: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5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68,498</w:t>
            </w:r>
          </w:p>
        </w:tc>
      </w:tr>
      <w:tr>
        <w:trPr>
          <w:trHeight w:val="243"/>
        </w:trPr>
        <w:tc>
          <w:tcPr>
            <w:tcW w:w="51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1,173</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3,509</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rate swap contracts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r>
      <w:tr>
        <w:trPr>
          <w:trHeight w:val="243"/>
        </w:trPr>
        <w:tc>
          <w:tcPr>
            <w:tcW w:w="5180" w:type="dxa"/>
            <w:vAlign w:val="bottom"/>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3,121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3,121</w:t>
            </w:r>
          </w:p>
        </w:tc>
      </w:tr>
    </w:tbl>
    <w:p>
      <w:pPr>
        <w:spacing w:after="0" w:line="121"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6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Company's interest rate swap contracts and foreign currency derivatives are classified within Level II of the fair value hierarchy and their fair values are determined based on a market approach valuation technique that uses readily observable market parameters and the consideration of counterparty risk.</w:t>
      </w:r>
    </w:p>
    <w:p>
      <w:pPr>
        <w:spacing w:after="0" w:line="7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At December 31, 2019, the Company does not have any other assets or liabilities measured at fair value on a recurring basis that would be considered Level III.</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Debt and Senior Notes</w:t>
      </w:r>
    </w:p>
    <w:p>
      <w:pPr>
        <w:spacing w:after="0" w:line="121"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consolidated balance sheets are summarized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2019</w:t>
            </w:r>
          </w:p>
        </w:tc>
        <w:tc>
          <w:tcPr>
            <w:tcW w:w="1380" w:type="dxa"/>
            <w:vAlign w:val="bottom"/>
          </w:tcPr>
          <w:p>
            <w:pPr>
              <w:spacing w:after="0"/>
              <w:rPr>
                <w:sz w:val="18"/>
                <w:szCs w:val="18"/>
                <w:color w:val="auto"/>
              </w:rPr>
            </w:pPr>
          </w:p>
        </w:tc>
      </w:tr>
      <w:tr>
        <w:trPr>
          <w:trHeight w:val="33"/>
        </w:trPr>
        <w:tc>
          <w:tcPr>
            <w:tcW w:w="8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56"/>
        </w:trPr>
        <w:tc>
          <w:tcPr>
            <w:tcW w:w="8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gridSpan w:val="2"/>
          </w:tcPr>
          <w:p>
            <w:pPr>
              <w:jc w:val="center"/>
              <w:ind w:right="480"/>
              <w:spacing w:after="0" w:line="155" w:lineRule="exact"/>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3"/>
                <w:szCs w:val="13"/>
                <w:color w:val="auto"/>
              </w:rPr>
            </w:pPr>
          </w:p>
        </w:tc>
        <w:tc>
          <w:tcPr>
            <w:tcW w:w="1380" w:type="dxa"/>
            <w:vAlign w:val="bottom"/>
          </w:tcPr>
          <w:p>
            <w:pPr>
              <w:jc w:val="right"/>
              <w:ind w:right="552"/>
              <w:spacing w:after="0" w:line="155" w:lineRule="exact"/>
              <w:rPr>
                <w:sz w:val="20"/>
                <w:szCs w:val="20"/>
                <w:color w:val="auto"/>
              </w:rPr>
            </w:pPr>
            <w:r>
              <w:rPr>
                <w:rFonts w:ascii="Arial" w:cs="Arial" w:eastAsia="Arial" w:hAnsi="Arial"/>
                <w:sz w:val="16"/>
                <w:szCs w:val="16"/>
                <w:b w:val="1"/>
                <w:bCs w:val="1"/>
                <w:color w:val="auto"/>
                <w:w w:val="94"/>
              </w:rPr>
              <w:t>Estimated</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5"/>
              </w:rPr>
              <w:t>Amount</w:t>
            </w:r>
          </w:p>
        </w:tc>
        <w:tc>
          <w:tcPr>
            <w:tcW w:w="6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w w:val="94"/>
              </w:rPr>
              <w:t>Fair Value</w:t>
            </w:r>
          </w:p>
        </w:tc>
      </w:tr>
      <w:tr>
        <w:trPr>
          <w:trHeight w:val="233"/>
        </w:trPr>
        <w:tc>
          <w:tcPr>
            <w:tcW w:w="7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 instruments:</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280" w:type="dxa"/>
            <w:vAlign w:val="bottom"/>
            <w:gridSpan w:val="2"/>
          </w:tcPr>
          <w:p>
            <w:pPr>
              <w:ind w:left="340"/>
              <w:spacing w:after="0"/>
              <w:rPr>
                <w:sz w:val="20"/>
                <w:szCs w:val="20"/>
                <w:color w:val="auto"/>
              </w:rPr>
            </w:pPr>
            <w:r>
              <w:rPr>
                <w:rFonts w:ascii="Arial" w:cs="Arial" w:eastAsia="Arial" w:hAnsi="Arial"/>
                <w:sz w:val="18"/>
                <w:szCs w:val="18"/>
                <w:color w:val="auto"/>
              </w:rPr>
              <w:t>Term Loan A Facility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723,560</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724,303</w:t>
            </w:r>
          </w:p>
        </w:tc>
      </w:tr>
      <w:tr>
        <w:trPr>
          <w:trHeight w:val="27"/>
        </w:trPr>
        <w:tc>
          <w:tcPr>
            <w:tcW w:w="8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0"/>
              </w:rPr>
              <w:t>4.75%</w:t>
            </w: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788,247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803,000</w:t>
            </w:r>
          </w:p>
        </w:tc>
      </w:tr>
      <w:tr>
        <w:trPr>
          <w:trHeight w:val="243"/>
        </w:trPr>
        <w:tc>
          <w:tcPr>
            <w:tcW w:w="820" w:type="dxa"/>
            <w:vAlign w:val="bottom"/>
          </w:tcPr>
          <w:p>
            <w:pPr>
              <w:ind w:left="340"/>
              <w:spacing w:after="0"/>
              <w:rPr>
                <w:sz w:val="20"/>
                <w:szCs w:val="20"/>
                <w:color w:val="auto"/>
              </w:rPr>
            </w:pPr>
            <w:r>
              <w:rPr>
                <w:rFonts w:ascii="Arial" w:cs="Arial" w:eastAsia="Arial" w:hAnsi="Arial"/>
                <w:sz w:val="18"/>
                <w:szCs w:val="18"/>
                <w:color w:val="auto"/>
                <w:w w:val="90"/>
              </w:rPr>
              <w:t>5.00%</w:t>
            </w:r>
          </w:p>
        </w:tc>
        <w:tc>
          <w:tcPr>
            <w:tcW w:w="6460" w:type="dxa"/>
            <w:vAlign w:val="bottom"/>
          </w:tcPr>
          <w:p>
            <w:pPr>
              <w:ind w:left="20"/>
              <w:spacing w:after="0"/>
              <w:rPr>
                <w:sz w:val="20"/>
                <w:szCs w:val="20"/>
                <w:color w:val="auto"/>
              </w:rPr>
            </w:pPr>
            <w:r>
              <w:rPr>
                <w:rFonts w:ascii="Arial" w:cs="Arial" w:eastAsia="Arial" w:hAnsi="Arial"/>
                <w:sz w:val="18"/>
                <w:szCs w:val="18"/>
                <w:color w:val="auto"/>
              </w:rPr>
              <w:t>Notes due April 2024</w:t>
            </w:r>
          </w:p>
        </w:tc>
        <w:tc>
          <w:tcPr>
            <w:tcW w:w="38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988,609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1,020,000</w:t>
            </w:r>
          </w:p>
        </w:tc>
      </w:tr>
      <w:tr>
        <w:trPr>
          <w:trHeight w:val="27"/>
        </w:trPr>
        <w:tc>
          <w:tcPr>
            <w:tcW w:w="8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0"/>
              </w:rPr>
              <w:t>4.75%</w:t>
            </w: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595,813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605,250</w:t>
            </w:r>
          </w:p>
        </w:tc>
      </w:tr>
      <w:tr>
        <w:trPr>
          <w:trHeight w:val="243"/>
        </w:trPr>
        <w:tc>
          <w:tcPr>
            <w:tcW w:w="7280" w:type="dxa"/>
            <w:vAlign w:val="bottom"/>
            <w:gridSpan w:val="2"/>
          </w:tcPr>
          <w:p>
            <w:pPr>
              <w:ind w:left="340"/>
              <w:spacing w:after="0"/>
              <w:rPr>
                <w:sz w:val="20"/>
                <w:szCs w:val="20"/>
                <w:color w:val="auto"/>
              </w:rPr>
            </w:pPr>
            <w:r>
              <w:rPr>
                <w:rFonts w:ascii="Arial" w:cs="Arial" w:eastAsia="Arial" w:hAnsi="Arial"/>
                <w:sz w:val="18"/>
                <w:szCs w:val="18"/>
                <w:color w:val="auto"/>
              </w:rPr>
              <w:t>Other debt</w:t>
            </w:r>
          </w:p>
        </w:tc>
        <w:tc>
          <w:tcPr>
            <w:tcW w:w="38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8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20" w:type="dxa"/>
            <w:vAlign w:val="bottom"/>
            <w:tcBorders>
              <w:bottom w:val="single" w:sz="8" w:color="CCEEFF"/>
            </w:tcBorders>
            <w:shd w:val="clear" w:color="auto" w:fill="CCEEFF"/>
          </w:tcPr>
          <w:p>
            <w:pPr>
              <w:spacing w:after="0"/>
              <w:rPr>
                <w:sz w:val="24"/>
                <w:szCs w:val="24"/>
                <w:color w:val="auto"/>
              </w:rPr>
            </w:pPr>
          </w:p>
        </w:tc>
        <w:tc>
          <w:tcPr>
            <w:tcW w:w="64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3,096,229</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3,152,553</w:t>
            </w: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2018</w:t>
            </w:r>
          </w:p>
        </w:tc>
        <w:tc>
          <w:tcPr>
            <w:tcW w:w="1380" w:type="dxa"/>
            <w:vAlign w:val="bottom"/>
          </w:tcPr>
          <w:p>
            <w:pPr>
              <w:spacing w:after="0"/>
              <w:rPr>
                <w:sz w:val="18"/>
                <w:szCs w:val="18"/>
                <w:color w:val="auto"/>
              </w:rPr>
            </w:pPr>
          </w:p>
        </w:tc>
      </w:tr>
      <w:tr>
        <w:trPr>
          <w:trHeight w:val="33"/>
        </w:trPr>
        <w:tc>
          <w:tcPr>
            <w:tcW w:w="8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80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w w:val="94"/>
              </w:rPr>
              <w:t>Estimated</w:t>
            </w:r>
          </w:p>
        </w:tc>
      </w:tr>
      <w:tr>
        <w:trPr>
          <w:trHeight w:val="237"/>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5"/>
              </w:rPr>
              <w:t>Amount</w:t>
            </w:r>
          </w:p>
        </w:tc>
        <w:tc>
          <w:tcPr>
            <w:tcW w:w="620" w:type="dxa"/>
            <w:vAlign w:val="bottom"/>
          </w:tcPr>
          <w:p>
            <w:pPr>
              <w:spacing w:after="0"/>
              <w:rPr>
                <w:sz w:val="20"/>
                <w:szCs w:val="20"/>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w w:val="94"/>
              </w:rPr>
              <w:t>Fair Value</w:t>
            </w:r>
          </w:p>
        </w:tc>
      </w:tr>
      <w:tr>
        <w:trPr>
          <w:trHeight w:val="236"/>
        </w:trPr>
        <w:tc>
          <w:tcPr>
            <w:tcW w:w="7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Debt instruments:</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260" w:type="dxa"/>
            <w:vAlign w:val="bottom"/>
            <w:gridSpan w:val="2"/>
          </w:tcPr>
          <w:p>
            <w:pPr>
              <w:ind w:left="320"/>
              <w:spacing w:after="0"/>
              <w:rPr>
                <w:sz w:val="20"/>
                <w:szCs w:val="20"/>
                <w:color w:val="auto"/>
              </w:rPr>
            </w:pPr>
            <w:r>
              <w:rPr>
                <w:rFonts w:ascii="Arial" w:cs="Arial" w:eastAsia="Arial" w:hAnsi="Arial"/>
                <w:sz w:val="18"/>
                <w:szCs w:val="18"/>
                <w:color w:val="auto"/>
              </w:rPr>
              <w:t>Term Loan A facility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739,710</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738,750</w:t>
            </w:r>
          </w:p>
        </w:tc>
      </w:tr>
      <w:tr>
        <w:trPr>
          <w:trHeight w:val="27"/>
        </w:trPr>
        <w:tc>
          <w:tcPr>
            <w:tcW w:w="8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0"/>
              </w:rPr>
              <w:t>4.75%</w:t>
            </w: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786,458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720,000</w:t>
            </w:r>
          </w:p>
        </w:tc>
      </w:tr>
      <w:tr>
        <w:trPr>
          <w:trHeight w:val="243"/>
        </w:trPr>
        <w:tc>
          <w:tcPr>
            <w:tcW w:w="800" w:type="dxa"/>
            <w:vAlign w:val="bottom"/>
          </w:tcPr>
          <w:p>
            <w:pPr>
              <w:ind w:left="320"/>
              <w:spacing w:after="0"/>
              <w:rPr>
                <w:sz w:val="20"/>
                <w:szCs w:val="20"/>
                <w:color w:val="auto"/>
              </w:rPr>
            </w:pPr>
            <w:r>
              <w:rPr>
                <w:rFonts w:ascii="Arial" w:cs="Arial" w:eastAsia="Arial" w:hAnsi="Arial"/>
                <w:sz w:val="18"/>
                <w:szCs w:val="18"/>
                <w:color w:val="auto"/>
                <w:w w:val="90"/>
              </w:rPr>
              <w:t>5.00%</w:t>
            </w:r>
          </w:p>
        </w:tc>
        <w:tc>
          <w:tcPr>
            <w:tcW w:w="6460" w:type="dxa"/>
            <w:vAlign w:val="bottom"/>
          </w:tcPr>
          <w:p>
            <w:pPr>
              <w:ind w:left="20"/>
              <w:spacing w:after="0"/>
              <w:rPr>
                <w:sz w:val="20"/>
                <w:szCs w:val="20"/>
                <w:color w:val="auto"/>
              </w:rPr>
            </w:pPr>
            <w:r>
              <w:rPr>
                <w:rFonts w:ascii="Arial" w:cs="Arial" w:eastAsia="Arial" w:hAnsi="Arial"/>
                <w:sz w:val="18"/>
                <w:szCs w:val="18"/>
                <w:color w:val="auto"/>
              </w:rPr>
              <w:t>Notes due April 2024</w:t>
            </w:r>
          </w:p>
        </w:tc>
        <w:tc>
          <w:tcPr>
            <w:tcW w:w="38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986,275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947,500</w:t>
            </w:r>
          </w:p>
        </w:tc>
      </w:tr>
      <w:tr>
        <w:trPr>
          <w:trHeight w:val="27"/>
        </w:trPr>
        <w:tc>
          <w:tcPr>
            <w:tcW w:w="8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0"/>
              </w:rPr>
              <w:t>4.75%</w:t>
            </w: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594,528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580,500</w:t>
            </w:r>
          </w:p>
        </w:tc>
      </w:tr>
      <w:tr>
        <w:trPr>
          <w:trHeight w:val="243"/>
        </w:trPr>
        <w:tc>
          <w:tcPr>
            <w:tcW w:w="7260" w:type="dxa"/>
            <w:vAlign w:val="bottom"/>
            <w:gridSpan w:val="2"/>
          </w:tcPr>
          <w:p>
            <w:pPr>
              <w:ind w:left="320"/>
              <w:spacing w:after="0"/>
              <w:rPr>
                <w:sz w:val="20"/>
                <w:szCs w:val="20"/>
                <w:color w:val="auto"/>
              </w:rPr>
            </w:pPr>
            <w:r>
              <w:rPr>
                <w:rFonts w:ascii="Arial" w:cs="Arial" w:eastAsia="Arial" w:hAnsi="Arial"/>
                <w:sz w:val="18"/>
                <w:szCs w:val="18"/>
                <w:color w:val="auto"/>
              </w:rPr>
              <w:t>Other debt</w:t>
            </w:r>
          </w:p>
        </w:tc>
        <w:tc>
          <w:tcPr>
            <w:tcW w:w="38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2,584</w:t>
            </w:r>
          </w:p>
        </w:tc>
      </w:tr>
      <w:tr>
        <w:trPr>
          <w:trHeight w:val="27"/>
        </w:trPr>
        <w:tc>
          <w:tcPr>
            <w:tcW w:w="80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00" w:type="dxa"/>
            <w:vAlign w:val="bottom"/>
            <w:tcBorders>
              <w:bottom w:val="single" w:sz="8" w:color="CCEEFF"/>
            </w:tcBorders>
            <w:shd w:val="clear" w:color="auto" w:fill="CCEEFF"/>
          </w:tcPr>
          <w:p>
            <w:pPr>
              <w:spacing w:after="0"/>
              <w:rPr>
                <w:sz w:val="24"/>
                <w:szCs w:val="24"/>
                <w:color w:val="auto"/>
              </w:rPr>
            </w:pPr>
          </w:p>
        </w:tc>
        <w:tc>
          <w:tcPr>
            <w:tcW w:w="64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3,109,555</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2,989,334</w:t>
            </w: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 rates. Such contracts effectively fix the borrowing rates on floating rate debt to limit the exposure against the risk of rising interest rates. The Company does not enter into interest rate swap contracts for speculative or trading purposes and it has only entered into interest rate swap contracts with financial institutions that it believes are creditworthy counterparties. The Company monitors the financial institutions that are counterparties to its interest rate swap contracts and to the extent possible diversifies its swap contracts among various counterparties to mitigate exposure to any single financial institution.</w:t>
      </w:r>
    </w:p>
    <w:p>
      <w:pPr>
        <w:spacing w:after="0" w:line="50"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Company's risk management objective and strategy with respect to interest rate swap contracts is to protect the Company against adverse fluctuations in interest rates by reducing its exposure to variability in cash flows relating to interest payments on a portion of its outstanding debt. The Company is meeting its objective by hedging the risk of changes in its cash flows (interest payments) attributable to changes in the LIBOR index rate, the designated benchmark interest rate being hedged (the "hedged risk"), on an amount of the Company's debt principal equal to the then-outstanding swap notional. The forecasted interest payments are deemed to be probable of occurring.</w:t>
      </w:r>
    </w:p>
    <w:p>
      <w:pPr>
        <w:spacing w:after="0" w:line="8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assesses, both at the hedge's inception and on an ongoing basis, hedge effectiveness based on the overall changes in the fair value of the interest rate swap contracts. Hedge effectiveness of the interest rate swap contracts is based on a hypothetical derivative methodology. Any ineffective portion of an interest rate swap contract which is designated as a hedging instrument is recorded in current-period earnings. Changes in fair value of interest rate swap contracts not designated as hedging instruments are also recognized in earnings and included in interest expense.</w:t>
      </w:r>
    </w:p>
    <w:p>
      <w:pPr>
        <w:spacing w:after="0" w:line="63"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As of December 31, 2019, the Company had interest rate swap contracts outstanding with notional amounts aggregating $100.0 million that are designated as cash flow hedges. The Company's outstanding interest rate swap contracts mature in December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w:t>
      </w:r>
    </w:p>
    <w:p>
      <w:pPr>
        <w:spacing w:after="0" w:line="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 manage foreign currency exchange rate risk, the Company may enter into foreign currency contracts from time to time with financial institutions to limit the exposure to fluctuations in foreign currency exchange rates. The Company does not enter into foreign currency contracts for speculative or trading purposes.</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certain circumstances, the Company enters into contracts that are settled in currencies other than the functional or local currencies of the contracting parties. Accordingly, these contracts consist of the underlying operational contract and an embedded foreign currency derivative element. Hedge accounting is not applied to the embedded foreign currency derivative element and changes in their fair values are included in miscellaneous, net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Derivatives</w:t>
      </w:r>
    </w:p>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2018, the Company exercised RLJE Warrants (See Note 7). In addition, the interest on the RLJE Term Loans to be paid in shares of RLJE common stock (prior to the acquisition) is an embedded derivative. Both the RLJE Warrants and the embedded derivative for the future interest to be paid in shares of RLJE common stock were remeasured at the end of each period with changes in fair value recorded in the consolidated statement of income.</w:t>
      </w:r>
    </w:p>
    <w:p>
      <w:pPr>
        <w:spacing w:after="0" w:line="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years ended December 31, 2018 and 2017, the Company recorded a gain of $30.2 million and $20.2 million, respectively, related to the RLJE Warrants which is included in miscellaneous, net in the consolidated statement of income.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consolidated balance sheets are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00" w:type="dxa"/>
            <w:vAlign w:val="bottom"/>
            <w:gridSpan w:val="2"/>
          </w:tcPr>
          <w:p>
            <w:pPr>
              <w:ind w:left="1280"/>
              <w:spacing w:after="0"/>
              <w:rPr>
                <w:sz w:val="20"/>
                <w:szCs w:val="20"/>
                <w:color w:val="auto"/>
              </w:rPr>
            </w:pPr>
            <w:r>
              <w:rPr>
                <w:rFonts w:ascii="Arial" w:cs="Arial" w:eastAsia="Arial" w:hAnsi="Arial"/>
                <w:sz w:val="16"/>
                <w:szCs w:val="16"/>
                <w:b w:val="1"/>
                <w:bCs w:val="1"/>
                <w:color w:val="auto"/>
              </w:rPr>
              <w:t>Balance Sheet Location</w:t>
            </w:r>
          </w:p>
        </w:tc>
        <w:tc>
          <w:tcPr>
            <w:tcW w:w="34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r>
      <w:tr>
        <w:trPr>
          <w:trHeight w:val="33"/>
        </w:trPr>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(In thousands)</w:t>
            </w:r>
          </w:p>
        </w:tc>
        <w:tc>
          <w:tcPr>
            <w:tcW w:w="4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36"/>
        </w:trPr>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8"/>
              </w:rPr>
              <w:t>Derivatives designated as hedging instruments:</w:t>
            </w:r>
          </w:p>
        </w:tc>
        <w:tc>
          <w:tcPr>
            <w:tcW w:w="4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5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r>
      <w:tr>
        <w:trPr>
          <w:trHeight w:val="243"/>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w w:val="91"/>
              </w:rPr>
              <w:t>Derivatives not designated as hedging instruments:</w:t>
            </w:r>
          </w:p>
        </w:tc>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4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5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4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406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1,452</w:t>
            </w:r>
          </w:p>
        </w:tc>
      </w:tr>
      <w:tr>
        <w:trPr>
          <w:trHeight w:val="27"/>
        </w:trPr>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2,057</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5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700</w:t>
            </w:r>
          </w:p>
        </w:tc>
      </w:tr>
      <w:tr>
        <w:trPr>
          <w:trHeight w:val="243"/>
        </w:trPr>
        <w:tc>
          <w:tcPr>
            <w:tcW w:w="406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2,421</w:t>
            </w: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 of the gains and losses related to the Company's derivative financial instruments designated as hedging instruments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3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Location of Gain or</w:t>
            </w:r>
          </w:p>
        </w:tc>
        <w:tc>
          <w:tcPr>
            <w:tcW w:w="32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980" w:type="dxa"/>
            <w:vAlign w:val="bottom"/>
          </w:tcPr>
          <w:p>
            <w:pPr>
              <w:spacing w:after="0"/>
              <w:rPr>
                <w:sz w:val="18"/>
                <w:szCs w:val="18"/>
                <w:color w:val="auto"/>
              </w:rPr>
            </w:pPr>
          </w:p>
        </w:tc>
        <w:tc>
          <w:tcPr>
            <w:tcW w:w="232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(Loss) in Earnings</w:t>
            </w:r>
          </w:p>
        </w:tc>
        <w:tc>
          <w:tcPr>
            <w:tcW w:w="1020" w:type="dxa"/>
            <w:vAlign w:val="bottom"/>
          </w:tcPr>
          <w:p>
            <w:pPr>
              <w:spacing w:after="0"/>
              <w:rPr>
                <w:sz w:val="18"/>
                <w:szCs w:val="18"/>
                <w:color w:val="auto"/>
              </w:rPr>
            </w:pPr>
          </w:p>
        </w:tc>
        <w:tc>
          <w:tcPr>
            <w:tcW w:w="2260" w:type="dxa"/>
            <w:vAlign w:val="bottom"/>
            <w:gridSpan w:val="3"/>
          </w:tcPr>
          <w:p>
            <w:pPr>
              <w:jc w:val="right"/>
              <w:ind w:right="1040"/>
              <w:spacing w:after="0"/>
              <w:rPr>
                <w:sz w:val="20"/>
                <w:szCs w:val="20"/>
                <w:color w:val="auto"/>
              </w:rPr>
            </w:pPr>
            <w:r>
              <w:rPr>
                <w:rFonts w:ascii="Arial" w:cs="Arial" w:eastAsia="Arial" w:hAnsi="Arial"/>
                <w:sz w:val="16"/>
                <w:szCs w:val="16"/>
                <w:b w:val="1"/>
                <w:bCs w:val="1"/>
                <w:color w:val="auto"/>
                <w:w w:val="95"/>
              </w:rPr>
              <w:t>into Earnings (a)</w:t>
            </w:r>
          </w:p>
        </w:tc>
      </w:tr>
      <w:tr>
        <w:trPr>
          <w:trHeight w:val="33"/>
        </w:trPr>
        <w:tc>
          <w:tcPr>
            <w:tcW w:w="33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217"/>
        </w:trPr>
        <w:tc>
          <w:tcPr>
            <w:tcW w:w="3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Years Ended December 31,</w:t>
            </w:r>
          </w:p>
        </w:tc>
      </w:tr>
      <w:tr>
        <w:trPr>
          <w:trHeight w:val="33"/>
        </w:trPr>
        <w:tc>
          <w:tcPr>
            <w:tcW w:w="9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17"/>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3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26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2018</w:t>
            </w:r>
          </w:p>
        </w:tc>
      </w:tr>
      <w:tr>
        <w:trPr>
          <w:trHeight w:val="33"/>
        </w:trPr>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-8255</wp:posOffset>
            </wp:positionV>
            <wp:extent cx="7212330" cy="308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00" w:space="200"/>
            <w:col w:w="8720"/>
          </w:cols>
          <w:pgMar w:left="240" w:top="125" w:right="239" w:bottom="1440" w:gutter="0" w:footer="0" w:header="0"/>
          <w:type w:val="continuous"/>
        </w:sectPr>
      </w:pPr>
    </w:p>
    <w:p>
      <w:pPr>
        <w:ind w:left="20"/>
        <w:spacing w:after="0"/>
        <w:tabs>
          <w:tab w:leader="none" w:pos="2700" w:val="left"/>
          <w:tab w:leader="none" w:pos="3640" w:val="left"/>
          <w:tab w:leader="none" w:pos="4400" w:val="left"/>
          <w:tab w:leader="none" w:pos="5480" w:val="left"/>
          <w:tab w:leader="none" w:pos="6420" w:val="left"/>
          <w:tab w:leader="none" w:pos="8060" w:val="left"/>
          <w:tab w:leader="none" w:pos="9220" w:val="left"/>
          <w:tab w:leader="none" w:pos="9780" w:val="left"/>
          <w:tab w:leader="none" w:pos="1102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(1,609)</w:t>
        <w:tab/>
        <w:t>$</w:t>
      </w:r>
      <w:r>
        <w:rPr>
          <w:sz w:val="20"/>
          <w:szCs w:val="20"/>
          <w:color w:val="auto"/>
        </w:rPr>
        <w:tab/>
      </w:r>
      <w:r>
        <w:rPr>
          <w:rFonts w:ascii="Arial" w:cs="Arial" w:eastAsia="Arial" w:hAnsi="Arial"/>
          <w:sz w:val="18"/>
          <w:szCs w:val="18"/>
          <w:color w:val="auto"/>
        </w:rPr>
        <w:t>(356)</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31750</wp:posOffset>
            </wp:positionV>
            <wp:extent cx="2092325"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2092325" cy="342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31750</wp:posOffset>
            </wp:positionV>
            <wp:extent cx="2092325"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2092325" cy="34290"/>
                    </a:xfrm>
                    <a:prstGeom prst="rect">
                      <a:avLst/>
                    </a:prstGeom>
                    <a:noFill/>
                  </pic:spPr>
                </pic:pic>
              </a:graphicData>
            </a:graphic>
          </wp:anchor>
        </w:drawing>
      </w:r>
    </w:p>
    <w:p>
      <w:pPr>
        <w:spacing w:after="0" w:line="178" w:lineRule="exact"/>
        <w:rPr>
          <w:sz w:val="20"/>
          <w:szCs w:val="20"/>
          <w:color w:val="auto"/>
        </w:rPr>
      </w:pPr>
    </w:p>
    <w:p>
      <w:pPr>
        <w:ind w:left="580" w:right="160" w:hanging="329"/>
        <w:spacing w:after="0" w:line="277" w:lineRule="auto"/>
        <w:tabs>
          <w:tab w:leader="none" w:pos="5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the hedging relationship or related to any amount excluded from the assessment of hedge effectiveness for the years ended December 31, 2019 and 2018.</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of the gains and losses related to the Company's derivative financial instruments not designated as hedging instruments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Location of Gain (Loss) Recognized</w:t>
            </w:r>
          </w:p>
        </w:tc>
        <w:tc>
          <w:tcPr>
            <w:tcW w:w="360" w:type="dxa"/>
            <w:vAlign w:val="bottom"/>
          </w:tcPr>
          <w:p>
            <w:pPr>
              <w:spacing w:after="0"/>
              <w:rPr>
                <w:sz w:val="17"/>
                <w:szCs w:val="17"/>
                <w:color w:val="auto"/>
              </w:rPr>
            </w:pPr>
          </w:p>
        </w:tc>
        <w:tc>
          <w:tcPr>
            <w:tcW w:w="4620" w:type="dxa"/>
            <w:vAlign w:val="bottom"/>
            <w:gridSpan w:val="8"/>
            <w:vMerge w:val="restart"/>
          </w:tcPr>
          <w:p>
            <w:pPr>
              <w:jc w:val="center"/>
              <w:ind w:right="272"/>
              <w:spacing w:after="0"/>
              <w:rPr>
                <w:sz w:val="20"/>
                <w:szCs w:val="20"/>
                <w:color w:val="auto"/>
              </w:rPr>
            </w:pPr>
            <w:r>
              <w:rPr>
                <w:rFonts w:ascii="Arial" w:cs="Arial" w:eastAsia="Arial" w:hAnsi="Arial"/>
                <w:sz w:val="16"/>
                <w:szCs w:val="16"/>
                <w:b w:val="1"/>
                <w:bCs w:val="1"/>
                <w:color w:val="auto"/>
                <w:w w:val="90"/>
              </w:rPr>
              <w:t>Amount of Gain (Loss) Recognized in Earnings</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7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in Earnings on Derivatives</w:t>
            </w:r>
          </w:p>
        </w:tc>
        <w:tc>
          <w:tcPr>
            <w:tcW w:w="360" w:type="dxa"/>
            <w:vAlign w:val="bottom"/>
          </w:tcPr>
          <w:p>
            <w:pPr>
              <w:spacing w:after="0"/>
              <w:rPr>
                <w:sz w:val="2"/>
                <w:szCs w:val="2"/>
                <w:color w:val="auto"/>
              </w:rPr>
            </w:pPr>
          </w:p>
        </w:tc>
        <w:tc>
          <w:tcPr>
            <w:tcW w:w="46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7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on Derivatives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6"/>
          </w:tcPr>
          <w:p>
            <w:pPr>
              <w:jc w:val="center"/>
              <w:ind w:right="190"/>
              <w:spacing w:after="0"/>
              <w:rPr>
                <w:sz w:val="20"/>
                <w:szCs w:val="20"/>
                <w:color w:val="auto"/>
              </w:rPr>
            </w:pPr>
            <w:r>
              <w:rPr>
                <w:rFonts w:ascii="Arial" w:cs="Arial" w:eastAsia="Arial" w:hAnsi="Arial"/>
                <w:sz w:val="16"/>
                <w:szCs w:val="16"/>
                <w:b w:val="1"/>
                <w:bCs w:val="1"/>
                <w:color w:val="auto"/>
                <w:w w:val="90"/>
              </w:rPr>
              <w:t>Years Ended December 31,</w:t>
            </w: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2018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Interest expense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Miscellaneous,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derivatives</w:t>
            </w:r>
          </w:p>
        </w:tc>
        <w:tc>
          <w:tcPr>
            <w:tcW w:w="2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Miscellaneous,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42,092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24,223</w:t>
            </w:r>
          </w:p>
        </w:tc>
        <w:tc>
          <w:tcPr>
            <w:tcW w:w="0" w:type="dxa"/>
            <w:vAlign w:val="bottom"/>
          </w:tcPr>
          <w:p>
            <w:pPr>
              <w:spacing w:after="0"/>
              <w:rPr>
                <w:sz w:val="1"/>
                <w:szCs w:val="1"/>
                <w:color w:val="auto"/>
              </w:rPr>
            </w:pPr>
          </w:p>
        </w:tc>
      </w:tr>
      <w:tr>
        <w:trPr>
          <w:trHeight w:val="264"/>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41,927</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21,268</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8" w:name="page99"/>
    <w:bookmarkEnd w:id="98"/>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subsidiaries of the Company lease office space and equipment under long-term non-cancelable lease agreements which expire at various dates through 2034.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spacing w:after="0" w:line="64"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leases included in the consolidated balance sheets as follows: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400" w:type="dxa"/>
            <w:vAlign w:val="bottom"/>
            <w:gridSpan w:val="2"/>
          </w:tcPr>
          <w:p>
            <w:pPr>
              <w:ind w:left="1820"/>
              <w:spacing w:after="0"/>
              <w:rPr>
                <w:sz w:val="20"/>
                <w:szCs w:val="20"/>
                <w:color w:val="auto"/>
              </w:rPr>
            </w:pPr>
            <w:r>
              <w:rPr>
                <w:rFonts w:ascii="Arial" w:cs="Arial" w:eastAsia="Arial" w:hAnsi="Arial"/>
                <w:sz w:val="16"/>
                <w:szCs w:val="16"/>
                <w:b w:val="1"/>
                <w:bCs w:val="1"/>
                <w:color w:val="auto"/>
              </w:rPr>
              <w:t>Balance Sheet Location</w:t>
            </w:r>
          </w:p>
        </w:tc>
        <w:tc>
          <w:tcPr>
            <w:tcW w:w="200" w:type="dxa"/>
            <w:vAlign w:val="bottom"/>
          </w:tcPr>
          <w:p>
            <w:pPr>
              <w:spacing w:after="0"/>
              <w:rPr>
                <w:sz w:val="20"/>
                <w:szCs w:val="20"/>
                <w:color w:val="auto"/>
              </w:rPr>
            </w:pPr>
          </w:p>
        </w:tc>
        <w:tc>
          <w:tcPr>
            <w:tcW w:w="1660" w:type="dxa"/>
            <w:vAlign w:val="bottom"/>
          </w:tcPr>
          <w:p>
            <w:pPr>
              <w:jc w:val="right"/>
              <w:ind w:right="191"/>
              <w:spacing w:after="0"/>
              <w:rPr>
                <w:sz w:val="20"/>
                <w:szCs w:val="20"/>
                <w:color w:val="auto"/>
              </w:rPr>
            </w:pPr>
            <w:r>
              <w:rPr>
                <w:rFonts w:ascii="Arial" w:cs="Arial" w:eastAsia="Arial" w:hAnsi="Arial"/>
                <w:sz w:val="16"/>
                <w:szCs w:val="16"/>
                <w:b w:val="1"/>
                <w:bCs w:val="1"/>
                <w:color w:val="auto"/>
                <w:w w:val="94"/>
              </w:rPr>
              <w:t>December 31, 2019</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39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5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120" w:type="dxa"/>
            <w:vAlign w:val="bottom"/>
            <w:tcBorders>
              <w:top w:val="single" w:sz="8" w:color="CCEEFF"/>
            </w:tcBorders>
            <w:shd w:val="clear" w:color="auto" w:fill="CCEEFF"/>
          </w:tcPr>
          <w:p>
            <w:pPr>
              <w:spacing w:after="0"/>
              <w:rPr>
                <w:sz w:val="4"/>
                <w:szCs w:val="4"/>
                <w:color w:val="auto"/>
              </w:rPr>
            </w:pPr>
          </w:p>
        </w:tc>
        <w:tc>
          <w:tcPr>
            <w:tcW w:w="5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Operating</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170,056</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Finance</w:t>
            </w:r>
          </w:p>
        </w:tc>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15,713</w:t>
            </w:r>
          </w:p>
        </w:tc>
      </w:tr>
      <w:tr>
        <w:trPr>
          <w:trHeight w:val="264"/>
        </w:trPr>
        <w:tc>
          <w:tcPr>
            <w:tcW w:w="20" w:type="dxa"/>
            <w:vAlign w:val="bottom"/>
          </w:tcPr>
          <w:p>
            <w:pPr>
              <w:spacing w:after="0"/>
              <w:rPr>
                <w:sz w:val="22"/>
                <w:szCs w:val="22"/>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Total lease assets</w:t>
            </w:r>
          </w:p>
        </w:tc>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185,769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1"/>
              </w:rPr>
              <w:t>Liabilities</w:t>
            </w:r>
          </w:p>
        </w:tc>
        <w:tc>
          <w:tcPr>
            <w:tcW w:w="3120" w:type="dxa"/>
            <w:vAlign w:val="bottom"/>
            <w:tcBorders>
              <w:bottom w:val="single" w:sz="8" w:color="CCEEFF"/>
            </w:tcBorders>
            <w:shd w:val="clear" w:color="auto" w:fill="CCEEFF"/>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Current:</w:t>
            </w:r>
          </w:p>
        </w:tc>
        <w:tc>
          <w:tcPr>
            <w:tcW w:w="5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lease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30,171</w:t>
            </w:r>
          </w:p>
        </w:tc>
      </w:tr>
      <w:tr>
        <w:trPr>
          <w:trHeight w:val="243"/>
        </w:trPr>
        <w:tc>
          <w:tcPr>
            <w:tcW w:w="20" w:type="dxa"/>
            <w:vAlign w:val="bottom"/>
          </w:tcPr>
          <w:p>
            <w:pPr>
              <w:spacing w:after="0"/>
              <w:rPr>
                <w:sz w:val="21"/>
                <w:szCs w:val="21"/>
                <w:color w:val="auto"/>
              </w:rPr>
            </w:pP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Finance</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Current portion of lease obligations</w:t>
            </w:r>
          </w:p>
        </w:tc>
        <w:tc>
          <w:tcPr>
            <w:tcW w:w="20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3,788</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33,959</w:t>
            </w:r>
          </w:p>
        </w:tc>
      </w:tr>
      <w:tr>
        <w:trPr>
          <w:trHeight w:val="223"/>
        </w:trPr>
        <w:tc>
          <w:tcPr>
            <w:tcW w:w="20" w:type="dxa"/>
            <w:vAlign w:val="bottom"/>
          </w:tcPr>
          <w:p>
            <w:pPr>
              <w:spacing w:after="0"/>
              <w:rPr>
                <w:sz w:val="19"/>
                <w:szCs w:val="19"/>
                <w:color w:val="auto"/>
              </w:rPr>
            </w:pPr>
          </w:p>
        </w:tc>
        <w:tc>
          <w:tcPr>
            <w:tcW w:w="3900" w:type="dxa"/>
            <w:vAlign w:val="bottom"/>
            <w:gridSpan w:val="3"/>
          </w:tcPr>
          <w:p>
            <w:pPr>
              <w:ind w:left="100"/>
              <w:spacing w:after="0"/>
              <w:rPr>
                <w:sz w:val="20"/>
                <w:szCs w:val="20"/>
                <w:color w:val="auto"/>
              </w:rPr>
            </w:pPr>
            <w:r>
              <w:rPr>
                <w:rFonts w:ascii="Arial" w:cs="Arial" w:eastAsia="Arial" w:hAnsi="Arial"/>
                <w:sz w:val="18"/>
                <w:szCs w:val="18"/>
                <w:color w:val="auto"/>
              </w:rPr>
              <w:t>Noncurrent:</w:t>
            </w: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193,570</w:t>
            </w:r>
          </w:p>
        </w:tc>
      </w:tr>
      <w:tr>
        <w:trPr>
          <w:trHeight w:val="243"/>
        </w:trPr>
        <w:tc>
          <w:tcPr>
            <w:tcW w:w="20" w:type="dxa"/>
            <w:vAlign w:val="bottom"/>
          </w:tcPr>
          <w:p>
            <w:pPr>
              <w:spacing w:after="0"/>
              <w:rPr>
                <w:sz w:val="21"/>
                <w:szCs w:val="21"/>
                <w:color w:val="auto"/>
              </w:rPr>
            </w:pPr>
          </w:p>
        </w:tc>
        <w:tc>
          <w:tcPr>
            <w:tcW w:w="3900" w:type="dxa"/>
            <w:vAlign w:val="bottom"/>
            <w:gridSpan w:val="3"/>
          </w:tcPr>
          <w:p>
            <w:pPr>
              <w:ind w:left="320"/>
              <w:spacing w:after="0"/>
              <w:rPr>
                <w:sz w:val="20"/>
                <w:szCs w:val="20"/>
                <w:color w:val="auto"/>
              </w:rPr>
            </w:pPr>
            <w:r>
              <w:rPr>
                <w:rFonts w:ascii="Arial" w:cs="Arial" w:eastAsia="Arial" w:hAnsi="Arial"/>
                <w:sz w:val="18"/>
                <w:szCs w:val="18"/>
                <w:color w:val="auto"/>
              </w:rPr>
              <w:t>Finance</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Lease obligations</w:t>
            </w:r>
          </w:p>
        </w:tc>
        <w:tc>
          <w:tcPr>
            <w:tcW w:w="20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17,477</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211,047</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39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lease liabilities</w:t>
            </w:r>
          </w:p>
        </w:tc>
        <w:tc>
          <w:tcPr>
            <w:tcW w:w="5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245,006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Upon transition to ASC Topic 842, the Company used the incremental borrowing rate on January 1, 2019 for all operating leases that commenced prior to that date.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 costs included in the consolidated statement of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8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Income Statement Location</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December 31, 2019</w:t>
            </w: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33,184</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leased assets</w:t>
            </w: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2,472</w:t>
            </w:r>
          </w:p>
        </w:tc>
      </w:tr>
      <w:tr>
        <w:trPr>
          <w:trHeight w:val="243"/>
        </w:trPr>
        <w:tc>
          <w:tcPr>
            <w:tcW w:w="422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1880" w:type="dxa"/>
            <w:vAlign w:val="bottom"/>
          </w:tcPr>
          <w:p>
            <w:pPr>
              <w:jc w:val="right"/>
              <w:ind w:right="51"/>
              <w:spacing w:after="0"/>
              <w:rPr>
                <w:sz w:val="20"/>
                <w:szCs w:val="20"/>
                <w:color w:val="auto"/>
              </w:rPr>
            </w:pPr>
            <w:r>
              <w:rPr>
                <w:rFonts w:ascii="Arial" w:cs="Arial" w:eastAsia="Arial" w:hAnsi="Arial"/>
                <w:sz w:val="18"/>
                <w:szCs w:val="18"/>
                <w:color w:val="auto"/>
              </w:rPr>
              <w:t>2,513</w:t>
            </w:r>
          </w:p>
        </w:tc>
      </w:tr>
      <w:tr>
        <w:trPr>
          <w:trHeight w:val="27"/>
        </w:trPr>
        <w:tc>
          <w:tcPr>
            <w:tcW w:w="42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3,309</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Pr>
          <w:p>
            <w:pPr>
              <w:spacing w:after="0"/>
              <w:rPr>
                <w:sz w:val="21"/>
                <w:szCs w:val="21"/>
                <w:color w:val="auto"/>
              </w:rPr>
            </w:pPr>
          </w:p>
        </w:tc>
        <w:tc>
          <w:tcPr>
            <w:tcW w:w="1880" w:type="dxa"/>
            <w:vAlign w:val="bottom"/>
          </w:tcPr>
          <w:p>
            <w:pPr>
              <w:jc w:val="right"/>
              <w:ind w:right="51"/>
              <w:spacing w:after="0"/>
              <w:rPr>
                <w:sz w:val="20"/>
                <w:szCs w:val="20"/>
                <w:color w:val="auto"/>
              </w:rPr>
            </w:pPr>
            <w:r>
              <w:rPr>
                <w:rFonts w:ascii="Arial" w:cs="Arial" w:eastAsia="Arial" w:hAnsi="Arial"/>
                <w:sz w:val="18"/>
                <w:szCs w:val="18"/>
                <w:color w:val="auto"/>
              </w:rPr>
              <w:t>1,068</w:t>
            </w:r>
          </w:p>
        </w:tc>
      </w:tr>
      <w:tr>
        <w:trPr>
          <w:trHeight w:val="27"/>
        </w:trPr>
        <w:tc>
          <w:tcPr>
            <w:tcW w:w="42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lease costs</w:t>
            </w:r>
          </w:p>
        </w:tc>
        <w:tc>
          <w:tcPr>
            <w:tcW w:w="4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42,546</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9" w:name="page100"/>
    <w:bookmarkEnd w:id="99"/>
    <w:p>
      <w:pPr>
        <w:jc w:val="center"/>
        <w:ind w:right="-3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4"/>
          </w:tcPr>
          <w:p>
            <w:pPr>
              <w:spacing w:after="0"/>
              <w:rPr>
                <w:sz w:val="20"/>
                <w:szCs w:val="20"/>
                <w:color w:val="auto"/>
              </w:rPr>
            </w:pPr>
            <w:r>
              <w:rPr>
                <w:rFonts w:ascii="Arial" w:cs="Arial" w:eastAsia="Arial" w:hAnsi="Arial"/>
                <w:sz w:val="18"/>
                <w:szCs w:val="18"/>
                <w:color w:val="auto"/>
              </w:rPr>
              <w:t>The following table summarizes the maturity of lease liabilities for operating and finance leases:</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Finance Leases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45,309</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32,681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37,070</w:t>
            </w:r>
          </w:p>
        </w:tc>
      </w:tr>
      <w:tr>
        <w:trPr>
          <w:trHeight w:val="27"/>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38,746</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34,915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39,357</w:t>
            </w:r>
          </w:p>
        </w:tc>
      </w:tr>
      <w:tr>
        <w:trPr>
          <w:trHeight w:val="27"/>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38,860</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92,963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98,160</w:t>
            </w:r>
          </w:p>
        </w:tc>
      </w:tr>
      <w:tr>
        <w:trPr>
          <w:trHeight w:val="27"/>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268,726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297,502</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44,990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52,496</w:t>
            </w:r>
          </w:p>
        </w:tc>
      </w:tr>
      <w:tr>
        <w:trPr>
          <w:trHeight w:val="27"/>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223,736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21,270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245,006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weighted average remaining lease term and discount rate for operating and finance leases:</w:t>
      </w:r>
    </w:p>
    <w:p>
      <w:pPr>
        <w:spacing w:after="0" w:line="172"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7804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remaining lease term (years):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654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4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54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458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supplemental cash paid for amounts in the measurement of lease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20" w:type="dxa"/>
            <w:vAlign w:val="bottom"/>
          </w:tcPr>
          <w:p>
            <w:pPr>
              <w:jc w:val="right"/>
              <w:ind w:right="893"/>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8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26,758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2720" w:type="dxa"/>
            <w:vAlign w:val="bottom"/>
          </w:tcPr>
          <w:p>
            <w:pPr>
              <w:jc w:val="right"/>
              <w:ind w:right="73"/>
              <w:spacing w:after="0"/>
              <w:rPr>
                <w:sz w:val="20"/>
                <w:szCs w:val="20"/>
                <w:color w:val="auto"/>
              </w:rPr>
            </w:pPr>
            <w:r>
              <w:rPr>
                <w:rFonts w:ascii="Arial" w:cs="Arial" w:eastAsia="Arial" w:hAnsi="Arial"/>
                <w:sz w:val="18"/>
                <w:szCs w:val="18"/>
                <w:color w:val="auto"/>
              </w:rPr>
              <w:t>5,115</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years ended December 31, 2019, 2018 and 2017 amounted to $38.8 million, $38.0 million and $31.7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(loss) from continuing operations before income taxes consists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Arial" w:cs="Arial" w:eastAsia="Arial" w:hAnsi="Arial"/>
                <w:sz w:val="16"/>
                <w:szCs w:val="16"/>
                <w:b w:val="1"/>
                <w:bCs w:val="1"/>
                <w:color w:val="auto"/>
                <w:w w:val="90"/>
              </w:rPr>
              <w:t>Years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2017</w:t>
            </w: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529,451</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587,346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618,955</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80" w:type="dxa"/>
            <w:vAlign w:val="bottom"/>
          </w:tcPr>
          <w:p>
            <w:pPr>
              <w:ind w:left="560"/>
              <w:spacing w:after="0"/>
              <w:rPr>
                <w:sz w:val="20"/>
                <w:szCs w:val="20"/>
                <w:color w:val="auto"/>
              </w:rPr>
            </w:pPr>
            <w:r>
              <w:rPr>
                <w:rFonts w:ascii="Arial" w:cs="Arial" w:eastAsia="Arial" w:hAnsi="Arial"/>
                <w:sz w:val="18"/>
                <w:szCs w:val="18"/>
                <w:color w:val="auto"/>
              </w:rPr>
              <w:t>(43,265)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32,927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21,423</w:t>
            </w:r>
          </w:p>
        </w:tc>
      </w:tr>
      <w:tr>
        <w:trPr>
          <w:trHeight w:val="27"/>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4"/>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486,186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620,273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640,378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attributable to continuing operations consists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23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expense: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3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81,459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80,360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162,639</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12,657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14,301</w:t>
            </w:r>
          </w:p>
        </w:tc>
      </w:tr>
      <w:tr>
        <w:trPr>
          <w:trHeight w:val="243"/>
        </w:trPr>
        <w:tc>
          <w:tcPr>
            <w:tcW w:w="6980" w:type="dxa"/>
            <w:vAlign w:val="bottom"/>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24,608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25,001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17,382</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118,724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119,024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194,322</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Deferred expense (benefit):</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34,636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(38,416)</w:t>
            </w:r>
          </w:p>
        </w:tc>
      </w:tr>
      <w:tr>
        <w:trPr>
          <w:trHeight w:val="243"/>
        </w:trPr>
        <w:tc>
          <w:tcPr>
            <w:tcW w:w="6980" w:type="dxa"/>
            <w:vAlign w:val="bottom"/>
          </w:tcPr>
          <w:p>
            <w:pPr>
              <w:ind w:left="3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(2,436)</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(7,813)</w:t>
            </w:r>
          </w:p>
        </w:tc>
      </w:tr>
      <w:tr>
        <w:trPr>
          <w:trHeight w:val="237"/>
        </w:trPr>
        <w:tc>
          <w:tcPr>
            <w:tcW w:w="69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33,367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(48,665)</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(benefit) relating to uncertain tax positions, including accrued interest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5,084</w:t>
            </w:r>
          </w:p>
        </w:tc>
      </w:tr>
      <w:tr>
        <w:trPr>
          <w:trHeight w:val="264"/>
        </w:trPr>
        <w:tc>
          <w:tcPr>
            <w:tcW w:w="69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78,470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156,306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150,741</w:t>
            </w:r>
          </w:p>
        </w:tc>
      </w:tr>
      <w:tr>
        <w:trPr>
          <w:trHeight w:val="21"/>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federal statutory income tax rate to the effective income tax rate is as follows:</w:t>
      </w:r>
    </w:p>
    <w:p>
      <w:pPr>
        <w:spacing w:after="0" w:line="226"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37465</wp:posOffset>
            </wp:positionV>
            <wp:extent cx="26073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tcPr>
          <w:p>
            <w:pPr>
              <w:spacing w:after="0"/>
              <w:rPr>
                <w:sz w:val="20"/>
                <w:szCs w:val="20"/>
                <w:color w:val="auto"/>
              </w:rPr>
            </w:pPr>
          </w:p>
        </w:tc>
      </w:tr>
      <w:tr>
        <w:trPr>
          <w:trHeight w:val="250"/>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U.S. federal statutory income tax rate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7280" w:type="dxa"/>
            <w:vAlign w:val="bottom"/>
          </w:tcPr>
          <w:p>
            <w:pPr>
              <w:ind w:left="220"/>
              <w:spacing w:after="0"/>
              <w:rPr>
                <w:sz w:val="20"/>
                <w:szCs w:val="20"/>
                <w:color w:val="auto"/>
              </w:rPr>
            </w:pPr>
            <w:r>
              <w:rPr>
                <w:rFonts w:ascii="Arial" w:cs="Arial" w:eastAsia="Arial" w:hAnsi="Arial"/>
                <w:sz w:val="18"/>
                <w:szCs w:val="18"/>
                <w:color w:val="auto"/>
              </w:rPr>
              <w:t>State and local income taxes, net of federal benefit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 of foreign operations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20"/>
              <w:spacing w:after="0"/>
              <w:rPr>
                <w:sz w:val="20"/>
                <w:szCs w:val="20"/>
                <w:color w:val="auto"/>
              </w:rPr>
            </w:pPr>
            <w:r>
              <w:rPr>
                <w:rFonts w:ascii="Arial" w:cs="Arial" w:eastAsia="Arial" w:hAnsi="Arial"/>
                <w:sz w:val="18"/>
                <w:szCs w:val="18"/>
                <w:color w:val="auto"/>
              </w:rPr>
              <w:t>Effect of rate changes on deferred taxes (a)</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Transition tax, net of foreign taxes deemed paid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20"/>
              <w:spacing w:after="0"/>
              <w:rPr>
                <w:sz w:val="20"/>
                <w:szCs w:val="20"/>
                <w:color w:val="auto"/>
              </w:rPr>
            </w:pPr>
            <w:r>
              <w:rPr>
                <w:rFonts w:ascii="Arial" w:cs="Arial" w:eastAsia="Arial" w:hAnsi="Arial"/>
                <w:sz w:val="18"/>
                <w:szCs w:val="18"/>
                <w:color w:val="auto"/>
              </w:rPr>
              <w:t>Nontaxable income attributable to noncontrolling interests</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the valuation allowance (b)</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20"/>
              <w:spacing w:after="0"/>
              <w:rPr>
                <w:sz w:val="20"/>
                <w:szCs w:val="20"/>
                <w:color w:val="auto"/>
              </w:rPr>
            </w:pPr>
            <w:r>
              <w:rPr>
                <w:rFonts w:ascii="Arial" w:cs="Arial" w:eastAsia="Arial" w:hAnsi="Arial"/>
                <w:sz w:val="18"/>
                <w:szCs w:val="18"/>
                <w:color w:val="auto"/>
              </w:rPr>
              <w:t>Domestic production activity deduction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Tax expense relating to uncertain tax positions, including accrued interest, net of deferred tax</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7"/>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benefits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7280" w:type="dxa"/>
            <w:vAlign w:val="bottom"/>
          </w:tcPr>
          <w:p>
            <w:pPr>
              <w:ind w:left="220"/>
              <w:spacing w:after="0"/>
              <w:rPr>
                <w:sz w:val="20"/>
                <w:szCs w:val="20"/>
                <w:color w:val="auto"/>
              </w:rPr>
            </w:pPr>
            <w:r>
              <w:rPr>
                <w:rFonts w:ascii="Arial" w:cs="Arial" w:eastAsia="Arial" w:hAnsi="Arial"/>
                <w:sz w:val="18"/>
                <w:szCs w:val="18"/>
                <w:color w:val="auto"/>
              </w:rPr>
              <w:t>Deferral of investment tax credit benefit (c)</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72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7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54"/>
        <w:spacing w:after="0" w:line="259" w:lineRule="auto"/>
        <w:tabs>
          <w:tab w:leader="none" w:pos="6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benefits related to effects of rate changes in the years ended December 31, 2018 and 2017, primarily relate to the one-time impact of the change in the corporate tax rate on deferred tax assets and liabilities as enacted by the Tax Cuts and Jobs Act (enacted December 22, 2017) and the one-time rate change on deferred tax assets and liabilities that resulted from the extension of certain television production cost deductions included in the Bipartisan Budget Act of 2018 (enacted February 9, 2018) and return to provision adjustments.</w:t>
      </w:r>
    </w:p>
    <w:p>
      <w:pPr>
        <w:spacing w:after="0" w:line="78" w:lineRule="exact"/>
        <w:rPr>
          <w:rFonts w:ascii="Arial" w:cs="Arial" w:eastAsia="Arial" w:hAnsi="Arial"/>
          <w:sz w:val="18"/>
          <w:szCs w:val="18"/>
          <w:color w:val="auto"/>
        </w:rPr>
      </w:pPr>
    </w:p>
    <w:p>
      <w:pPr>
        <w:jc w:val="both"/>
        <w:ind w:right="20" w:firstLine="454"/>
        <w:spacing w:after="0" w:line="286" w:lineRule="auto"/>
        <w:tabs>
          <w:tab w:leader="none" w:pos="70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year ended December 31, 2019, the decrease in valuation allowance relates primarily to the expected utilization of foreign net operating loss carryforwards resulting from the reorganization of intellectual property amongst the Company’s international subsidiaries. In the year ended December 31, 2018, the increase in valuation allowance relates primarily to a change in judgement related to U.S. foreign tax credits.</w:t>
      </w:r>
    </w:p>
    <w:p>
      <w:pPr>
        <w:spacing w:after="0" w:line="57" w:lineRule="exact"/>
        <w:rPr>
          <w:rFonts w:ascii="Arial" w:cs="Arial" w:eastAsia="Arial" w:hAnsi="Arial"/>
          <w:sz w:val="17"/>
          <w:szCs w:val="17"/>
          <w:color w:val="auto"/>
        </w:rPr>
      </w:pPr>
    </w:p>
    <w:p>
      <w:pPr>
        <w:ind w:firstLine="454"/>
        <w:spacing w:after="0" w:line="277" w:lineRule="auto"/>
        <w:tabs>
          <w:tab w:leader="none" w:pos="6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year ended December 31, 2019, the deferral of investment tax credit benefit relates to the income tax benefit recognized from investment tax credits recorded using the deferral method of accounting.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 tax effects of temporary differences that give rise to significant components of deferred tax assets or liabilities at December 31, 2019 and 2018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77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2018</w:t>
            </w:r>
          </w:p>
        </w:tc>
      </w:tr>
      <w:tr>
        <w:trPr>
          <w:trHeight w:val="189"/>
        </w:trPr>
        <w:tc>
          <w:tcPr>
            <w:tcW w:w="20" w:type="dxa"/>
            <w:vAlign w:val="bottom"/>
            <w:shd w:val="clear" w:color="auto" w:fill="CCEEFF"/>
          </w:tcPr>
          <w:p>
            <w:pPr>
              <w:spacing w:after="0"/>
              <w:rPr>
                <w:sz w:val="16"/>
                <w:szCs w:val="16"/>
                <w:color w:val="auto"/>
              </w:rPr>
            </w:pPr>
          </w:p>
        </w:tc>
        <w:tc>
          <w:tcPr>
            <w:tcW w:w="7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Tax Asset (Liability)</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auto"/>
            </w:tcBorders>
            <w:shd w:val="clear" w:color="auto" w:fill="CCEEFF"/>
          </w:tcPr>
          <w:p>
            <w:pPr>
              <w:spacing w:after="0"/>
              <w:rPr>
                <w:sz w:val="4"/>
                <w:szCs w:val="4"/>
                <w:color w:val="auto"/>
              </w:rPr>
            </w:pPr>
          </w:p>
        </w:tc>
        <w:tc>
          <w:tcPr>
            <w:tcW w:w="55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7700" w:type="dxa"/>
            <w:vAlign w:val="bottom"/>
            <w:gridSpan w:val="2"/>
          </w:tcPr>
          <w:p>
            <w:pPr>
              <w:ind w:left="320"/>
              <w:spacing w:after="0"/>
              <w:rPr>
                <w:sz w:val="20"/>
                <w:szCs w:val="20"/>
                <w:color w:val="auto"/>
              </w:rPr>
            </w:pPr>
            <w:r>
              <w:rPr>
                <w:rFonts w:ascii="Arial" w:cs="Arial" w:eastAsia="Arial" w:hAnsi="Arial"/>
                <w:sz w:val="18"/>
                <w:szCs w:val="18"/>
                <w:color w:val="auto"/>
              </w:rPr>
              <w:t>NOLs and tax credit carry forwards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103,407</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123,487</w:t>
            </w: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Compensation and benefit plans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27,835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29,294</w:t>
            </w:r>
          </w:p>
        </w:tc>
      </w:tr>
      <w:tr>
        <w:trPr>
          <w:trHeight w:val="243"/>
        </w:trPr>
        <w:tc>
          <w:tcPr>
            <w:tcW w:w="20" w:type="dxa"/>
            <w:vAlign w:val="bottom"/>
          </w:tcPr>
          <w:p>
            <w:pPr>
              <w:spacing w:after="0"/>
              <w:rPr>
                <w:sz w:val="21"/>
                <w:szCs w:val="21"/>
                <w:color w:val="auto"/>
              </w:rPr>
            </w:pPr>
          </w:p>
        </w:tc>
        <w:tc>
          <w:tcPr>
            <w:tcW w:w="7700" w:type="dxa"/>
            <w:vAlign w:val="bottom"/>
            <w:gridSpan w:val="2"/>
          </w:tcPr>
          <w:p>
            <w:pPr>
              <w:ind w:left="320"/>
              <w:spacing w:after="0"/>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981</w:t>
            </w: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Fixed assets and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37,893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24,150</w:t>
            </w:r>
          </w:p>
        </w:tc>
      </w:tr>
      <w:tr>
        <w:trPr>
          <w:trHeight w:val="243"/>
        </w:trPr>
        <w:tc>
          <w:tcPr>
            <w:tcW w:w="20" w:type="dxa"/>
            <w:vAlign w:val="bottom"/>
          </w:tcPr>
          <w:p>
            <w:pPr>
              <w:spacing w:after="0"/>
              <w:rPr>
                <w:sz w:val="21"/>
                <w:szCs w:val="21"/>
                <w:color w:val="auto"/>
              </w:rPr>
            </w:pPr>
          </w:p>
        </w:tc>
        <w:tc>
          <w:tcPr>
            <w:tcW w:w="7700" w:type="dxa"/>
            <w:vAlign w:val="bottom"/>
            <w:gridSpan w:val="2"/>
          </w:tcPr>
          <w:p>
            <w:pPr>
              <w:ind w:left="320"/>
              <w:spacing w:after="0"/>
              <w:rPr>
                <w:sz w:val="20"/>
                <w:szCs w:val="20"/>
                <w:color w:val="auto"/>
              </w:rPr>
            </w:pPr>
            <w:r>
              <w:rPr>
                <w:rFonts w:ascii="Arial" w:cs="Arial" w:eastAsia="Arial" w:hAnsi="Arial"/>
                <w:sz w:val="18"/>
                <w:szCs w:val="18"/>
                <w:color w:val="auto"/>
              </w:rPr>
              <w:t>Accrued interest expense</w:t>
            </w:r>
          </w:p>
        </w:tc>
        <w:tc>
          <w:tcPr>
            <w:tcW w:w="4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7,202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8,832</w:t>
            </w: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27,276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24,594</w:t>
            </w:r>
          </w:p>
        </w:tc>
      </w:tr>
      <w:tr>
        <w:trPr>
          <w:trHeight w:val="237"/>
        </w:trPr>
        <w:tc>
          <w:tcPr>
            <w:tcW w:w="20" w:type="dxa"/>
            <w:vAlign w:val="bottom"/>
          </w:tcPr>
          <w:p>
            <w:pPr>
              <w:spacing w:after="0"/>
              <w:rPr>
                <w:sz w:val="20"/>
                <w:szCs w:val="20"/>
                <w:color w:val="auto"/>
              </w:rPr>
            </w:pPr>
          </w:p>
        </w:tc>
        <w:tc>
          <w:tcPr>
            <w:tcW w:w="7700" w:type="dxa"/>
            <w:vAlign w:val="bottom"/>
            <w:gridSpan w:val="2"/>
          </w:tcPr>
          <w:p>
            <w:pPr>
              <w:ind w:left="640"/>
              <w:spacing w:after="0"/>
              <w:rPr>
                <w:sz w:val="20"/>
                <w:szCs w:val="20"/>
                <w:color w:val="auto"/>
              </w:rPr>
            </w:pPr>
            <w:r>
              <w:rPr>
                <w:rFonts w:ascii="Arial" w:cs="Arial" w:eastAsia="Arial" w:hAnsi="Arial"/>
                <w:sz w:val="18"/>
                <w:szCs w:val="18"/>
                <w:color w:val="auto"/>
              </w:rPr>
              <w:t>Deferred tax asset</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204,041</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211,338</w:t>
            </w: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Valuation allowance</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(59,584)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(95,185)</w:t>
            </w:r>
          </w:p>
        </w:tc>
      </w:tr>
      <w:tr>
        <w:trPr>
          <w:trHeight w:val="237"/>
        </w:trPr>
        <w:tc>
          <w:tcPr>
            <w:tcW w:w="20" w:type="dxa"/>
            <w:vAlign w:val="bottom"/>
          </w:tcPr>
          <w:p>
            <w:pPr>
              <w:spacing w:after="0"/>
              <w:rPr>
                <w:sz w:val="20"/>
                <w:szCs w:val="20"/>
                <w:color w:val="auto"/>
              </w:rPr>
            </w:pPr>
          </w:p>
        </w:tc>
        <w:tc>
          <w:tcPr>
            <w:tcW w:w="7700" w:type="dxa"/>
            <w:vAlign w:val="bottom"/>
            <w:gridSpan w:val="2"/>
          </w:tcPr>
          <w:p>
            <w:pPr>
              <w:ind w:left="640"/>
              <w:spacing w:after="0"/>
              <w:rPr>
                <w:sz w:val="20"/>
                <w:szCs w:val="20"/>
                <w:color w:val="auto"/>
              </w:rPr>
            </w:pPr>
            <w:r>
              <w:rPr>
                <w:rFonts w:ascii="Arial" w:cs="Arial" w:eastAsia="Arial" w:hAnsi="Arial"/>
                <w:sz w:val="18"/>
                <w:szCs w:val="18"/>
                <w:color w:val="auto"/>
              </w:rPr>
              <w:t>Net deferred tax asset</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144,457</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116,153</w:t>
            </w:r>
          </w:p>
        </w:tc>
      </w:tr>
      <w:tr>
        <w:trPr>
          <w:trHeight w:val="27"/>
        </w:trPr>
        <w:tc>
          <w:tcPr>
            <w:tcW w:w="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Prepaid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w:t>
            </w:r>
          </w:p>
        </w:tc>
      </w:tr>
      <w:tr>
        <w:trPr>
          <w:trHeight w:val="243"/>
        </w:trPr>
        <w:tc>
          <w:tcPr>
            <w:tcW w:w="20" w:type="dxa"/>
            <w:vAlign w:val="bottom"/>
          </w:tcPr>
          <w:p>
            <w:pPr>
              <w:spacing w:after="0"/>
              <w:rPr>
                <w:sz w:val="21"/>
                <w:szCs w:val="21"/>
                <w:color w:val="auto"/>
              </w:rPr>
            </w:pPr>
          </w:p>
        </w:tc>
        <w:tc>
          <w:tcPr>
            <w:tcW w:w="7700" w:type="dxa"/>
            <w:vAlign w:val="bottom"/>
            <w:gridSpan w:val="2"/>
          </w:tcPr>
          <w:p>
            <w:pPr>
              <w:ind w:left="320"/>
              <w:spacing w:after="0"/>
              <w:rPr>
                <w:sz w:val="20"/>
                <w:szCs w:val="20"/>
                <w:color w:val="auto"/>
              </w:rPr>
            </w:pPr>
            <w:r>
              <w:rPr>
                <w:rFonts w:ascii="Arial" w:cs="Arial" w:eastAsia="Arial" w:hAnsi="Arial"/>
                <w:sz w:val="18"/>
                <w:szCs w:val="18"/>
                <w:color w:val="auto"/>
              </w:rPr>
              <w:t>Fixed assets and intangible assets</w:t>
            </w: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(93,300)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(90,960)</w:t>
            </w: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Investments in partnerships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(105,062)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(121,156)</w:t>
            </w:r>
          </w:p>
        </w:tc>
      </w:tr>
      <w:tr>
        <w:trPr>
          <w:trHeight w:val="243"/>
        </w:trPr>
        <w:tc>
          <w:tcPr>
            <w:tcW w:w="20" w:type="dxa"/>
            <w:vAlign w:val="bottom"/>
          </w:tcPr>
          <w:p>
            <w:pPr>
              <w:spacing w:after="0"/>
              <w:rPr>
                <w:sz w:val="21"/>
                <w:szCs w:val="21"/>
                <w:color w:val="auto"/>
              </w:rPr>
            </w:pPr>
          </w:p>
        </w:tc>
        <w:tc>
          <w:tcPr>
            <w:tcW w:w="7700" w:type="dxa"/>
            <w:vAlign w:val="bottom"/>
            <w:gridSpan w:val="2"/>
          </w:tcPr>
          <w:p>
            <w:pPr>
              <w:ind w:left="32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(30,931)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(29,694)</w:t>
            </w:r>
          </w:p>
        </w:tc>
      </w:tr>
      <w:tr>
        <w:trPr>
          <w:trHeight w:val="27"/>
        </w:trPr>
        <w:tc>
          <w:tcPr>
            <w:tcW w:w="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Deferred tax liability</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(229,823)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(242,324)</w:t>
            </w:r>
          </w:p>
        </w:tc>
      </w:tr>
      <w:tr>
        <w:trPr>
          <w:trHeight w:val="264"/>
        </w:trPr>
        <w:tc>
          <w:tcPr>
            <w:tcW w:w="20" w:type="dxa"/>
            <w:vAlign w:val="bottom"/>
          </w:tcPr>
          <w:p>
            <w:pPr>
              <w:spacing w:after="0"/>
              <w:rPr>
                <w:sz w:val="22"/>
                <w:szCs w:val="22"/>
                <w:color w:val="auto"/>
              </w:rPr>
            </w:pPr>
          </w:p>
        </w:tc>
        <w:tc>
          <w:tcPr>
            <w:tcW w:w="7700" w:type="dxa"/>
            <w:vAlign w:val="bottom"/>
            <w:gridSpan w:val="2"/>
          </w:tcPr>
          <w:p>
            <w:pPr>
              <w:ind w:left="320"/>
              <w:spacing w:after="0"/>
              <w:rPr>
                <w:sz w:val="20"/>
                <w:szCs w:val="20"/>
                <w:color w:val="auto"/>
              </w:rPr>
            </w:pPr>
            <w:r>
              <w:rPr>
                <w:rFonts w:ascii="Arial" w:cs="Arial" w:eastAsia="Arial" w:hAnsi="Arial"/>
                <w:sz w:val="18"/>
                <w:szCs w:val="18"/>
                <w:color w:val="auto"/>
              </w:rPr>
              <w:t>Total net deferred tax liability</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(85,366)</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(126,171)</w:t>
            </w: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At December 31, 2019, the Company had investment tax credit carry forwards of approximately $33.7 million, expiring on various dates from 2031 through 2034 and foreign tax credit carry forwards of approximately $28.9 million, expiring on various dates from 2020 through 2029, which have been reduced by a valuation allowance of $28.1 million as it is more likely than not that these carry forwards will not be realized. The Company had net operating loss carry forwards of approximately $466.7 million, related primarily to federal and state net operating losses acquired as a result of the purchase of the outstanding shares of RLJE of approximately $158.5 million and to net operating loss carryforwards of our foreign subsidiaries. The deferred tax asset related to the federal and state net operating loss carryforward of approximately $27.8 million has expiration dates ranging from 2022 through 2037 and has been reduced by a valuation allowance of approximately $9.9 million that was recorded through goodwill as part of purchase accounting. Although the foreign net operating loss carry forward periods range from 5 years to unlimited, the related deferred tax assets of approximately $45.2 million for these carry forwards have been reduced by a valuation allowance of approximately $20.2 million as it is more likely than not that these carry forwards will not be realized. The remainder of the valuation allowance at December 31, 2019 relates primarily to deferred tax assets attributable to temporary differences of certain foreign subsidiaries for which it is more likely than not that these deferred tax assets will not be realized.</w:t>
      </w:r>
    </w:p>
    <w:p>
      <w:pPr>
        <w:spacing w:after="0" w:line="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2019, $1.3 million relating to amortization of tax deductible second component goodwill was realized as a reduction in tax liability (as determined on a 'with-and-without' approach).</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At December 31, 2019, the liability for uncertain tax positions was $18.6 million, excluding the related accrued interest liability of $4.6 million and deferred tax assets of $4.1 million. All of such unrecognized tax benefits, if recognized, would reduce the Company's income tax expense and effective tax rate.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of the beginning to ending amount of the liability for uncertain tax positions (excluding related accrued interest and deferred tax benefit)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6"/>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23,169</w:t>
            </w:r>
          </w:p>
        </w:tc>
      </w:tr>
      <w:tr>
        <w:trPr>
          <w:trHeight w:val="243"/>
        </w:trPr>
        <w:tc>
          <w:tcPr>
            <w:tcW w:w="9260" w:type="dxa"/>
            <w:vAlign w:val="bottom"/>
          </w:tcPr>
          <w:p>
            <w:pPr>
              <w:ind w:left="340"/>
              <w:spacing w:after="0"/>
              <w:rPr>
                <w:sz w:val="20"/>
                <w:szCs w:val="20"/>
                <w:color w:val="auto"/>
              </w:rPr>
            </w:pPr>
            <w:r>
              <w:rPr>
                <w:rFonts w:ascii="Arial" w:cs="Arial" w:eastAsia="Arial" w:hAnsi="Arial"/>
                <w:sz w:val="18"/>
                <w:szCs w:val="18"/>
                <w:color w:val="auto"/>
              </w:rPr>
              <w:t>Increases related to current year tax positions</w:t>
            </w:r>
          </w:p>
        </w:tc>
        <w:tc>
          <w:tcPr>
            <w:tcW w:w="8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2,043</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Increases related to prior year tax positions</w:t>
            </w:r>
          </w:p>
        </w:tc>
        <w:tc>
          <w:tcPr>
            <w:tcW w:w="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4,880</w:t>
            </w:r>
          </w:p>
        </w:tc>
      </w:tr>
      <w:tr>
        <w:trPr>
          <w:trHeight w:val="243"/>
        </w:trPr>
        <w:tc>
          <w:tcPr>
            <w:tcW w:w="9260" w:type="dxa"/>
            <w:vAlign w:val="bottom"/>
          </w:tcPr>
          <w:p>
            <w:pPr>
              <w:ind w:left="340"/>
              <w:spacing w:after="0"/>
              <w:rPr>
                <w:sz w:val="20"/>
                <w:szCs w:val="20"/>
                <w:color w:val="auto"/>
              </w:rPr>
            </w:pPr>
            <w:r>
              <w:rPr>
                <w:rFonts w:ascii="Arial" w:cs="Arial" w:eastAsia="Arial" w:hAnsi="Arial"/>
                <w:sz w:val="18"/>
                <w:szCs w:val="18"/>
                <w:color w:val="auto"/>
              </w:rPr>
              <w:t>Decreases related to prior year tax positions</w:t>
            </w:r>
          </w:p>
        </w:tc>
        <w:tc>
          <w:tcPr>
            <w:tcW w:w="8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(6,324)</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Decreases due to settlements/payments</w:t>
            </w:r>
          </w:p>
        </w:tc>
        <w:tc>
          <w:tcPr>
            <w:tcW w:w="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(4,809)</w:t>
            </w:r>
          </w:p>
        </w:tc>
      </w:tr>
      <w:tr>
        <w:trPr>
          <w:trHeight w:val="243"/>
        </w:trPr>
        <w:tc>
          <w:tcPr>
            <w:tcW w:w="9260" w:type="dxa"/>
            <w:vAlign w:val="bottom"/>
          </w:tcPr>
          <w:p>
            <w:pPr>
              <w:ind w:left="340"/>
              <w:spacing w:after="0"/>
              <w:rPr>
                <w:sz w:val="20"/>
                <w:szCs w:val="20"/>
                <w:color w:val="auto"/>
              </w:rPr>
            </w:pPr>
            <w:r>
              <w:rPr>
                <w:rFonts w:ascii="Arial" w:cs="Arial" w:eastAsia="Arial" w:hAnsi="Arial"/>
                <w:sz w:val="18"/>
                <w:szCs w:val="18"/>
                <w:color w:val="auto"/>
              </w:rPr>
              <w:t>Decreases due to lapse of statute</w:t>
            </w:r>
          </w:p>
        </w:tc>
        <w:tc>
          <w:tcPr>
            <w:tcW w:w="8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(371)</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18,588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expense (net of the related deferred tax benefit) of $1.0 million was recognized during the year ended December 31, 2019 and is included in income tax expense in the consolidated statement of income. At December 31, 2019 and 2018, the liability for uncertain tax positions and related accrued interest noted above are included in other liabilities in the consolidated balance sheets.</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currently being audited by the State and City of New York and various other states or jurisdictions, with most of the periods under examination relating to tax years 2013 and forward.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6"/>
          </w:tcPr>
          <w:p>
            <w:pPr>
              <w:jc w:val="center"/>
              <w:ind w:right="50"/>
              <w:spacing w:after="0"/>
              <w:rPr>
                <w:sz w:val="20"/>
                <w:szCs w:val="20"/>
                <w:color w:val="auto"/>
              </w:rPr>
            </w:pPr>
            <w:r>
              <w:rPr>
                <w:rFonts w:ascii="Arial" w:cs="Arial" w:eastAsia="Arial" w:hAnsi="Arial"/>
                <w:sz w:val="16"/>
                <w:szCs w:val="16"/>
                <w:b w:val="1"/>
                <w:bCs w:val="1"/>
                <w:color w:val="auto"/>
                <w:w w:val="90"/>
              </w:rPr>
              <w:t>Payments due by period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Year 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w w:val="87"/>
              </w:rPr>
              <w:t>Years</w:t>
            </w:r>
          </w:p>
        </w:tc>
        <w:tc>
          <w:tcPr>
            <w:tcW w:w="260" w:type="dxa"/>
            <w:vAlign w:val="bottom"/>
          </w:tcPr>
          <w:p>
            <w:pPr>
              <w:spacing w:after="0"/>
              <w:rPr>
                <w:sz w:val="13"/>
                <w:szCs w:val="13"/>
                <w:color w:val="auto"/>
              </w:rPr>
            </w:pPr>
          </w:p>
        </w:tc>
        <w:tc>
          <w:tcPr>
            <w:tcW w:w="104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13"/>
                <w:szCs w:val="13"/>
                <w:color w:val="auto"/>
              </w:rPr>
            </w:pPr>
          </w:p>
        </w:tc>
        <w:tc>
          <w:tcPr>
            <w:tcW w:w="1020" w:type="dxa"/>
            <w:vAlign w:val="bottom"/>
          </w:tcPr>
          <w:p>
            <w:pPr>
              <w:jc w:val="right"/>
              <w:ind w:right="154"/>
              <w:spacing w:after="0" w:line="155" w:lineRule="exact"/>
              <w:rPr>
                <w:sz w:val="20"/>
                <w:szCs w:val="20"/>
                <w:color w:val="auto"/>
              </w:rPr>
            </w:pPr>
            <w:r>
              <w:rPr>
                <w:rFonts w:ascii="Arial" w:cs="Arial" w:eastAsia="Arial" w:hAnsi="Arial"/>
                <w:sz w:val="16"/>
                <w:szCs w:val="16"/>
                <w:b w:val="1"/>
                <w:bCs w:val="1"/>
                <w:color w:val="auto"/>
                <w:w w:val="99"/>
              </w:rPr>
              <w:t>More than</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2 - 3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4 - 5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66"/>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obligations (1)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933,444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291,108</w:t>
            </w: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178,419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51,202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412,715</w:t>
            </w:r>
          </w:p>
        </w:tc>
        <w:tc>
          <w:tcPr>
            <w:tcW w:w="0" w:type="dxa"/>
            <w:vAlign w:val="bottom"/>
          </w:tcPr>
          <w:p>
            <w:pPr>
              <w:spacing w:after="0"/>
              <w:rPr>
                <w:sz w:val="1"/>
                <w:szCs w:val="1"/>
                <w:color w:val="auto"/>
              </w:rPr>
            </w:pPr>
          </w:p>
        </w:tc>
      </w:tr>
      <w:tr>
        <w:trPr>
          <w:trHeight w:val="264"/>
        </w:trPr>
        <w:tc>
          <w:tcPr>
            <w:tcW w:w="4880" w:type="dxa"/>
            <w:vAlign w:val="bottom"/>
          </w:tcPr>
          <w:p>
            <w:pPr>
              <w:ind w:left="10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933,444</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291,108</w:t>
            </w: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ind w:left="200"/>
              <w:spacing w:after="0"/>
              <w:rPr>
                <w:sz w:val="20"/>
                <w:szCs w:val="20"/>
                <w:color w:val="auto"/>
              </w:rPr>
            </w:pPr>
            <w:r>
              <w:rPr>
                <w:rFonts w:ascii="Arial" w:cs="Arial" w:eastAsia="Arial" w:hAnsi="Arial"/>
                <w:sz w:val="18"/>
                <w:szCs w:val="18"/>
                <w:color w:val="auto"/>
              </w:rPr>
              <w:t>178,419</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51,202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412,715</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700" w:firstLine="243"/>
        <w:spacing w:after="0" w:line="375" w:lineRule="auto"/>
        <w:rPr>
          <w:sz w:val="20"/>
          <w:szCs w:val="20"/>
          <w:color w:val="auto"/>
        </w:rPr>
      </w:pPr>
      <w:r>
        <w:rPr>
          <w:rFonts w:ascii="Arial" w:cs="Arial" w:eastAsia="Arial" w:hAnsi="Arial"/>
          <w:sz w:val="18"/>
          <w:szCs w:val="18"/>
          <w:color w:val="auto"/>
        </w:rPr>
        <w:t xml:space="preserve">(1) Purchase obligations consist primarily of program rights obligations, participations, residuals, and transmission and marketing commitments. </w:t>
      </w:r>
      <w:r>
        <w:rPr>
          <w:rFonts w:ascii="Arial" w:cs="Arial" w:eastAsia="Arial" w:hAnsi="Arial"/>
          <w:sz w:val="18"/>
          <w:szCs w:val="18"/>
          <w:b w:val="1"/>
          <w:bCs w:val="1"/>
          <w:color w:val="auto"/>
        </w:rPr>
        <w:t>Legal Matters</w:t>
      </w:r>
    </w:p>
    <w:p>
      <w:pPr>
        <w:spacing w:after="0" w:line="1"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67"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 xml:space="preserve">On January 18, 2018, the 2013 Plaintiffs filed a second action in New York Supreme Court in connection with Darabont’s services on </w:t>
      </w:r>
      <w:r>
        <w:rPr>
          <w:rFonts w:ascii="Arial" w:cs="Arial" w:eastAsia="Arial" w:hAnsi="Arial"/>
          <w:sz w:val="17"/>
          <w:szCs w:val="17"/>
          <w:i w:val="1"/>
          <w:iCs w:val="1"/>
          <w:color w:val="auto"/>
        </w:rPr>
        <w:t>The Walking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Dead </w:t>
      </w:r>
      <w:r>
        <w:rPr>
          <w:rFonts w:ascii="Arial" w:cs="Arial" w:eastAsia="Arial" w:hAnsi="Arial"/>
          <w:sz w:val="17"/>
          <w:szCs w:val="17"/>
          <w:color w:val="auto"/>
        </w:rPr>
        <w:t>television series and agreements between the parties related thereto. The claims in the action allegedly arise from Plaintiffs' audit of their participation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covering the accounting period from inception of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Complaint, and on September 19, 2018, the Company answered. The parties have agreed to consolidate this action for a joint trial with the action Plaintiffs filed in the New York Supreme Court on December 17, 2013. Following the conclusion of discovery, the Company filed a motion for summary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judgment seeking the dismissal of the second action which is expected to be fully briefed by March 2, 2020. Pending the outcome of the Company’s motion for summary judgment, the trial is scheduled to begin on June 1, 2020.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79"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Fear the Walking Dead</w:t>
      </w:r>
      <w:r>
        <w:rPr>
          <w:rFonts w:ascii="Arial" w:cs="Arial" w:eastAsia="Arial" w:hAnsi="Arial"/>
          <w:sz w:val="16"/>
          <w:szCs w:val="16"/>
          <w:color w:val="auto"/>
        </w:rPr>
        <w:t xml:space="preserve"> and/or </w:t>
      </w:r>
      <w:r>
        <w:rPr>
          <w:rFonts w:ascii="Arial" w:cs="Arial" w:eastAsia="Arial" w:hAnsi="Arial"/>
          <w:sz w:val="16"/>
          <w:szCs w:val="16"/>
          <w:i w:val="1"/>
          <w:iCs w:val="1"/>
          <w:color w:val="auto"/>
        </w:rPr>
        <w:t>Talking Dead</w:t>
      </w:r>
      <w:r>
        <w:rPr>
          <w:rFonts w:ascii="Arial" w:cs="Arial" w:eastAsia="Arial" w:hAnsi="Arial"/>
          <w:sz w:val="16"/>
          <w:szCs w:val="16"/>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On August 8, 2019, the judge in the California Action ordered a trial to resolve certain issues of contract interpretation only. Such trial commenced on February 10, 2020 and is expected to conclude on March 9 and 10, 2020. At this time, no determination can be made as to the ultimate outcome of this litigation or the potential liability, if any, on the part of the Company.</w:t>
      </w:r>
    </w:p>
    <w:p>
      <w:pPr>
        <w:spacing w:after="0" w:line="6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Redeemable Noncontrolling Interests</w:t>
      </w:r>
    </w:p>
    <w:p>
      <w:pPr>
        <w:spacing w:after="0" w:line="12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In connection with the 2018 acquisition of RLJE, the terms of the operating agreement provide the noncontrolling member with a right to put all of its noncontrolling interest to a subsidiary of the Company at the greater of the then fair market value or enterprise value of RLJE, in each case pursuant to the operating agreement and applied to the equity interest. The put option is exercisable following the seventh anniversary of the agreement, or earlier upon a change of control.</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2018 acquisition of Levity, the terms of the operating agreement provide the noncontrolling interest holders with a right to put 50% of their interests to a subsidiary of the Company on the fourth anniversary of the agreement and a right to put all of their interests to the Company on the sixth anniversary of the agreement. The put rights are at fair market value.</w:t>
      </w:r>
    </w:p>
    <w:p>
      <w:pPr>
        <w:spacing w:after="0" w:line="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2014, the Company, through a wholly-owned subsidiary, acquired 49.9% of the limited liability company interests of New Video Channel America L.L.C, that owns the cable channel BBC AMERICA. In connection with acquisition, the terms of the agreement provide the BBC with a right to put all of its 50.1% noncontrolling interest to a subsidiary of the Company at the greater of the then fair value or the fair value of the initial equity interest at the closing date of the agreement. The put option is exercisable on the fifteenth and twenty-fifth anniversary of the joint venture agreement.</w:t>
      </w:r>
    </w:p>
    <w:p>
      <w:pPr>
        <w:spacing w:after="0" w:line="5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exercise of these put rights is outside the Company's control, the noncontrolling interest in each entity is presented as redeemable noncontrolling interest outside of stockholders' equity on the Company's consolidated balance sheet. The activity reflected within redeemable noncontrolling interests for the years ended December 31, 2019 and 2018 is presented below.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112"/>
              <w:spacing w:after="0"/>
              <w:rPr>
                <w:sz w:val="20"/>
                <w:szCs w:val="20"/>
                <w:color w:val="auto"/>
              </w:rPr>
            </w:pPr>
            <w:r>
              <w:rPr>
                <w:rFonts w:ascii="Arial" w:cs="Arial" w:eastAsia="Arial" w:hAnsi="Arial"/>
                <w:sz w:val="16"/>
                <w:szCs w:val="16"/>
                <w:b w:val="1"/>
                <w:bCs w:val="1"/>
                <w:color w:val="auto"/>
                <w:w w:val="90"/>
              </w:rPr>
              <w:t>Redeemable Noncontrolling</w:t>
            </w:r>
          </w:p>
        </w:tc>
      </w:tr>
      <w:tr>
        <w:trPr>
          <w:trHeight w:val="237"/>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832"/>
              <w:spacing w:after="0"/>
              <w:rPr>
                <w:sz w:val="20"/>
                <w:szCs w:val="20"/>
                <w:color w:val="auto"/>
              </w:rPr>
            </w:pPr>
            <w:r>
              <w:rPr>
                <w:rFonts w:ascii="Arial" w:cs="Arial" w:eastAsia="Arial" w:hAnsi="Arial"/>
                <w:sz w:val="16"/>
                <w:szCs w:val="16"/>
                <w:b w:val="1"/>
                <w:bCs w:val="1"/>
                <w:color w:val="auto"/>
              </w:rPr>
              <w:t>Interest</w:t>
            </w: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218,604</w:t>
            </w:r>
          </w:p>
        </w:tc>
      </w:tr>
      <w:tr>
        <w:trPr>
          <w:trHeight w:val="243"/>
        </w:trPr>
        <w:tc>
          <w:tcPr>
            <w:tcW w:w="9180" w:type="dxa"/>
            <w:vAlign w:val="bottom"/>
          </w:tcPr>
          <w:p>
            <w:pPr>
              <w:ind w:left="340"/>
              <w:spacing w:after="0"/>
              <w:rPr>
                <w:sz w:val="20"/>
                <w:szCs w:val="20"/>
                <w:color w:val="auto"/>
              </w:rPr>
            </w:pPr>
            <w:r>
              <w:rPr>
                <w:rFonts w:ascii="Arial" w:cs="Arial" w:eastAsia="Arial" w:hAnsi="Arial"/>
                <w:sz w:val="18"/>
                <w:szCs w:val="18"/>
                <w:color w:val="auto"/>
              </w:rPr>
              <w:t>Net earnings</w:t>
            </w:r>
          </w:p>
        </w:tc>
        <w:tc>
          <w:tcPr>
            <w:tcW w:w="100" w:type="dxa"/>
            <w:vAlign w:val="bottom"/>
          </w:tcPr>
          <w:p>
            <w:pPr>
              <w:spacing w:after="0"/>
              <w:rPr>
                <w:sz w:val="21"/>
                <w:szCs w:val="21"/>
                <w:color w:val="auto"/>
              </w:rPr>
            </w:pPr>
          </w:p>
        </w:tc>
        <w:tc>
          <w:tcPr>
            <w:tcW w:w="2140" w:type="dxa"/>
            <w:vAlign w:val="bottom"/>
          </w:tcPr>
          <w:p>
            <w:pPr>
              <w:jc w:val="right"/>
              <w:ind w:right="72"/>
              <w:spacing w:after="0"/>
              <w:rPr>
                <w:sz w:val="20"/>
                <w:szCs w:val="20"/>
                <w:color w:val="auto"/>
              </w:rPr>
            </w:pPr>
            <w:r>
              <w:rPr>
                <w:rFonts w:ascii="Arial" w:cs="Arial" w:eastAsia="Arial" w:hAnsi="Arial"/>
                <w:sz w:val="18"/>
                <w:szCs w:val="18"/>
                <w:color w:val="auto"/>
              </w:rPr>
              <w:t>15,026</w:t>
            </w:r>
          </w:p>
        </w:tc>
      </w:tr>
      <w:tr>
        <w:trPr>
          <w:trHeight w:val="27"/>
        </w:trPr>
        <w:tc>
          <w:tcPr>
            <w:tcW w:w="9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(11,450)</w:t>
            </w:r>
          </w:p>
        </w:tc>
      </w:tr>
      <w:tr>
        <w:trPr>
          <w:trHeight w:val="243"/>
        </w:trPr>
        <w:tc>
          <w:tcPr>
            <w:tcW w:w="9180" w:type="dxa"/>
            <w:vAlign w:val="bottom"/>
          </w:tcPr>
          <w:p>
            <w:pPr>
              <w:ind w:left="340"/>
              <w:spacing w:after="0"/>
              <w:rPr>
                <w:sz w:val="20"/>
                <w:szCs w:val="20"/>
                <w:color w:val="auto"/>
              </w:rPr>
            </w:pPr>
            <w:r>
              <w:rPr>
                <w:rFonts w:ascii="Arial" w:cs="Arial" w:eastAsia="Arial" w:hAnsi="Arial"/>
                <w:sz w:val="18"/>
                <w:szCs w:val="18"/>
                <w:color w:val="auto"/>
              </w:rPr>
              <w:t>Additions from acquisitions</w:t>
            </w:r>
          </w:p>
        </w:tc>
        <w:tc>
          <w:tcPr>
            <w:tcW w:w="100" w:type="dxa"/>
            <w:vAlign w:val="bottom"/>
          </w:tcPr>
          <w:p>
            <w:pPr>
              <w:spacing w:after="0"/>
              <w:rPr>
                <w:sz w:val="21"/>
                <w:szCs w:val="21"/>
                <w:color w:val="auto"/>
              </w:rPr>
            </w:pPr>
          </w:p>
        </w:tc>
        <w:tc>
          <w:tcPr>
            <w:tcW w:w="2140" w:type="dxa"/>
            <w:vAlign w:val="bottom"/>
          </w:tcPr>
          <w:p>
            <w:pPr>
              <w:jc w:val="right"/>
              <w:ind w:right="72"/>
              <w:spacing w:after="0"/>
              <w:rPr>
                <w:sz w:val="20"/>
                <w:szCs w:val="20"/>
                <w:color w:val="auto"/>
              </w:rPr>
            </w:pPr>
            <w:r>
              <w:rPr>
                <w:rFonts w:ascii="Arial" w:cs="Arial" w:eastAsia="Arial" w:hAnsi="Arial"/>
                <w:sz w:val="18"/>
                <w:szCs w:val="18"/>
                <w:color w:val="auto"/>
              </w:rPr>
              <w:t>77,378</w:t>
            </w:r>
          </w:p>
        </w:tc>
      </w:tr>
      <w:tr>
        <w:trPr>
          <w:trHeight w:val="27"/>
        </w:trPr>
        <w:tc>
          <w:tcPr>
            <w:tcW w:w="9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299,558</w:t>
            </w:r>
          </w:p>
        </w:tc>
      </w:tr>
      <w:tr>
        <w:trPr>
          <w:trHeight w:val="243"/>
        </w:trPr>
        <w:tc>
          <w:tcPr>
            <w:tcW w:w="9180" w:type="dxa"/>
            <w:vAlign w:val="bottom"/>
          </w:tcPr>
          <w:p>
            <w:pPr>
              <w:ind w:left="340"/>
              <w:spacing w:after="0"/>
              <w:rPr>
                <w:sz w:val="20"/>
                <w:szCs w:val="20"/>
                <w:color w:val="auto"/>
              </w:rPr>
            </w:pPr>
            <w:r>
              <w:rPr>
                <w:rFonts w:ascii="Arial" w:cs="Arial" w:eastAsia="Arial" w:hAnsi="Arial"/>
                <w:sz w:val="18"/>
                <w:szCs w:val="18"/>
                <w:color w:val="auto"/>
              </w:rPr>
              <w:t>Net earnings</w:t>
            </w:r>
          </w:p>
        </w:tc>
        <w:tc>
          <w:tcPr>
            <w:tcW w:w="100" w:type="dxa"/>
            <w:vAlign w:val="bottom"/>
          </w:tcPr>
          <w:p>
            <w:pPr>
              <w:spacing w:after="0"/>
              <w:rPr>
                <w:sz w:val="21"/>
                <w:szCs w:val="21"/>
                <w:color w:val="auto"/>
              </w:rPr>
            </w:pPr>
          </w:p>
        </w:tc>
        <w:tc>
          <w:tcPr>
            <w:tcW w:w="2140" w:type="dxa"/>
            <w:vAlign w:val="bottom"/>
          </w:tcPr>
          <w:p>
            <w:pPr>
              <w:jc w:val="right"/>
              <w:ind w:right="72"/>
              <w:spacing w:after="0"/>
              <w:rPr>
                <w:sz w:val="20"/>
                <w:szCs w:val="20"/>
                <w:color w:val="auto"/>
              </w:rPr>
            </w:pPr>
            <w:r>
              <w:rPr>
                <w:rFonts w:ascii="Arial" w:cs="Arial" w:eastAsia="Arial" w:hAnsi="Arial"/>
                <w:sz w:val="18"/>
                <w:szCs w:val="18"/>
                <w:color w:val="auto"/>
              </w:rPr>
              <w:t>22,320</w:t>
            </w:r>
          </w:p>
        </w:tc>
      </w:tr>
      <w:tr>
        <w:trPr>
          <w:trHeight w:val="27"/>
        </w:trPr>
        <w:tc>
          <w:tcPr>
            <w:tcW w:w="9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(12,120)</w:t>
            </w:r>
          </w:p>
        </w:tc>
      </w:tr>
      <w:tr>
        <w:trPr>
          <w:trHeight w:val="243"/>
        </w:trPr>
        <w:tc>
          <w:tcPr>
            <w:tcW w:w="918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(307)</w:t>
            </w:r>
          </w:p>
        </w:tc>
      </w:tr>
      <w:tr>
        <w:trPr>
          <w:trHeight w:val="27"/>
        </w:trPr>
        <w:tc>
          <w:tcPr>
            <w:tcW w:w="9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89"/>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309,451</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Equity and Long-Term Incentive Plans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8, 2016, the Company's shareholders approved the AMC Networks Inc. 2016 Employee Stock Plan (the "2016 Employee Stock Plan") and the AMC Networks Inc. 2016 Executive Cash Incentive Plan (the "2016 Cash Incentive Plan"). On June 5, 2012, the Company's shareholders approved the AMC Networks Inc. 2011 Stock Plan for Non-Employee Directors (the "2011 Non-Employee Director Plan").</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The 2016 Employee Stock Plan provides for the grants of incentive stock options, non-qualified stock options, stock appreciation rights, restricted shares, restricted stock units and other equity-based awards (collectively, "awards"). Under the 2016 Employee Stock Plan, the Company may grant awards for up to 6,000,000 shares of AMC Networks Class A Common Stock (subject to certain adjustments). Equity-based awards granted under the 2016 Employee Stock Plan must be granted with an exercise price of not less than the fair market value of a share of AMC Networks Class A Common Stock on the date of grant and must expire no later than 10 years from the date of grant. The terms and conditions of awards granted under the 2016 Employee Stock Plan, including vesting and exercisability, are determined by the Compensation Committee of the Board of Directors ("Compensation Committee") and may include terms or conditions based upon performance criteria.</w:t>
      </w:r>
    </w:p>
    <w:p>
      <w:pPr>
        <w:spacing w:after="0" w:line="70"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Awards issued to employees under the 2016 Employee Stock Plan will settle in shares of the Company's Class A Common Stock (either from treasury or with newly issued shares), or, at the option of the Compensation Committee, in cash. As of December 31, 2019, there are 1,727,879 share awards available for future grant under the 2016 Employee Stock Plan. For the purpose of calculating the remaining shares available for issuance under the 2016 Employee Stock Plan, awards containing performance criteria are excluded based on the maximum potential performance target that can be achieved.</w:t>
      </w:r>
    </w:p>
    <w:p>
      <w:pPr>
        <w:spacing w:after="0" w:line="46" w:lineRule="exact"/>
        <w:rPr>
          <w:sz w:val="20"/>
          <w:szCs w:val="20"/>
          <w:color w:val="auto"/>
        </w:rPr>
      </w:pPr>
    </w:p>
    <w:p>
      <w:pPr>
        <w:jc w:val="both"/>
        <w:ind w:firstLine="497"/>
        <w:spacing w:after="0" w:line="270" w:lineRule="auto"/>
        <w:rPr>
          <w:sz w:val="20"/>
          <w:szCs w:val="20"/>
          <w:color w:val="auto"/>
        </w:rPr>
      </w:pPr>
      <w:r>
        <w:rPr>
          <w:rFonts w:ascii="Arial" w:cs="Arial" w:eastAsia="Arial" w:hAnsi="Arial"/>
          <w:sz w:val="17"/>
          <w:szCs w:val="17"/>
          <w:color w:val="auto"/>
        </w:rPr>
        <w:t>Under the 2011 Non-Employee Director Plan, the Company is authorized to grant non-qualified stock options, restricted stock units, restricted shares, stock appreciation rights and other equity-based awards. The Company may grant awards for up to 465,000 shares of AMC Networks Class A Common Stock (subject to certain adjustments). Stock options under the 2011 Non-Employee Director Plan must be granted with an exercise price of not less than the fair market value of a share of AMC Networks Class A Common Stock on the date of grant and must expire no later than 10 years from the date of grant. The terms and conditions of awards granted under the 2011 Non-Employee Director Plan, including vesting and exercisability, are determined by the Compensation Committee. Unless otherwise provided in an applicable award agreement, stock options granted under this plan will be fully vested and exercisable, and restricted stock units granted under this plan will be fully vested, upon the date of grant and will settle in shares of the Company's Class A Common Stock (either from treasury or with newly issued shares), or, at the option of the Compensation Committee, in cash, on the first business day after ninety days from the date the director's service on the Board of Directors ceases or, if earlier, upon the director's death. As of December 31, 2019, there are 121,345 shares available for future grant under the 2011 Non-Employee Director Plan.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Restricted Stock Unit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relating to Company employees who held AMC Networks restricted stock units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Performance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3"/>
              </w:rPr>
              <w:t>Fair Value Per</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Restricted</w:t>
            </w: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2"/>
              </w:rPr>
              <w:t>Stock Unit at Date of</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8"/>
              </w:rPr>
              <w:t>Grant</w:t>
            </w:r>
          </w:p>
        </w:tc>
        <w:tc>
          <w:tcPr>
            <w:tcW w:w="0" w:type="dxa"/>
            <w:vAlign w:val="bottom"/>
          </w:tcPr>
          <w:p>
            <w:pPr>
              <w:spacing w:after="0"/>
              <w:rPr>
                <w:sz w:val="1"/>
                <w:szCs w:val="1"/>
                <w:color w:val="auto"/>
              </w:rPr>
            </w:pPr>
          </w:p>
        </w:tc>
      </w:tr>
      <w:tr>
        <w:trPr>
          <w:trHeight w:val="246"/>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2017</w:t>
            </w:r>
          </w:p>
        </w:tc>
        <w:tc>
          <w:tcPr>
            <w:tcW w:w="1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1,120,041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1,816,147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43"/>
        </w:trPr>
        <w:tc>
          <w:tcPr>
            <w:tcW w:w="58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ind w:right="52"/>
              <w:spacing w:after="0"/>
              <w:rPr>
                <w:sz w:val="20"/>
                <w:szCs w:val="20"/>
                <w:color w:val="auto"/>
              </w:rPr>
            </w:pPr>
            <w:r>
              <w:rPr>
                <w:rFonts w:ascii="Arial" w:cs="Arial" w:eastAsia="Arial" w:hAnsi="Arial"/>
                <w:sz w:val="18"/>
                <w:szCs w:val="18"/>
                <w:color w:val="auto"/>
              </w:rPr>
              <w:t>587,471</w:t>
            </w:r>
          </w:p>
        </w:tc>
        <w:tc>
          <w:tcPr>
            <w:tcW w:w="120" w:type="dxa"/>
            <w:vAlign w:val="bottom"/>
          </w:tcPr>
          <w:p>
            <w:pPr>
              <w:spacing w:after="0"/>
              <w:rPr>
                <w:sz w:val="21"/>
                <w:szCs w:val="21"/>
                <w:color w:val="auto"/>
              </w:rPr>
            </w:pPr>
          </w:p>
        </w:tc>
        <w:tc>
          <w:tcPr>
            <w:tcW w:w="1760" w:type="dxa"/>
            <w:vAlign w:val="bottom"/>
          </w:tcPr>
          <w:p>
            <w:pPr>
              <w:jc w:val="right"/>
              <w:ind w:right="73"/>
              <w:spacing w:after="0"/>
              <w:rPr>
                <w:sz w:val="20"/>
                <w:szCs w:val="20"/>
                <w:color w:val="auto"/>
              </w:rPr>
            </w:pPr>
            <w:r>
              <w:rPr>
                <w:rFonts w:ascii="Arial" w:cs="Arial" w:eastAsia="Arial" w:hAnsi="Arial"/>
                <w:sz w:val="18"/>
                <w:szCs w:val="18"/>
                <w:color w:val="auto"/>
              </w:rPr>
              <w:t>887,807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3"/>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Released/Vested</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(531,655)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(227,852)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43"/>
        </w:trPr>
        <w:tc>
          <w:tcPr>
            <w:tcW w:w="5860" w:type="dxa"/>
            <w:vAlign w:val="bottom"/>
          </w:tcPr>
          <w:p>
            <w:pPr>
              <w:ind w:left="340"/>
              <w:spacing w:after="0"/>
              <w:rPr>
                <w:sz w:val="20"/>
                <w:szCs w:val="20"/>
                <w:color w:val="auto"/>
              </w:rPr>
            </w:pPr>
            <w:r>
              <w:rPr>
                <w:rFonts w:ascii="Arial" w:cs="Arial" w:eastAsia="Arial" w:hAnsi="Arial"/>
                <w:sz w:val="18"/>
                <w:szCs w:val="18"/>
                <w:color w:val="auto"/>
              </w:rPr>
              <w:t>Canceled/Forfeited</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(294,380)</w:t>
            </w:r>
          </w:p>
        </w:tc>
        <w:tc>
          <w:tcPr>
            <w:tcW w:w="12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(91,335)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3"/>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2018</w:t>
            </w:r>
          </w:p>
        </w:tc>
        <w:tc>
          <w:tcPr>
            <w:tcW w:w="1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881,477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2,384,767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43"/>
        </w:trPr>
        <w:tc>
          <w:tcPr>
            <w:tcW w:w="58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ind w:right="52"/>
              <w:spacing w:after="0"/>
              <w:rPr>
                <w:sz w:val="20"/>
                <w:szCs w:val="20"/>
                <w:color w:val="auto"/>
              </w:rPr>
            </w:pPr>
            <w:r>
              <w:rPr>
                <w:rFonts w:ascii="Arial" w:cs="Arial" w:eastAsia="Arial" w:hAnsi="Arial"/>
                <w:sz w:val="18"/>
                <w:szCs w:val="18"/>
                <w:color w:val="auto"/>
              </w:rPr>
              <w:t>371,673</w:t>
            </w:r>
          </w:p>
        </w:tc>
        <w:tc>
          <w:tcPr>
            <w:tcW w:w="120" w:type="dxa"/>
            <w:vAlign w:val="bottom"/>
          </w:tcPr>
          <w:p>
            <w:pPr>
              <w:spacing w:after="0"/>
              <w:rPr>
                <w:sz w:val="21"/>
                <w:szCs w:val="21"/>
                <w:color w:val="auto"/>
              </w:rPr>
            </w:pPr>
          </w:p>
        </w:tc>
        <w:tc>
          <w:tcPr>
            <w:tcW w:w="1760" w:type="dxa"/>
            <w:vAlign w:val="bottom"/>
          </w:tcPr>
          <w:p>
            <w:pPr>
              <w:jc w:val="right"/>
              <w:ind w:right="73"/>
              <w:spacing w:after="0"/>
              <w:rPr>
                <w:sz w:val="20"/>
                <w:szCs w:val="20"/>
                <w:color w:val="auto"/>
              </w:rPr>
            </w:pPr>
            <w:r>
              <w:rPr>
                <w:rFonts w:ascii="Arial" w:cs="Arial" w:eastAsia="Arial" w:hAnsi="Arial"/>
                <w:sz w:val="18"/>
                <w:szCs w:val="18"/>
                <w:color w:val="auto"/>
              </w:rPr>
              <w:t>582,282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3"/>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Released/Vested</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(410,865)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(519,531)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43"/>
        </w:trPr>
        <w:tc>
          <w:tcPr>
            <w:tcW w:w="5860" w:type="dxa"/>
            <w:vAlign w:val="bottom"/>
          </w:tcPr>
          <w:p>
            <w:pPr>
              <w:ind w:left="340"/>
              <w:spacing w:after="0"/>
              <w:rPr>
                <w:sz w:val="20"/>
                <w:szCs w:val="20"/>
                <w:color w:val="auto"/>
              </w:rPr>
            </w:pPr>
            <w:r>
              <w:rPr>
                <w:rFonts w:ascii="Arial" w:cs="Arial" w:eastAsia="Arial" w:hAnsi="Arial"/>
                <w:sz w:val="18"/>
                <w:szCs w:val="18"/>
                <w:color w:val="auto"/>
              </w:rPr>
              <w:t>Canceled/Forfeited</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(81,854)</w:t>
            </w:r>
          </w:p>
        </w:tc>
        <w:tc>
          <w:tcPr>
            <w:tcW w:w="12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(77,617)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3"/>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2019</w:t>
            </w:r>
          </w:p>
        </w:tc>
        <w:tc>
          <w:tcPr>
            <w:tcW w:w="1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760,431</w:t>
            </w:r>
          </w:p>
        </w:tc>
        <w:tc>
          <w:tcPr>
            <w:tcW w:w="12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2,369,901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restricted stock units granted vest ratably over a three or four year period.</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 year period. The number of shares issuable at the end of the applicable measurement period ranges from 0% to 200% of the target PRSU award.</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activity relating to Non-employee Directors who held AMC Networks restricted stock units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center"/>
              <w:ind w:right="53"/>
              <w:spacing w:after="0"/>
              <w:rPr>
                <w:sz w:val="20"/>
                <w:szCs w:val="20"/>
                <w:color w:val="auto"/>
              </w:rPr>
            </w:pPr>
            <w:r>
              <w:rPr>
                <w:rFonts w:ascii="Arial" w:cs="Arial" w:eastAsia="Arial" w:hAnsi="Arial"/>
                <w:sz w:val="16"/>
                <w:szCs w:val="16"/>
                <w:b w:val="1"/>
                <w:bCs w:val="1"/>
                <w:color w:val="auto"/>
                <w:w w:val="95"/>
              </w:rPr>
              <w:t>Fair Value Per</w:t>
            </w:r>
          </w:p>
        </w:tc>
        <w:tc>
          <w:tcPr>
            <w:tcW w:w="0" w:type="dxa"/>
            <w:vAlign w:val="bottom"/>
          </w:tcPr>
          <w:p>
            <w:pPr>
              <w:spacing w:after="0"/>
              <w:rPr>
                <w:sz w:val="1"/>
                <w:szCs w:val="1"/>
                <w:color w:val="auto"/>
              </w:rPr>
            </w:pPr>
          </w:p>
        </w:tc>
      </w:tr>
      <w:tr>
        <w:trPr>
          <w:trHeight w:val="68"/>
        </w:trPr>
        <w:tc>
          <w:tcPr>
            <w:tcW w:w="77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93"/>
              </w:rPr>
              <w:t>Stock Unit at Date of</w:t>
            </w:r>
          </w:p>
        </w:tc>
        <w:tc>
          <w:tcPr>
            <w:tcW w:w="0" w:type="dxa"/>
            <w:vAlign w:val="bottom"/>
          </w:tcPr>
          <w:p>
            <w:pPr>
              <w:spacing w:after="0"/>
              <w:rPr>
                <w:sz w:val="1"/>
                <w:szCs w:val="1"/>
                <w:color w:val="auto"/>
              </w:rPr>
            </w:pPr>
          </w:p>
        </w:tc>
      </w:tr>
      <w:tr>
        <w:trPr>
          <w:trHeight w:val="135"/>
        </w:trPr>
        <w:tc>
          <w:tcPr>
            <w:tcW w:w="7720" w:type="dxa"/>
            <w:vAlign w:val="bottom"/>
          </w:tcPr>
          <w:p>
            <w:pPr>
              <w:spacing w:after="0"/>
              <w:rPr>
                <w:sz w:val="11"/>
                <w:szCs w:val="11"/>
                <w:color w:val="auto"/>
              </w:rPr>
            </w:pPr>
          </w:p>
        </w:tc>
        <w:tc>
          <w:tcPr>
            <w:tcW w:w="17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1"/>
              </w:rPr>
              <w:t>Restricted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98"/>
              </w:rPr>
              <w:t>Grant</w:t>
            </w:r>
          </w:p>
        </w:tc>
        <w:tc>
          <w:tcPr>
            <w:tcW w:w="0" w:type="dxa"/>
            <w:vAlign w:val="bottom"/>
          </w:tcPr>
          <w:p>
            <w:pPr>
              <w:spacing w:after="0" w:line="20" w:lineRule="exact"/>
              <w:rPr>
                <w:sz w:val="1"/>
                <w:szCs w:val="1"/>
                <w:color w:val="auto"/>
              </w:rPr>
            </w:pPr>
          </w:p>
        </w:tc>
      </w:tr>
      <w:tr>
        <w:trPr>
          <w:trHeight w:val="213"/>
        </w:trPr>
        <w:tc>
          <w:tcPr>
            <w:tcW w:w="77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2017</w:t>
            </w:r>
          </w:p>
        </w:tc>
        <w:tc>
          <w:tcPr>
            <w:tcW w:w="1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187,446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43"/>
        </w:trPr>
        <w:tc>
          <w:tcPr>
            <w:tcW w:w="7720" w:type="dxa"/>
            <w:vAlign w:val="bottom"/>
          </w:tcPr>
          <w:p>
            <w:pPr>
              <w:ind w:left="3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ind w:right="73"/>
              <w:spacing w:after="0"/>
              <w:rPr>
                <w:sz w:val="20"/>
                <w:szCs w:val="20"/>
                <w:color w:val="auto"/>
              </w:rPr>
            </w:pPr>
            <w:r>
              <w:rPr>
                <w:rFonts w:ascii="Arial" w:cs="Arial" w:eastAsia="Arial" w:hAnsi="Arial"/>
                <w:sz w:val="18"/>
                <w:szCs w:val="18"/>
                <w:color w:val="auto"/>
              </w:rPr>
              <w:t>32,210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3"/>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Released/Vested</w:t>
            </w:r>
          </w:p>
        </w:tc>
        <w:tc>
          <w:tcPr>
            <w:tcW w:w="1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Vested award balance, December 31, 2018</w:t>
            </w:r>
          </w:p>
        </w:tc>
        <w:tc>
          <w:tcPr>
            <w:tcW w:w="17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219,656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3"/>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Granted</w:t>
            </w:r>
          </w:p>
        </w:tc>
        <w:tc>
          <w:tcPr>
            <w:tcW w:w="1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34,678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43"/>
        </w:trPr>
        <w:tc>
          <w:tcPr>
            <w:tcW w:w="7720" w:type="dxa"/>
            <w:vAlign w:val="bottom"/>
          </w:tcPr>
          <w:p>
            <w:pPr>
              <w:ind w:left="320"/>
              <w:spacing w:after="0"/>
              <w:rPr>
                <w:sz w:val="20"/>
                <w:szCs w:val="20"/>
                <w:color w:val="auto"/>
              </w:rPr>
            </w:pPr>
            <w:r>
              <w:rPr>
                <w:rFonts w:ascii="Arial" w:cs="Arial" w:eastAsia="Arial" w:hAnsi="Arial"/>
                <w:sz w:val="18"/>
                <w:szCs w:val="18"/>
                <w:color w:val="auto"/>
              </w:rPr>
              <w:t>Released/Vested</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(4,566)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3"/>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2019</w:t>
            </w:r>
          </w:p>
        </w:tc>
        <w:tc>
          <w:tcPr>
            <w:tcW w:w="1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249,768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Stock Option Award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activity relating to employees of the Company who held unvested AMC Networks stock options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Shares Under</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500" w:type="dxa"/>
            <w:vAlign w:val="bottom"/>
          </w:tcPr>
          <w:p>
            <w:pPr>
              <w:spacing w:after="0"/>
              <w:rPr>
                <w:sz w:val="8"/>
                <w:szCs w:val="8"/>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Option</w:t>
            </w: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5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1"/>
              </w:rPr>
              <w:t>Weighted</w:t>
            </w:r>
          </w:p>
        </w:tc>
        <w:tc>
          <w:tcPr>
            <w:tcW w:w="1500" w:type="dxa"/>
            <w:vAlign w:val="bottom"/>
            <w:gridSpan w:val="2"/>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vMerge w:val="restart"/>
          </w:tcPr>
          <w:p>
            <w:pPr>
              <w:jc w:val="center"/>
              <w:ind w:right="133"/>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150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6"/>
              </w:rPr>
              <w:t>Time</w:t>
            </w: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8"/>
              </w:rPr>
              <w:t>Average</w:t>
            </w:r>
          </w:p>
        </w:tc>
        <w:tc>
          <w:tcPr>
            <w:tcW w:w="150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5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6"/>
              </w:rPr>
              <w:t>Vesting</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15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4"/>
                <w:szCs w:val="14"/>
                <w:color w:val="auto"/>
              </w:rPr>
            </w:pPr>
          </w:p>
        </w:tc>
        <w:tc>
          <w:tcPr>
            <w:tcW w:w="1180" w:type="dxa"/>
            <w:vAlign w:val="bottom"/>
          </w:tcPr>
          <w:p>
            <w:pPr>
              <w:jc w:val="center"/>
              <w:ind w:right="133"/>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Per Share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20" w:type="dxa"/>
            <w:vAlign w:val="bottom"/>
          </w:tcPr>
          <w:p>
            <w:pPr>
              <w:spacing w:after="0"/>
              <w:rPr>
                <w:sz w:val="18"/>
                <w:szCs w:val="18"/>
                <w:color w:val="auto"/>
              </w:rPr>
            </w:pPr>
          </w:p>
        </w:tc>
        <w:tc>
          <w:tcPr>
            <w:tcW w:w="1180" w:type="dxa"/>
            <w:vAlign w:val="bottom"/>
          </w:tcPr>
          <w:p>
            <w:pPr>
              <w:jc w:val="center"/>
              <w:ind w:right="153"/>
              <w:spacing w:after="0"/>
              <w:rPr>
                <w:sz w:val="20"/>
                <w:szCs w:val="20"/>
                <w:color w:val="auto"/>
              </w:rPr>
            </w:pPr>
            <w:r>
              <w:rPr>
                <w:rFonts w:ascii="Arial" w:cs="Arial" w:eastAsia="Arial" w:hAnsi="Arial"/>
                <w:sz w:val="16"/>
                <w:szCs w:val="16"/>
                <w:b w:val="1"/>
                <w:bCs w:val="1"/>
                <w:color w:val="auto"/>
                <w:w w:val="93"/>
              </w:rPr>
              <w:t>Value(a)</w:t>
            </w:r>
          </w:p>
        </w:tc>
        <w:tc>
          <w:tcPr>
            <w:tcW w:w="0" w:type="dxa"/>
            <w:vAlign w:val="bottom"/>
          </w:tcPr>
          <w:p>
            <w:pPr>
              <w:spacing w:after="0"/>
              <w:rPr>
                <w:sz w:val="1"/>
                <w:szCs w:val="1"/>
                <w:color w:val="auto"/>
              </w:rPr>
            </w:pPr>
          </w:p>
        </w:tc>
      </w:tr>
      <w:tr>
        <w:trPr>
          <w:trHeight w:val="246"/>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13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388,385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85"/>
              </w:rPr>
              <w:t>8.79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550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(89,462)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298,923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85"/>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43"/>
        </w:trPr>
        <w:tc>
          <w:tcPr>
            <w:tcW w:w="550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(95,962)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202,961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5"/>
              </w:rPr>
              <w:t>6.79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00" w:type="dxa"/>
            <w:vAlign w:val="bottom"/>
          </w:tcPr>
          <w:p>
            <w:pPr>
              <w:ind w:left="20"/>
              <w:spacing w:after="0"/>
              <w:rPr>
                <w:sz w:val="20"/>
                <w:szCs w:val="20"/>
                <w:color w:val="auto"/>
              </w:rPr>
            </w:pPr>
            <w:r>
              <w:rPr>
                <w:rFonts w:ascii="Arial" w:cs="Arial" w:eastAsia="Arial" w:hAnsi="Arial"/>
                <w:sz w:val="18"/>
                <w:szCs w:val="18"/>
                <w:color w:val="auto"/>
              </w:rPr>
              <w:t>Options exercisable at December 31, 2019</w:t>
            </w: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202,961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21"/>
                <w:szCs w:val="21"/>
                <w:color w:val="auto"/>
              </w:rPr>
            </w:pPr>
          </w:p>
        </w:tc>
        <w:tc>
          <w:tcPr>
            <w:tcW w:w="13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85"/>
              </w:rPr>
              <w:t>6.79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expected to vest in the future</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0" w:right="220" w:hanging="329"/>
        <w:spacing w:after="0" w:line="277" w:lineRule="auto"/>
        <w:tabs>
          <w:tab w:leader="none" w:pos="5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(i) the exercise price of the underlying award and (ii) the quoted price of AMC Networks Class A Common Stock on the reporting date, as indicated.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Share-based Compensation Expense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recorded share-based compensation expense of $64.1 million, $61.0 million and $53.5 million, reduced for forfeitures, for the years ended December 31, 2019, 2018 and 2017, respectively. Forfeitures are estimated based on historical experience. To the extent actual results of forfeitures differ from those estimates, such amounts are recorded as an adjustment in the period the estimates are revised.</w:t>
      </w:r>
    </w:p>
    <w:p>
      <w:pPr>
        <w:spacing w:after="0" w:line="73"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Share-based compensation expense is recognized in the consolidated statements of income as part of selling, general and administrative expenses. As of December 31, 2019, there was $70.7 million of total unrecognized share-based compensation costs related to Company employees who held unvested AMC Networks restricted stock units and options. The unrecognized compensation cost is expected to be recognized over a weighted-average remaining period of approximately 1.93 years. There were no costs related to share-based compensation that were capitalized.</w:t>
      </w:r>
    </w:p>
    <w:p>
      <w:pPr>
        <w:spacing w:after="0" w:line="63"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The Company receives income tax deductions related to restricted stock units, stock options or other equity awards granted to its employees by the Company. The Company uses the 'with-and-without' approach to determine the recognition and measurement of excess tax benefits and deficiencies.</w:t>
      </w:r>
    </w:p>
    <w:p>
      <w:pPr>
        <w:spacing w:after="0" w:line="16"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Cash flows resulting from excess tax benefits and deficiencies are classified along with other income tax cash flows as an operating activity. Excess tax benefits are realized tax benefits from tax deductions for options exercised and restricted shares issued, in excess of the deferred tax asset attributable to stock compensation costs for such awards. Excess tax deficiencies are realized deficiencies from tax deductions being less than the deferred tax asset. Excess tax benefits of $0.1 million were recorded for the year ended December 31, 2019 and excess tax deficiencies of $2.0 million, and $2.2 million were recorded for the years ended December 31, 2018 and 2017, respectively.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Under the terms of the 2016 Cash Incentive Plan, the Company is authorized to grant a cash or equity based award to certain employees. The terms and conditions of such awards are determined by the Compensation Committee of the Company's Board of Directors, may include the achievement of certain performance criteria and may extend for a period not to exceed ten years. Beginning in 2016, the Company has granted long-term incentive awards in the form of PRSUs whereas cash awards were issued in prior years.</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connection with the long-term incentive awards outstanding, the Company recorded expense of $1.3 million and $7.5 million for the years ended December 31, 2018 and 2017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Benefit Plans</w:t>
      </w:r>
    </w:p>
    <w:p>
      <w:pPr>
        <w:spacing w:after="0" w:line="12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Certain employees of the Company participate in the AMC Networks 401(k) Savings Plan (the "401(k) Plan"), a qualified defined contribution plan, and the AMC Networks Excess Savings Plan (the "Excess Savings Plan"), a non-qualified deferred compensation plan. Under the 401(k) Plan, participating Company employees may contribute into their plan accounts a percentage of their eligible pay on a before-tax basis as well as a percentage of their eligible pay on an after-tax basis. The Company makes matching contributions on behalf of participating employees in accordance with the terms of the 401(k) Plan. In addition to the matching contribution, the Company may make a discretionary year-end contribution to employee 401(k) Plan and Excess Savings Plan accounts, subject to certain conditions.</w:t>
      </w:r>
    </w:p>
    <w:p>
      <w:pPr>
        <w:spacing w:after="0" w:line="85"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Total expense related to all benefit plans was $8.3 million, $5.9 million and $9.1 million for the years ended December 31, 2019, 2018 and 2017, respectively. The Company does not provide postretirement benefits for any of its employees.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Related Party Transactions</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On June 30, 2011, Cablevision spun off the Company (the "Distribution") and the Company became an independent public company. At the time of the Distribution, both Cablevision and AMC Networks were controlled by Charles F. Dolan, certain members of his immediate family and certain family related entities (collectively the "Dolan Family").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2% of the Company's outstanding Class A Common Stock. Such shares of the Company's Class A Common Stock and Class B Common Stock, collectively, represent approximately 73% of the aggregate voting power of the Company's outstanding common stock. Members of the Dolan Family are also the controlling stockholders of The Madison Square Garden Company ("MSG") and MSG Networks Inc. ("MSG Networks").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provides services to and receives services from MSG and MSG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 net</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AMC Networks Broadcasting &amp; Technology has entered into agreements with MSG Networks to provide various transponder, technical and support services through 2020. Revenues, net from related parties amounted to $4.8 million, $5.6 million and $6.2 million for the years ended December 31, 2019, 2018 and 2017, respectively.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Amounts charged to the Company, included in selling, general and administrative expenses, pursuant to a transition services agreement and for other transactions with its related parties amounted to $1.0 million, $1.6 million and $1.5 million for the years ended December 31, 2019, 2018 and 2017, respectively.</w:t>
      </w:r>
    </w:p>
    <w:p>
      <w:pPr>
        <w:spacing w:after="0" w:line="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2016, AMC Networks entered into an arrangement with the Dolan Family Office, LLC ("DFO"), MSG and MSG Networks providing for the sharing of certain expenses associated with executive office space which will be available to Charles F. Dolan (the Executive Chairman and a director of the Company and a director of MSG and MSG Networks), James L. Dolan (the Executive Chairman and a director of MSG and MSG Networks and a director of the Company), and the DFO which is controlled by Charles F. Dolan. The Company's share of initial set-up costs and office expenses is not material.</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2019, 2018 and 2017, the Company's non-cash investing and financing activities and other supplemental data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8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Years Ended December 31,</w:t>
            </w:r>
          </w:p>
        </w:tc>
        <w:tc>
          <w:tcPr>
            <w:tcW w:w="1080" w:type="dxa"/>
            <w:vAlign w:val="bottom"/>
          </w:tcPr>
          <w:p>
            <w:pPr>
              <w:spacing w:after="0"/>
              <w:rPr>
                <w:sz w:val="18"/>
                <w:szCs w:val="18"/>
                <w:color w:val="auto"/>
              </w:rPr>
            </w:pPr>
          </w:p>
        </w:tc>
      </w:tr>
      <w:tr>
        <w:trPr>
          <w:trHeight w:val="33"/>
        </w:trPr>
        <w:tc>
          <w:tcPr>
            <w:tcW w:w="6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64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r>
      <w:tr>
        <w:trPr>
          <w:trHeight w:val="236"/>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920" w:type="dxa"/>
            <w:vAlign w:val="bottom"/>
          </w:tcPr>
          <w:p>
            <w:pPr>
              <w:ind w:left="340"/>
              <w:spacing w:after="0"/>
              <w:rPr>
                <w:sz w:val="20"/>
                <w:szCs w:val="20"/>
                <w:color w:val="auto"/>
              </w:rPr>
            </w:pPr>
            <w:r>
              <w:rPr>
                <w:rFonts w:ascii="Arial" w:cs="Arial" w:eastAsia="Arial" w:hAnsi="Arial"/>
                <w:sz w:val="18"/>
                <w:szCs w:val="18"/>
                <w:color w:val="auto"/>
              </w:rPr>
              <w:t>Treasury stock not yet settled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995</w:t>
            </w:r>
          </w:p>
        </w:tc>
      </w:tr>
      <w:tr>
        <w:trPr>
          <w:trHeight w:val="27"/>
        </w:trPr>
        <w:tc>
          <w:tcPr>
            <w:tcW w:w="6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Exercise of RLJE Warrants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5,001</w:t>
            </w:r>
          </w:p>
        </w:tc>
      </w:tr>
      <w:tr>
        <w:trPr>
          <w:trHeight w:val="243"/>
        </w:trPr>
        <w:tc>
          <w:tcPr>
            <w:tcW w:w="6920" w:type="dxa"/>
            <w:vAlign w:val="bottom"/>
          </w:tcPr>
          <w:p>
            <w:pPr>
              <w:ind w:left="340"/>
              <w:spacing w:after="0"/>
              <w:rPr>
                <w:sz w:val="20"/>
                <w:szCs w:val="20"/>
                <w:color w:val="auto"/>
              </w:rPr>
            </w:pPr>
            <w:r>
              <w:rPr>
                <w:rFonts w:ascii="Arial" w:cs="Arial" w:eastAsia="Arial" w:hAnsi="Arial"/>
                <w:sz w:val="18"/>
                <w:szCs w:val="18"/>
                <w:color w:val="auto"/>
              </w:rPr>
              <w:t>Capital expenditures incurred but not yet paid</w:t>
            </w:r>
          </w:p>
        </w:tc>
        <w:tc>
          <w:tcPr>
            <w:tcW w:w="1280" w:type="dxa"/>
            <w:vAlign w:val="bottom"/>
          </w:tcPr>
          <w:p>
            <w:pPr>
              <w:jc w:val="right"/>
              <w:spacing w:after="0"/>
              <w:rPr>
                <w:sz w:val="20"/>
                <w:szCs w:val="20"/>
                <w:color w:val="auto"/>
              </w:rPr>
            </w:pPr>
            <w:r>
              <w:rPr>
                <w:rFonts w:ascii="Arial" w:cs="Arial" w:eastAsia="Arial" w:hAnsi="Arial"/>
                <w:sz w:val="18"/>
                <w:szCs w:val="18"/>
                <w:color w:val="auto"/>
              </w:rPr>
              <w:t>6,270</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5,889</w:t>
            </w:r>
          </w:p>
        </w:tc>
      </w:tr>
      <w:tr>
        <w:trPr>
          <w:trHeight w:val="27"/>
        </w:trPr>
        <w:tc>
          <w:tcPr>
            <w:tcW w:w="6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Supplemental Data:</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40"/>
              <w:spacing w:after="0"/>
              <w:rPr>
                <w:sz w:val="20"/>
                <w:szCs w:val="20"/>
                <w:color w:val="auto"/>
              </w:rPr>
            </w:pPr>
            <w:r>
              <w:rPr>
                <w:rFonts w:ascii="Arial" w:cs="Arial" w:eastAsia="Arial" w:hAnsi="Arial"/>
                <w:sz w:val="18"/>
                <w:szCs w:val="18"/>
                <w:color w:val="auto"/>
              </w:rPr>
              <w:t>Cash interest paid</w:t>
            </w:r>
          </w:p>
        </w:tc>
        <w:tc>
          <w:tcPr>
            <w:tcW w:w="1280" w:type="dxa"/>
            <w:vAlign w:val="bottom"/>
          </w:tcPr>
          <w:p>
            <w:pPr>
              <w:jc w:val="right"/>
              <w:spacing w:after="0"/>
              <w:rPr>
                <w:sz w:val="20"/>
                <w:szCs w:val="20"/>
                <w:color w:val="auto"/>
              </w:rPr>
            </w:pPr>
            <w:r>
              <w:rPr>
                <w:rFonts w:ascii="Arial" w:cs="Arial" w:eastAsia="Arial" w:hAnsi="Arial"/>
                <w:sz w:val="18"/>
                <w:szCs w:val="18"/>
                <w:color w:val="auto"/>
              </w:rPr>
              <w:t>151,501</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147,710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110,650</w:t>
            </w:r>
          </w:p>
        </w:tc>
      </w:tr>
      <w:tr>
        <w:trPr>
          <w:trHeight w:val="27"/>
        </w:trPr>
        <w:tc>
          <w:tcPr>
            <w:tcW w:w="6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 net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139,994</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138,433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219,425</w:t>
            </w:r>
          </w:p>
        </w:tc>
      </w:tr>
      <w:tr>
        <w:trPr>
          <w:trHeight w:val="27"/>
        </w:trPr>
        <w:tc>
          <w:tcPr>
            <w:tcW w:w="6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Accumulated Other Comprehensive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components of accumulated other comprehensive loss: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Beginning Balance</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Net current-period other comprehensive (loss), before income taxes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 (benefit)</w:t>
      </w:r>
    </w:p>
    <w:p>
      <w:pPr>
        <w:spacing w:after="0" w:line="63" w:lineRule="exact"/>
        <w:rPr>
          <w:sz w:val="20"/>
          <w:szCs w:val="20"/>
          <w:color w:val="auto"/>
        </w:rPr>
      </w:pPr>
    </w:p>
    <w:p>
      <w:pPr>
        <w:ind w:left="40" w:right="40"/>
        <w:spacing w:after="0" w:line="277" w:lineRule="auto"/>
        <w:rPr>
          <w:sz w:val="20"/>
          <w:szCs w:val="20"/>
          <w:color w:val="auto"/>
        </w:rPr>
      </w:pPr>
      <w:r>
        <w:rPr>
          <w:rFonts w:ascii="Arial" w:cs="Arial" w:eastAsia="Arial" w:hAnsi="Arial"/>
          <w:sz w:val="18"/>
          <w:szCs w:val="18"/>
          <w:color w:val="auto"/>
        </w:rPr>
        <w:t>Net current-period other comprehensive (loss), net of income taxes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43135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Gains (Losses) on</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17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Currency Translation</w:t>
            </w: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Gains (Losses) on</w:t>
            </w:r>
          </w:p>
        </w:tc>
        <w:tc>
          <w:tcPr>
            <w:tcW w:w="14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Available for Sale</w:t>
            </w:r>
          </w:p>
        </w:tc>
        <w:tc>
          <w:tcPr>
            <w:tcW w:w="100" w:type="dxa"/>
            <w:vAlign w:val="bottom"/>
          </w:tcPr>
          <w:p>
            <w:pPr>
              <w:spacing w:after="0"/>
              <w:rPr>
                <w:sz w:val="17"/>
                <w:szCs w:val="17"/>
                <w:color w:val="auto"/>
              </w:rPr>
            </w:pPr>
          </w:p>
        </w:tc>
        <w:tc>
          <w:tcPr>
            <w:tcW w:w="1500" w:type="dxa"/>
            <w:vAlign w:val="bottom"/>
          </w:tcPr>
          <w:p>
            <w:pPr>
              <w:jc w:val="right"/>
              <w:ind w:right="31"/>
              <w:spacing w:after="0"/>
              <w:rPr>
                <w:sz w:val="20"/>
                <w:szCs w:val="20"/>
                <w:color w:val="auto"/>
              </w:rPr>
            </w:pPr>
            <w:r>
              <w:rPr>
                <w:rFonts w:ascii="Arial" w:cs="Arial" w:eastAsia="Arial" w:hAnsi="Arial"/>
                <w:sz w:val="16"/>
                <w:szCs w:val="16"/>
                <w:b w:val="1"/>
                <w:bCs w:val="1"/>
                <w:color w:val="auto"/>
                <w:w w:val="92"/>
              </w:rPr>
              <w:t>Accumulated Other</w:t>
            </w:r>
          </w:p>
        </w:tc>
      </w:tr>
      <w:tr>
        <w:trPr>
          <w:trHeight w:val="210"/>
        </w:trPr>
        <w:tc>
          <w:tcPr>
            <w:tcW w:w="24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Adjustment</w:t>
            </w:r>
          </w:p>
        </w:tc>
        <w:tc>
          <w:tcPr>
            <w:tcW w:w="14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Cash Flow Hedges</w:t>
            </w:r>
          </w:p>
        </w:tc>
        <w:tc>
          <w:tcPr>
            <w:tcW w:w="14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Investments</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Comprehensive Loss</w:t>
            </w:r>
          </w:p>
        </w:tc>
      </w:tr>
      <w:tr>
        <w:trPr>
          <w:trHeight w:val="276"/>
        </w:trPr>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(159,920)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(160,194)</w:t>
            </w:r>
          </w:p>
        </w:tc>
      </w:tr>
      <w:tr>
        <w:trPr>
          <w:trHeight w:val="486"/>
        </w:trPr>
        <w:tc>
          <w:tcPr>
            <w:tcW w:w="240" w:type="dxa"/>
            <w:vAlign w:val="bottom"/>
          </w:tcPr>
          <w:p>
            <w:pPr>
              <w:spacing w:after="0"/>
              <w:rPr>
                <w:sz w:val="24"/>
                <w:szCs w:val="24"/>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(1,609)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(7,881)</w:t>
            </w:r>
          </w:p>
        </w:tc>
      </w:tr>
      <w:tr>
        <w:trPr>
          <w:trHeight w:val="270"/>
        </w:trPr>
        <w:tc>
          <w:tcPr>
            <w:tcW w:w="24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364</w:t>
            </w:r>
          </w:p>
        </w:tc>
      </w:tr>
      <w:tr>
        <w:trPr>
          <w:trHeight w:val="486"/>
        </w:trPr>
        <w:tc>
          <w:tcPr>
            <w:tcW w:w="240" w:type="dxa"/>
            <w:vAlign w:val="bottom"/>
          </w:tcPr>
          <w:p>
            <w:pPr>
              <w:spacing w:after="0"/>
              <w:rPr>
                <w:sz w:val="24"/>
                <w:szCs w:val="24"/>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(6,283)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(1,234)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(7,517)</w:t>
            </w:r>
          </w:p>
        </w:tc>
      </w:tr>
      <w:tr>
        <w:trPr>
          <w:trHeight w:val="27"/>
        </w:trPr>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(166,203)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(1,508)</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(167,711)</w:t>
            </w:r>
          </w:p>
        </w:tc>
      </w:tr>
      <w:tr>
        <w:trPr>
          <w:trHeight w:val="27"/>
        </w:trPr>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-1174115</wp:posOffset>
            </wp:positionV>
            <wp:extent cx="722058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-694055</wp:posOffset>
            </wp:positionV>
            <wp:extent cx="722058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-213995</wp:posOffset>
            </wp:positionV>
            <wp:extent cx="7220585" cy="197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220585"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120"/>
            <w:col w:w="680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5"/>
          </w:tcPr>
          <w:p>
            <w:pPr>
              <w:ind w:left="440"/>
              <w:spacing w:after="0"/>
              <w:rPr>
                <w:sz w:val="20"/>
                <w:szCs w:val="20"/>
                <w:color w:val="auto"/>
              </w:rPr>
            </w:pPr>
            <w:r>
              <w:rPr>
                <w:rFonts w:ascii="Arial" w:cs="Arial" w:eastAsia="Arial" w:hAnsi="Arial"/>
                <w:sz w:val="16"/>
                <w:szCs w:val="16"/>
                <w:b w:val="1"/>
                <w:bCs w:val="1"/>
                <w:color w:val="auto"/>
              </w:rPr>
              <w:t>Year Ended December 31, 2018</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Gains (Losses) on</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Currency Translation</w:t>
            </w: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Gains (Losses) on</w:t>
            </w: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Available for Sale</w:t>
            </w:r>
          </w:p>
        </w:tc>
        <w:tc>
          <w:tcPr>
            <w:tcW w:w="100" w:type="dxa"/>
            <w:vAlign w:val="bottom"/>
          </w:tcPr>
          <w:p>
            <w:pPr>
              <w:spacing w:after="0"/>
              <w:rPr>
                <w:sz w:val="17"/>
                <w:szCs w:val="17"/>
                <w:color w:val="auto"/>
              </w:rPr>
            </w:pPr>
          </w:p>
        </w:tc>
        <w:tc>
          <w:tcPr>
            <w:tcW w:w="1500" w:type="dxa"/>
            <w:vAlign w:val="bottom"/>
          </w:tcPr>
          <w:p>
            <w:pPr>
              <w:jc w:val="right"/>
              <w:ind w:right="31"/>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Adjustment</w:t>
            </w:r>
          </w:p>
        </w:tc>
        <w:tc>
          <w:tcPr>
            <w:tcW w:w="1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Cash Flow Hedges</w:t>
            </w:r>
          </w:p>
        </w:tc>
        <w:tc>
          <w:tcPr>
            <w:tcW w:w="1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Comprehensive Loss</w:t>
            </w:r>
          </w:p>
        </w:tc>
        <w:tc>
          <w:tcPr>
            <w:tcW w:w="0" w:type="dxa"/>
            <w:vAlign w:val="bottom"/>
          </w:tcPr>
          <w:p>
            <w:pPr>
              <w:spacing w:after="0"/>
              <w:rPr>
                <w:sz w:val="1"/>
                <w:szCs w:val="1"/>
                <w:color w:val="auto"/>
              </w:rPr>
            </w:pPr>
          </w:p>
        </w:tc>
      </w:tr>
      <w:tr>
        <w:trPr>
          <w:trHeight w:val="270"/>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(118,166)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3,411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15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(114,386)</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(41,716)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(42,072)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Amounts reclassified from accumulated other comprehensive</w:t>
            </w:r>
          </w:p>
        </w:tc>
        <w:tc>
          <w:tcPr>
            <w:tcW w:w="26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w w:val="93"/>
              </w:rPr>
              <w:t>Net current-period other comprehensive income (loss), before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(41,716)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(42,442)</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w w:val="94"/>
              </w:rPr>
              <w:t>Net current-period other comprehensive income (loss), net of</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(41,754)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(42,397)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Cumulative effect of adoption of accounting standard </w:t>
            </w:r>
            <w:r>
              <w:rPr>
                <w:rFonts w:ascii="Arial" w:cs="Arial" w:eastAsia="Arial" w:hAnsi="Arial"/>
                <w:sz w:val="23"/>
                <w:szCs w:val="23"/>
                <w:color w:val="auto"/>
                <w:vertAlign w:val="superscript"/>
              </w:rPr>
              <w:t>(a)</w:t>
            </w: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(3,411)</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64"/>
        </w:trPr>
        <w:tc>
          <w:tcPr>
            <w:tcW w:w="46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(159,920)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(160,194)</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32"/>
        <w:spacing w:after="0" w:line="277" w:lineRule="auto"/>
        <w:tabs>
          <w:tab w:leader="none" w:pos="502" w:val="left"/>
        </w:tabs>
        <w:numPr>
          <w:ilvl w:val="0"/>
          <w:numId w:val="40"/>
        </w:numPr>
        <w:rPr>
          <w:rFonts w:ascii="Arial" w:cs="Arial" w:eastAsia="Arial" w:hAnsi="Arial"/>
          <w:sz w:val="20"/>
          <w:szCs w:val="20"/>
          <w:color w:val="auto"/>
          <w:vertAlign w:val="superscript"/>
        </w:rPr>
      </w:pPr>
      <w:r>
        <w:rPr>
          <w:rFonts w:ascii="Arial" w:cs="Arial" w:eastAsia="Arial" w:hAnsi="Arial"/>
          <w:sz w:val="16"/>
          <w:szCs w:val="16"/>
          <w:color w:val="auto"/>
        </w:rPr>
        <w:t>Effective January 1, 2018, upon adoption of ASU 2016-01, unrealized gains and losses on equity investments with readily determinable fair values are recorded in miscellaneous expense, net. The Company recorded a transition adjustment to reclassify prior period amounts in other comprehensive income to retained earnings.</w:t>
      </w:r>
    </w:p>
    <w:p>
      <w:pPr>
        <w:spacing w:after="0" w:line="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reclassified to net earnings for gains and losses on cash flow hedges designated as hedging instruments are included in interest expense in the consolidated statements of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Segment Information</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7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evaluates segment performance based on several factors, of which the primary financial measure is operating segment adjusted operating income ("AOI"), a non-GAAP measure. The Company defines AOI as operating income (loss) before depreciation and amortization, share-based compensation expense or benefit, impairment and related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 accepted GAAP measure, and other information as to the continuing operations of the Company's operating segments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 2019</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00"/>
              <w:spacing w:after="0" w:line="155" w:lineRule="exact"/>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3"/>
                <w:szCs w:val="13"/>
                <w:color w:val="auto"/>
              </w:rPr>
            </w:pPr>
          </w:p>
        </w:tc>
        <w:tc>
          <w:tcPr>
            <w:tcW w:w="146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3"/>
                <w:szCs w:val="13"/>
                <w:color w:val="auto"/>
              </w:rPr>
            </w:pPr>
          </w:p>
        </w:tc>
        <w:tc>
          <w:tcPr>
            <w:tcW w:w="136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Networks</w:t>
            </w: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904,253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89,659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993,833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1,464,791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644,484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2,066,488</w:t>
            </w:r>
          </w:p>
        </w:tc>
        <w:tc>
          <w:tcPr>
            <w:tcW w:w="0" w:type="dxa"/>
            <w:vAlign w:val="bottom"/>
          </w:tcPr>
          <w:p>
            <w:pPr>
              <w:spacing w:after="0"/>
              <w:rPr>
                <w:sz w:val="1"/>
                <w:szCs w:val="1"/>
                <w:color w:val="auto"/>
              </w:rPr>
            </w:pPr>
          </w:p>
        </w:tc>
      </w:tr>
      <w:tr>
        <w:trPr>
          <w:trHeight w:val="264"/>
        </w:trPr>
        <w:tc>
          <w:tcPr>
            <w:tcW w:w="47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2,369,044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734,143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(42,866)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3,060,321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804,422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625,277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52,977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64,133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32,674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101,098</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106,603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106,603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13,453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40,914</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3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903,526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50,193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(9,729)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943,990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36,199</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55,405</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91,604</w:t>
            </w:r>
          </w:p>
        </w:tc>
        <w:tc>
          <w:tcPr>
            <w:tcW w:w="0" w:type="dxa"/>
            <w:vAlign w:val="bottom"/>
          </w:tcPr>
          <w:p>
            <w:pPr>
              <w:spacing w:after="0"/>
              <w:rPr>
                <w:sz w:val="1"/>
                <w:szCs w:val="1"/>
                <w:color w:val="auto"/>
              </w:rPr>
            </w:pPr>
          </w:p>
        </w:tc>
      </w:tr>
      <w:tr>
        <w:trPr>
          <w:trHeight w:val="737"/>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 2018</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00"/>
              <w:spacing w:after="0" w:line="155" w:lineRule="exact"/>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3"/>
                <w:szCs w:val="13"/>
                <w:color w:val="auto"/>
              </w:rPr>
            </w:pPr>
          </w:p>
        </w:tc>
        <w:tc>
          <w:tcPr>
            <w:tcW w:w="146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3"/>
                <w:szCs w:val="13"/>
                <w:color w:val="auto"/>
              </w:rPr>
            </w:pPr>
          </w:p>
        </w:tc>
        <w:tc>
          <w:tcPr>
            <w:tcW w:w="136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Networks</w:t>
            </w: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944,675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91,404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1,036,079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1,468,650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506,902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1,935,850</w:t>
            </w:r>
          </w:p>
        </w:tc>
        <w:tc>
          <w:tcPr>
            <w:tcW w:w="0" w:type="dxa"/>
            <w:vAlign w:val="bottom"/>
          </w:tcPr>
          <w:p>
            <w:pPr>
              <w:spacing w:after="0"/>
              <w:rPr>
                <w:sz w:val="1"/>
                <w:szCs w:val="1"/>
                <w:color w:val="auto"/>
              </w:rPr>
            </w:pPr>
          </w:p>
        </w:tc>
      </w:tr>
      <w:tr>
        <w:trPr>
          <w:trHeight w:val="264"/>
        </w:trPr>
        <w:tc>
          <w:tcPr>
            <w:tcW w:w="47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2,413,325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598,306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(39,702)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2,971,929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825,770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726,909</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48,621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12,358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60,979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33,728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91,281</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45,847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925,279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19,303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(12,037)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932,545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16,316</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73,486</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89,802</w:t>
            </w:r>
          </w:p>
        </w:tc>
        <w:tc>
          <w:tcPr>
            <w:tcW w:w="0" w:type="dxa"/>
            <w:vAlign w:val="bottom"/>
          </w:tcPr>
          <w:p>
            <w:pPr>
              <w:spacing w:after="0"/>
              <w:rPr>
                <w:sz w:val="1"/>
                <w:szCs w:val="1"/>
                <w:color w:val="auto"/>
              </w:rPr>
            </w:pPr>
          </w:p>
        </w:tc>
      </w:tr>
      <w:tr>
        <w:trPr>
          <w:trHeight w:val="737"/>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 2017</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00"/>
              <w:spacing w:after="0" w:line="155" w:lineRule="exact"/>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3"/>
                <w:szCs w:val="13"/>
                <w:color w:val="auto"/>
              </w:rPr>
            </w:pPr>
          </w:p>
        </w:tc>
        <w:tc>
          <w:tcPr>
            <w:tcW w:w="146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3"/>
                <w:szCs w:val="13"/>
                <w:color w:val="auto"/>
              </w:rPr>
            </w:pPr>
          </w:p>
        </w:tc>
        <w:tc>
          <w:tcPr>
            <w:tcW w:w="136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Networks</w:t>
            </w: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959,551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89,894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1,049,445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1,408,064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367,288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1,756,246</w:t>
            </w:r>
          </w:p>
        </w:tc>
        <w:tc>
          <w:tcPr>
            <w:tcW w:w="0" w:type="dxa"/>
            <w:vAlign w:val="bottom"/>
          </w:tcPr>
          <w:p>
            <w:pPr>
              <w:spacing w:after="0"/>
              <w:rPr>
                <w:sz w:val="1"/>
                <w:szCs w:val="1"/>
                <w:color w:val="auto"/>
              </w:rPr>
            </w:pPr>
          </w:p>
        </w:tc>
      </w:tr>
      <w:tr>
        <w:trPr>
          <w:trHeight w:val="264"/>
        </w:trPr>
        <w:tc>
          <w:tcPr>
            <w:tcW w:w="47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2,367,615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457,182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(19,106)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2,805,691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817,566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722,359</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43,697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53,545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94,638</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28,148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28,148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64"/>
        </w:trPr>
        <w:tc>
          <w:tcPr>
            <w:tcW w:w="47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894,912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16,219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(6,313)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904,818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25,333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54,716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80,049</w:t>
            </w: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0" w:type="dxa"/>
            <w:vAlign w:val="bottom"/>
            <w:gridSpan w:val="6"/>
          </w:tcPr>
          <w:p>
            <w:pPr>
              <w:jc w:val="right"/>
              <w:ind w:right="230"/>
              <w:spacing w:after="0"/>
              <w:rPr>
                <w:sz w:val="20"/>
                <w:szCs w:val="20"/>
                <w:color w:val="auto"/>
              </w:rPr>
            </w:pPr>
            <w:r>
              <w:rPr>
                <w:rFonts w:ascii="Arial" w:cs="Arial" w:eastAsia="Arial" w:hAnsi="Arial"/>
                <w:sz w:val="16"/>
                <w:szCs w:val="16"/>
                <w:b w:val="1"/>
                <w:bCs w:val="1"/>
                <w:color w:val="auto"/>
                <w:w w:val="90"/>
              </w:rPr>
              <w:t>Years Ended December 31,</w:t>
            </w:r>
          </w:p>
        </w:tc>
        <w:tc>
          <w:tcPr>
            <w:tcW w:w="1180" w:type="dxa"/>
            <w:vAlign w:val="bottom"/>
          </w:tcPr>
          <w:p>
            <w:pPr>
              <w:spacing w:after="0"/>
              <w:rPr>
                <w:sz w:val="18"/>
                <w:szCs w:val="18"/>
                <w:color w:val="auto"/>
              </w:rPr>
            </w:pPr>
          </w:p>
        </w:tc>
      </w:tr>
      <w:tr>
        <w:trPr>
          <w:trHeight w:val="3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2017</w:t>
            </w: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480" w:type="dxa"/>
            <w:vAlign w:val="bottom"/>
          </w:tcPr>
          <w:p>
            <w:pPr>
              <w:ind w:left="320"/>
              <w:spacing w:after="0"/>
              <w:rPr>
                <w:sz w:val="20"/>
                <w:szCs w:val="20"/>
                <w:color w:val="auto"/>
              </w:rPr>
            </w:pPr>
            <w:r>
              <w:rPr>
                <w:rFonts w:ascii="Arial" w:cs="Arial" w:eastAsia="Arial" w:hAnsi="Arial"/>
                <w:sz w:val="18"/>
                <w:szCs w:val="18"/>
                <w:color w:val="auto"/>
              </w:rPr>
              <w:t>National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(32,762)</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(33,600)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(17,634)</w:t>
            </w: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International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w:t>
            </w:r>
          </w:p>
        </w:tc>
      </w:tr>
      <w:tr>
        <w:trPr>
          <w:trHeight w:val="237"/>
        </w:trPr>
        <w:tc>
          <w:tcPr>
            <w:tcW w:w="64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(42,866)</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(39,702)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(19,106)</w:t>
            </w:r>
          </w:p>
        </w:tc>
      </w:tr>
      <w:tr>
        <w:trPr>
          <w:trHeight w:val="27"/>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One customer within the National Networks segment accounted for approximately 10% revenues, net for the years ended December 31, 2019 and 2018, respectively, and 11% of consolidated revenues, net for the year ended December 31, 2017.</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 based on customer location: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gridSpan w:val="4"/>
          </w:tcPr>
          <w:p>
            <w:pPr>
              <w:ind w:left="80"/>
              <w:spacing w:after="0"/>
              <w:rPr>
                <w:sz w:val="20"/>
                <w:szCs w:val="20"/>
                <w:color w:val="auto"/>
              </w:rPr>
            </w:pPr>
            <w:r>
              <w:rPr>
                <w:rFonts w:ascii="Arial" w:cs="Arial" w:eastAsia="Arial" w:hAnsi="Arial"/>
                <w:sz w:val="16"/>
                <w:szCs w:val="16"/>
                <w:b w:val="1"/>
                <w:bCs w:val="1"/>
                <w:color w:val="auto"/>
                <w:w w:val="92"/>
              </w:rPr>
              <w:t>Years Ended December 31,</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2017</w:t>
            </w:r>
          </w:p>
        </w:tc>
      </w:tr>
      <w:tr>
        <w:trPr>
          <w:trHeight w:val="23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582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2,511,686</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2,389,624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2,244,057</w:t>
            </w:r>
          </w:p>
        </w:tc>
      </w:tr>
      <w:tr>
        <w:trPr>
          <w:trHeight w:val="27"/>
        </w:trPr>
        <w:tc>
          <w:tcPr>
            <w:tcW w:w="5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382,888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394,235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369,815</w:t>
            </w:r>
          </w:p>
        </w:tc>
      </w:tr>
      <w:tr>
        <w:trPr>
          <w:trHeight w:val="243"/>
        </w:trPr>
        <w:tc>
          <w:tcPr>
            <w:tcW w:w="5820" w:type="dxa"/>
            <w:vAlign w:val="bottom"/>
          </w:tcPr>
          <w:p>
            <w:pPr>
              <w:ind w:left="3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165,747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188,070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191,819</w:t>
            </w:r>
          </w:p>
        </w:tc>
      </w:tr>
      <w:tr>
        <w:trPr>
          <w:trHeight w:val="27"/>
        </w:trPr>
        <w:tc>
          <w:tcPr>
            <w:tcW w:w="5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5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3,060,321</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2,971,929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2,805,691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p>
      <w:pPr>
        <w:spacing w:after="0" w:line="172"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37465</wp:posOffset>
            </wp:positionV>
            <wp:extent cx="23666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r>
      <w:tr>
        <w:trPr>
          <w:trHeight w:val="23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244,175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202,833</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25,925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27,218</w:t>
            </w:r>
          </w:p>
        </w:tc>
      </w:tr>
      <w:tr>
        <w:trPr>
          <w:trHeight w:val="243"/>
        </w:trPr>
        <w:tc>
          <w:tcPr>
            <w:tcW w:w="7660" w:type="dxa"/>
            <w:vAlign w:val="bottom"/>
          </w:tcPr>
          <w:p>
            <w:pPr>
              <w:ind w:left="3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13,652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16,211</w:t>
            </w: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76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283,752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246,262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Condensed Consolidating Financial Statements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Debt of AMC Networks includes $600.0 million of 4.75% Notes due December 2022 and $1.0 billion of 5.00% Notes due April 2024 and $800.0 million of 4.75% Notes due August 2025. All outstanding senior notes issued by AMC Networks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1" w:name="page112"/>
    <w:bookmarkEnd w:id="111"/>
    <w:p>
      <w:pPr>
        <w:jc w:val="center"/>
        <w:ind w:right="20"/>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17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ind w:left="20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574,771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816,170</w:t>
            </w:r>
          </w:p>
        </w:tc>
        <w:tc>
          <w:tcPr>
            <w:tcW w:w="0" w:type="dxa"/>
            <w:vAlign w:val="bottom"/>
          </w:tcPr>
          <w:p>
            <w:pPr>
              <w:spacing w:after="0"/>
              <w:rPr>
                <w:sz w:val="1"/>
                <w:szCs w:val="1"/>
                <w:color w:val="auto"/>
              </w:rPr>
            </w:pPr>
          </w:p>
        </w:tc>
      </w:tr>
      <w:tr>
        <w:trPr>
          <w:trHeight w:val="135"/>
        </w:trPr>
        <w:tc>
          <w:tcPr>
            <w:tcW w:w="4580" w:type="dxa"/>
            <w:vAlign w:val="bottom"/>
          </w:tcPr>
          <w:p>
            <w:pPr>
              <w:ind w:left="340"/>
              <w:spacing w:after="0" w:line="135" w:lineRule="exact"/>
              <w:rPr>
                <w:sz w:val="20"/>
                <w:szCs w:val="20"/>
                <w:color w:val="auto"/>
              </w:rPr>
            </w:pPr>
            <w:r>
              <w:rPr>
                <w:rFonts w:ascii="Arial" w:cs="Arial" w:eastAsia="Arial" w:hAnsi="Arial"/>
                <w:sz w:val="14"/>
                <w:szCs w:val="14"/>
                <w:color w:val="auto"/>
              </w:rPr>
              <w:t>Accounts receivable, trade (including amounts due from</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340"/>
              <w:spacing w:after="0" w:line="135" w:lineRule="exact"/>
              <w:rPr>
                <w:sz w:val="20"/>
                <w:szCs w:val="20"/>
                <w:color w:val="auto"/>
              </w:rPr>
            </w:pPr>
            <w:r>
              <w:rPr>
                <w:rFonts w:ascii="Arial" w:cs="Arial" w:eastAsia="Arial" w:hAnsi="Arial"/>
                <w:sz w:val="14"/>
                <w:szCs w:val="14"/>
                <w:color w:val="auto"/>
              </w:rPr>
              <w:t>related parties, net,</w:t>
            </w:r>
          </w:p>
        </w:tc>
        <w:tc>
          <w:tcPr>
            <w:tcW w:w="100" w:type="dxa"/>
            <w:vAlign w:val="bottom"/>
          </w:tcPr>
          <w:p>
            <w:pPr>
              <w:spacing w:after="0"/>
              <w:rPr>
                <w:sz w:val="11"/>
                <w:szCs w:val="11"/>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color w:val="auto"/>
              </w:rPr>
              <w:t>588,715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268,428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color w:val="auto"/>
              </w:rPr>
              <w:t>857,143</w:t>
            </w:r>
          </w:p>
        </w:tc>
        <w:tc>
          <w:tcPr>
            <w:tcW w:w="0" w:type="dxa"/>
            <w:vAlign w:val="bottom"/>
          </w:tcPr>
          <w:p>
            <w:pPr>
              <w:spacing w:after="0"/>
              <w:rPr>
                <w:sz w:val="1"/>
                <w:szCs w:val="1"/>
                <w:color w:val="auto"/>
              </w:rPr>
            </w:pPr>
          </w:p>
        </w:tc>
      </w:tr>
      <w:tr>
        <w:trPr>
          <w:trHeight w:val="186"/>
        </w:trPr>
        <w:tc>
          <w:tcPr>
            <w:tcW w:w="4580" w:type="dxa"/>
            <w:vAlign w:val="bottom"/>
          </w:tcPr>
          <w:p>
            <w:pPr>
              <w:ind w:left="340"/>
              <w:spacing w:after="0"/>
              <w:rPr>
                <w:sz w:val="20"/>
                <w:szCs w:val="20"/>
                <w:color w:val="auto"/>
              </w:rPr>
            </w:pPr>
            <w:r>
              <w:rPr>
                <w:rFonts w:ascii="Arial" w:cs="Arial" w:eastAsia="Arial" w:hAnsi="Arial"/>
                <w:sz w:val="14"/>
                <w:szCs w:val="14"/>
                <w:color w:val="auto"/>
              </w:rPr>
              <w:t>less allowance for doubtful accounts)</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program rights, net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270,909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156,385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426,624</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w w:val="98"/>
              </w:rPr>
              <w:t>Prepaid expenses, other current assets and intercompany receivable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30,359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257,022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(48,662)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230,360</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1,691,417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657,684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2,330,297</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217,971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65,781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283,752</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affiliates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3,910,121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1,612,507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(5,522,628)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Program rights, net</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800,294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238,985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1,038,060</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intercompany notes receivable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94,263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56,793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170,056</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372,993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524,531</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63,954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638,026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701,980</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51,611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51,545</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46,330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179,601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268,908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496,465</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4,081,176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4,736,282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2,350,809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(5,571,581)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5,596,686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31,103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63,154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94,306</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liabilities and intercompany payable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29,770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152,680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117,426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251,214</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Current portion of program rights obligations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241,673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63,019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304,692</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63,921</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Current portion of long-term debt</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56,250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56,250</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capital lease obligations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33,959</w:t>
            </w:r>
          </w:p>
        </w:tc>
        <w:tc>
          <w:tcPr>
            <w:tcW w:w="0" w:type="dxa"/>
            <w:vAlign w:val="bottom"/>
          </w:tcPr>
          <w:p>
            <w:pPr>
              <w:spacing w:after="0"/>
              <w:rPr>
                <w:sz w:val="1"/>
                <w:szCs w:val="1"/>
                <w:color w:val="auto"/>
              </w:rPr>
            </w:pPr>
          </w:p>
        </w:tc>
      </w:tr>
      <w:tr>
        <w:trPr>
          <w:trHeight w:val="196"/>
        </w:trPr>
        <w:tc>
          <w:tcPr>
            <w:tcW w:w="4580" w:type="dxa"/>
            <w:vAlign w:val="bottom"/>
          </w:tcPr>
          <w:p>
            <w:pPr>
              <w:ind w:left="64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100,081</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470,027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283,159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(48,925)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804,342</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 rights obligations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223,775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239,813</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3,039,979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3,039,979</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115,243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77,673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211,047</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Deferred tax liability, net</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134,899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136,911</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 and intercompany notes payable</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25,193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119,418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19,055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163,638</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3,415,395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831,351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397,937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(48,953)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4,595,730</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(5,190)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314,641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309,451</w:t>
            </w: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640"/>
              <w:spacing w:after="0"/>
              <w:rPr>
                <w:sz w:val="20"/>
                <w:szCs w:val="20"/>
                <w:color w:val="auto"/>
              </w:rPr>
            </w:pPr>
            <w:r>
              <w:rPr>
                <w:rFonts w:ascii="Arial" w:cs="Arial" w:eastAsia="Arial" w:hAnsi="Arial"/>
                <w:sz w:val="14"/>
                <w:szCs w:val="14"/>
                <w:color w:val="auto"/>
              </w:rPr>
              <w:t>AMC Networks stockholders' equity</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665,781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3,910,121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1,612,507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(5,522,628)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665,781</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Non-redeemable noncontrolling interests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25,724</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665,781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3,910,121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1,638,231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(5,522,628)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691,505</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4,081,176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4,736,282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2,350,809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(5,571,581)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5,596,686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Borders>
              <w:top w:val="single" w:sz="8" w:color="CCEEFF"/>
            </w:tcBorders>
            <w:shd w:val="clear" w:color="auto" w:fill="CCEEFF"/>
          </w:tcPr>
          <w:p>
            <w:pPr>
              <w:ind w:left="200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186,614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135"/>
        </w:trPr>
        <w:tc>
          <w:tcPr>
            <w:tcW w:w="4540" w:type="dxa"/>
            <w:vAlign w:val="bottom"/>
          </w:tcPr>
          <w:p>
            <w:pPr>
              <w:ind w:left="360"/>
              <w:spacing w:after="0" w:line="135" w:lineRule="exact"/>
              <w:rPr>
                <w:sz w:val="20"/>
                <w:szCs w:val="20"/>
                <w:color w:val="auto"/>
              </w:rPr>
            </w:pPr>
            <w:r>
              <w:rPr>
                <w:rFonts w:ascii="Arial" w:cs="Arial" w:eastAsia="Arial" w:hAnsi="Arial"/>
                <w:sz w:val="14"/>
                <w:szCs w:val="14"/>
                <w:color w:val="auto"/>
              </w:rPr>
              <w:t>Accounts receivable, trade (including amounts due from</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ind w:left="360"/>
              <w:spacing w:after="0" w:line="135" w:lineRule="exact"/>
              <w:rPr>
                <w:sz w:val="20"/>
                <w:szCs w:val="20"/>
                <w:color w:val="auto"/>
              </w:rPr>
            </w:pPr>
            <w:r>
              <w:rPr>
                <w:rFonts w:ascii="Arial" w:cs="Arial" w:eastAsia="Arial" w:hAnsi="Arial"/>
                <w:sz w:val="14"/>
                <w:szCs w:val="14"/>
                <w:color w:val="auto"/>
              </w:rPr>
              <w:t>related parties, net,</w:t>
            </w:r>
          </w:p>
        </w:tc>
        <w:tc>
          <w:tcPr>
            <w:tcW w:w="12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600,121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235,840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color w:val="auto"/>
              </w:rPr>
              <w:t>835,977</w:t>
            </w:r>
          </w:p>
        </w:tc>
        <w:tc>
          <w:tcPr>
            <w:tcW w:w="0" w:type="dxa"/>
            <w:vAlign w:val="bottom"/>
          </w:tcPr>
          <w:p>
            <w:pPr>
              <w:spacing w:after="0"/>
              <w:rPr>
                <w:sz w:val="1"/>
                <w:szCs w:val="1"/>
                <w:color w:val="auto"/>
              </w:rPr>
            </w:pPr>
          </w:p>
        </w:tc>
      </w:tr>
      <w:tr>
        <w:trPr>
          <w:trHeight w:val="186"/>
        </w:trPr>
        <w:tc>
          <w:tcPr>
            <w:tcW w:w="4540" w:type="dxa"/>
            <w:vAlign w:val="bottom"/>
          </w:tcPr>
          <w:p>
            <w:pPr>
              <w:ind w:left="36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292,002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148,955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440,739</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w w:val="97"/>
              </w:rPr>
              <w:t>Prepaid expenses, other current assets and intercompany receivable</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6,543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158,936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23,549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131,809</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1,419,210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594,958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1,963,411</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175,040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71,222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246,262</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3,656,003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1,655,083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(5,311,086)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969,802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245,862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1,214,051</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161,417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417,490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578,907</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65,282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732,755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798,037</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Deferred tax asset, net</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19,272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19,272</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165,717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292,906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458,623</w:t>
            </w:r>
          </w:p>
        </w:tc>
        <w:tc>
          <w:tcPr>
            <w:tcW w:w="0" w:type="dxa"/>
            <w:vAlign w:val="bottom"/>
          </w:tcPr>
          <w:p>
            <w:pPr>
              <w:spacing w:after="0"/>
              <w:rPr>
                <w:sz w:val="1"/>
                <w:szCs w:val="1"/>
                <w:color w:val="auto"/>
              </w:rPr>
            </w:pPr>
          </w:p>
        </w:tc>
      </w:tr>
      <w:tr>
        <w:trPr>
          <w:trHeight w:val="202"/>
        </w:trPr>
        <w:tc>
          <w:tcPr>
            <w:tcW w:w="454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3,662,683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4,611,551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2,374,655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(5,370,326)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5,278,563</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40" w:type="dxa"/>
            <w:vAlign w:val="bottom"/>
            <w:shd w:val="clear" w:color="auto" w:fill="CCEEFF"/>
          </w:tcPr>
          <w:p>
            <w:pPr>
              <w:ind w:left="136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34,630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72,436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107,066</w:t>
            </w:r>
          </w:p>
        </w:tc>
        <w:tc>
          <w:tcPr>
            <w:tcW w:w="0" w:type="dxa"/>
            <w:vAlign w:val="bottom"/>
          </w:tcPr>
          <w:p>
            <w:pPr>
              <w:spacing w:after="0"/>
              <w:rPr>
                <w:sz w:val="1"/>
                <w:szCs w:val="1"/>
                <w:color w:val="auto"/>
              </w:rPr>
            </w:pPr>
          </w:p>
        </w:tc>
      </w:tr>
      <w:tr>
        <w:trPr>
          <w:trHeight w:val="197"/>
        </w:trPr>
        <w:tc>
          <w:tcPr>
            <w:tcW w:w="4540" w:type="dxa"/>
            <w:vAlign w:val="bottom"/>
          </w:tcPr>
          <w:p>
            <w:pPr>
              <w:ind w:left="34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35,189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173,836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114,943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(59,050)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264,918</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343,589</w:t>
            </w:r>
          </w:p>
        </w:tc>
        <w:tc>
          <w:tcPr>
            <w:tcW w:w="0" w:type="dxa"/>
            <w:vAlign w:val="bottom"/>
          </w:tcPr>
          <w:p>
            <w:pPr>
              <w:spacing w:after="0"/>
              <w:rPr>
                <w:sz w:val="1"/>
                <w:szCs w:val="1"/>
                <w:color w:val="auto"/>
              </w:rPr>
            </w:pPr>
          </w:p>
        </w:tc>
      </w:tr>
      <w:tr>
        <w:trPr>
          <w:trHeight w:val="197"/>
        </w:trPr>
        <w:tc>
          <w:tcPr>
            <w:tcW w:w="454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34,608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20,816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55,424</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21,334</w:t>
            </w:r>
          </w:p>
        </w:tc>
        <w:tc>
          <w:tcPr>
            <w:tcW w:w="0" w:type="dxa"/>
            <w:vAlign w:val="bottom"/>
          </w:tcPr>
          <w:p>
            <w:pPr>
              <w:spacing w:after="0"/>
              <w:rPr>
                <w:sz w:val="1"/>
                <w:szCs w:val="1"/>
                <w:color w:val="auto"/>
              </w:rPr>
            </w:pPr>
          </w:p>
        </w:tc>
      </w:tr>
      <w:tr>
        <w:trPr>
          <w:trHeight w:val="197"/>
        </w:trPr>
        <w:tc>
          <w:tcPr>
            <w:tcW w:w="4540" w:type="dxa"/>
            <w:vAlign w:val="bottom"/>
          </w:tcPr>
          <w:p>
            <w:pPr>
              <w:ind w:left="34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2,941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2,149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5,090</w:t>
            </w:r>
          </w:p>
        </w:tc>
        <w:tc>
          <w:tcPr>
            <w:tcW w:w="0" w:type="dxa"/>
            <w:vAlign w:val="bottom"/>
          </w:tcPr>
          <w:p>
            <w:pPr>
              <w:spacing w:after="0"/>
              <w:rPr>
                <w:sz w:val="1"/>
                <w:szCs w:val="1"/>
                <w:color w:val="auto"/>
              </w:rPr>
            </w:pPr>
          </w:p>
        </w:tc>
      </w:tr>
      <w:tr>
        <w:trPr>
          <w:trHeight w:val="202"/>
        </w:trPr>
        <w:tc>
          <w:tcPr>
            <w:tcW w:w="454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53,939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505,429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297,103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(59,050)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797,421</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Program rights obligations</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349,814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23,435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373,249</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3,088,221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3,088,221</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Capital lease obligations</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20,007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21,427</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 net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140,474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145,443</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63,369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98,885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45,972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208,036</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3,346,003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955,548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391,486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(59,240)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4,633,797</w:t>
            </w:r>
          </w:p>
        </w:tc>
        <w:tc>
          <w:tcPr>
            <w:tcW w:w="0" w:type="dxa"/>
            <w:vAlign w:val="bottom"/>
          </w:tcPr>
          <w:p>
            <w:pPr>
              <w:spacing w:after="0"/>
              <w:rPr>
                <w:sz w:val="1"/>
                <w:szCs w:val="1"/>
                <w:color w:val="auto"/>
              </w:rPr>
            </w:pPr>
          </w:p>
        </w:tc>
      </w:tr>
      <w:tr>
        <w:trPr>
          <w:trHeight w:val="177"/>
        </w:trPr>
        <w:tc>
          <w:tcPr>
            <w:tcW w:w="45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299,558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299,558</w:t>
            </w:r>
          </w:p>
        </w:tc>
        <w:tc>
          <w:tcPr>
            <w:tcW w:w="0" w:type="dxa"/>
            <w:vAlign w:val="bottom"/>
          </w:tcPr>
          <w:p>
            <w:pPr>
              <w:spacing w:after="0"/>
              <w:rPr>
                <w:sz w:val="1"/>
                <w:szCs w:val="1"/>
                <w:color w:val="auto"/>
              </w:rPr>
            </w:pPr>
          </w:p>
        </w:tc>
      </w:tr>
      <w:tr>
        <w:trPr>
          <w:trHeight w:val="177"/>
        </w:trPr>
        <w:tc>
          <w:tcPr>
            <w:tcW w:w="4540" w:type="dxa"/>
            <w:vAlign w:val="bottom"/>
          </w:tcPr>
          <w:p>
            <w:pPr>
              <w:ind w:left="20"/>
              <w:spacing w:after="0"/>
              <w:rPr>
                <w:sz w:val="20"/>
                <w:szCs w:val="20"/>
                <w:color w:val="auto"/>
              </w:rPr>
            </w:pPr>
            <w:r>
              <w:rPr>
                <w:rFonts w:ascii="Arial" w:cs="Arial" w:eastAsia="Arial" w:hAnsi="Arial"/>
                <w:sz w:val="14"/>
                <w:szCs w:val="14"/>
                <w:color w:val="auto"/>
              </w:rPr>
              <w:t>Stockholders' deficiency:</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316,680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3,656,003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1,655,083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(5,311,086)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316,680</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28,528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28,528</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316,680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3,656,003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1,683,611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(5,311,086)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202"/>
        </w:trPr>
        <w:tc>
          <w:tcPr>
            <w:tcW w:w="4540" w:type="dxa"/>
            <w:vAlign w:val="bottom"/>
          </w:tcPr>
          <w:p>
            <w:pPr>
              <w:ind w:left="66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3,662,683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4,611,551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2,374,655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(5,370,326)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5,278,563</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2,122,212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954,534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3,060,321</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939,507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572,733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1,506,985</w:t>
            </w:r>
          </w:p>
        </w:tc>
        <w:tc>
          <w:tcPr>
            <w:tcW w:w="0" w:type="dxa"/>
            <w:vAlign w:val="bottom"/>
          </w:tcPr>
          <w:p>
            <w:pPr>
              <w:spacing w:after="0"/>
              <w:rPr>
                <w:sz w:val="1"/>
                <w:szCs w:val="1"/>
                <w:color w:val="auto"/>
              </w:rPr>
            </w:pPr>
          </w:p>
        </w:tc>
      </w:tr>
      <w:tr>
        <w:trPr>
          <w:trHeight w:val="197"/>
        </w:trPr>
        <w:tc>
          <w:tcPr>
            <w:tcW w:w="4580" w:type="dxa"/>
            <w:vAlign w:val="bottom"/>
          </w:tcPr>
          <w:p>
            <w:pPr>
              <w:ind w:left="34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429,732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260,433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(10,740)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679,444</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49,794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101,098</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106,603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106,603</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Restructuring and other related charges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40,914</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1,454,540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996,480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(15,995)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2,435,044</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Operating income</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667,672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(41,946)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625,277</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(133,091)</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623,278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(49,205)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(574,073)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468,035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(573,643)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(139,091)</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468,016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633,294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(574,073)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486,186</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(87,531)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(10,016)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19,077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(78,470)</w:t>
            </w: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380,485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623,278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(21,974)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(574,073)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407,716</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(27,230)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(27,230)</w:t>
            </w:r>
          </w:p>
        </w:tc>
        <w:tc>
          <w:tcPr>
            <w:tcW w:w="0" w:type="dxa"/>
            <w:vAlign w:val="bottom"/>
          </w:tcPr>
          <w:p>
            <w:pPr>
              <w:spacing w:after="0"/>
              <w:rPr>
                <w:sz w:val="1"/>
                <w:szCs w:val="1"/>
                <w:color w:val="auto"/>
              </w:rPr>
            </w:pPr>
          </w:p>
        </w:tc>
      </w:tr>
      <w:tr>
        <w:trPr>
          <w:trHeight w:val="22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380,485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623,278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(49,204)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(574,073)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380,486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2,166,686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820,532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2,971,929</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956,272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493,751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1,445,949</w:t>
            </w:r>
          </w:p>
        </w:tc>
        <w:tc>
          <w:tcPr>
            <w:tcW w:w="0" w:type="dxa"/>
            <w:vAlign w:val="bottom"/>
          </w:tcPr>
          <w:p>
            <w:pPr>
              <w:spacing w:after="0"/>
              <w:rPr>
                <w:sz w:val="1"/>
                <w:szCs w:val="1"/>
                <w:color w:val="auto"/>
              </w:rPr>
            </w:pPr>
          </w:p>
        </w:tc>
      </w:tr>
      <w:tr>
        <w:trPr>
          <w:trHeight w:val="197"/>
        </w:trPr>
        <w:tc>
          <w:tcPr>
            <w:tcW w:w="4580" w:type="dxa"/>
            <w:vAlign w:val="bottom"/>
          </w:tcPr>
          <w:p>
            <w:pPr>
              <w:ind w:left="34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450,880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216,608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(10,031)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657,457</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46,077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91,281</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4,486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Restructuring and other related charges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29,277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16,570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45,847</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1,481,633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777,492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(14,105)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2,245,020</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685,053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43,040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726,909</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(151,751)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(135,813)</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734,472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32,874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(767,346)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30,020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29,177</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582,570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59,458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17,498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(766,162)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(106,636)</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582,570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744,511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(767,346)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620,273</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(136,383)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(10,039)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(9,884)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(156,306)</w:t>
            </w: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446,187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734,472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50,654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(767,346)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463,967</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(17,780)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(17,780)</w:t>
            </w:r>
          </w:p>
        </w:tc>
        <w:tc>
          <w:tcPr>
            <w:tcW w:w="0" w:type="dxa"/>
            <w:vAlign w:val="bottom"/>
          </w:tcPr>
          <w:p>
            <w:pPr>
              <w:spacing w:after="0"/>
              <w:rPr>
                <w:sz w:val="1"/>
                <w:szCs w:val="1"/>
                <w:color w:val="auto"/>
              </w:rPr>
            </w:pPr>
          </w:p>
        </w:tc>
      </w:tr>
      <w:tr>
        <w:trPr>
          <w:trHeight w:val="22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446,187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734,472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(767,346)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446,187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2019</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Parent Company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380,485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623,278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(21,974)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(574,073)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407,716</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(6,272)</w:t>
            </w:r>
          </w:p>
        </w:tc>
        <w:tc>
          <w:tcPr>
            <w:tcW w:w="0" w:type="dxa"/>
            <w:vAlign w:val="bottom"/>
          </w:tcPr>
          <w:p>
            <w:pPr>
              <w:spacing w:after="0"/>
              <w:rPr>
                <w:sz w:val="1"/>
                <w:szCs w:val="1"/>
                <w:color w:val="auto"/>
              </w:rPr>
            </w:pPr>
          </w:p>
        </w:tc>
      </w:tr>
      <w:tr>
        <w:trPr>
          <w:trHeight w:val="197"/>
        </w:trPr>
        <w:tc>
          <w:tcPr>
            <w:tcW w:w="4580" w:type="dxa"/>
            <w:vAlign w:val="bottom"/>
          </w:tcPr>
          <w:p>
            <w:pPr>
              <w:ind w:left="64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(1,609)</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6"/>
              </w:rPr>
              <w:t>Amounts reclassified from accumulated other comprehensive loss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tcPr>
          <w:p>
            <w:pPr>
              <w:ind w:left="320"/>
              <w:spacing w:after="0"/>
              <w:rPr>
                <w:sz w:val="20"/>
                <w:szCs w:val="20"/>
                <w:color w:val="auto"/>
              </w:rPr>
            </w:pPr>
            <w:r>
              <w:rPr>
                <w:rFonts w:ascii="Arial" w:cs="Arial" w:eastAsia="Arial" w:hAnsi="Arial"/>
                <w:sz w:val="14"/>
                <w:szCs w:val="14"/>
                <w:color w:val="auto"/>
              </w:rPr>
              <w:t>Other comprehensive (loss) income, before income taxes</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(7,881)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(6,272)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6,272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(7,881)</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96"/>
        </w:trPr>
        <w:tc>
          <w:tcPr>
            <w:tcW w:w="4580" w:type="dxa"/>
            <w:vAlign w:val="bottom"/>
          </w:tcPr>
          <w:p>
            <w:pPr>
              <w:ind w:left="34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(7,517)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(6,272)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6,272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(7,517)</w:t>
            </w: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372,968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623,278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(28,246)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(567,801)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400,199</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(27,078)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(27,078)</w:t>
            </w:r>
          </w:p>
        </w:tc>
        <w:tc>
          <w:tcPr>
            <w:tcW w:w="0" w:type="dxa"/>
            <w:vAlign w:val="bottom"/>
          </w:tcPr>
          <w:p>
            <w:pPr>
              <w:spacing w:after="0"/>
              <w:rPr>
                <w:sz w:val="1"/>
                <w:szCs w:val="1"/>
                <w:color w:val="auto"/>
              </w:rPr>
            </w:pPr>
          </w:p>
        </w:tc>
      </w:tr>
      <w:tr>
        <w:trPr>
          <w:trHeight w:val="22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Comprehensive income (loss)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372,968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623,278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(567,801)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373,121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Non- Guarantor</w:t>
            </w:r>
          </w:p>
        </w:tc>
        <w:tc>
          <w:tcPr>
            <w:tcW w:w="16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446,187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734,472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50,654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(767,346)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463,967</w:t>
            </w:r>
          </w:p>
        </w:tc>
        <w:tc>
          <w:tcPr>
            <w:tcW w:w="0" w:type="dxa"/>
            <w:vAlign w:val="bottom"/>
          </w:tcPr>
          <w:p>
            <w:pPr>
              <w:spacing w:after="0"/>
              <w:rPr>
                <w:sz w:val="1"/>
                <w:szCs w:val="1"/>
                <w:color w:val="auto"/>
              </w:rPr>
            </w:pPr>
          </w:p>
        </w:tc>
      </w:tr>
      <w:tr>
        <w:trPr>
          <w:trHeight w:val="177"/>
        </w:trPr>
        <w:tc>
          <w:tcPr>
            <w:tcW w:w="46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41,716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(41,716)</w:t>
            </w:r>
          </w:p>
        </w:tc>
        <w:tc>
          <w:tcPr>
            <w:tcW w:w="0" w:type="dxa"/>
            <w:vAlign w:val="bottom"/>
          </w:tcPr>
          <w:p>
            <w:pPr>
              <w:spacing w:after="0"/>
              <w:rPr>
                <w:sz w:val="1"/>
                <w:szCs w:val="1"/>
                <w:color w:val="auto"/>
              </w:rPr>
            </w:pPr>
          </w:p>
        </w:tc>
      </w:tr>
      <w:tr>
        <w:trPr>
          <w:trHeight w:val="197"/>
        </w:trPr>
        <w:tc>
          <w:tcPr>
            <w:tcW w:w="4640" w:type="dxa"/>
            <w:vAlign w:val="bottom"/>
          </w:tcPr>
          <w:p>
            <w:pPr>
              <w:ind w:left="66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Unrealized gain on available for sale securities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4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w w:val="97"/>
              </w:rPr>
              <w:t>Amounts reclassified from accumulated other comprehensive loss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41,716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(42,442)</w:t>
            </w:r>
          </w:p>
        </w:tc>
        <w:tc>
          <w:tcPr>
            <w:tcW w:w="0" w:type="dxa"/>
            <w:vAlign w:val="bottom"/>
          </w:tcPr>
          <w:p>
            <w:pPr>
              <w:spacing w:after="0"/>
              <w:rPr>
                <w:sz w:val="1"/>
                <w:szCs w:val="1"/>
                <w:color w:val="auto"/>
              </w:rPr>
            </w:pPr>
          </w:p>
        </w:tc>
      </w:tr>
      <w:tr>
        <w:trPr>
          <w:trHeight w:val="197"/>
        </w:trPr>
        <w:tc>
          <w:tcPr>
            <w:tcW w:w="464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41,716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(42,397)</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403,790</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734,472</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8,938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(725,630)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421,570</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(16,044)</w:t>
            </w:r>
          </w:p>
        </w:tc>
        <w:tc>
          <w:tcPr>
            <w:tcW w:w="0" w:type="dxa"/>
            <w:vAlign w:val="bottom"/>
          </w:tcPr>
          <w:p>
            <w:pPr>
              <w:spacing w:after="0"/>
              <w:rPr>
                <w:sz w:val="1"/>
                <w:szCs w:val="1"/>
                <w:color w:val="auto"/>
              </w:rPr>
            </w:pPr>
          </w:p>
        </w:tc>
      </w:tr>
      <w:tr>
        <w:trPr>
          <w:trHeight w:val="202"/>
        </w:trPr>
        <w:tc>
          <w:tcPr>
            <w:tcW w:w="4640" w:type="dxa"/>
            <w:vAlign w:val="bottom"/>
          </w:tcPr>
          <w:p>
            <w:pPr>
              <w:ind w:left="2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403,790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734,472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(7,106)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(725,630)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405,526</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Non- Guarantor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108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365,846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69,276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639,239</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(590,613)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483,748</w:t>
            </w:r>
          </w:p>
        </w:tc>
        <w:tc>
          <w:tcPr>
            <w:tcW w:w="0" w:type="dxa"/>
            <w:vAlign w:val="bottom"/>
          </w:tcPr>
          <w:p>
            <w:pPr>
              <w:spacing w:after="0"/>
              <w:rPr>
                <w:sz w:val="1"/>
                <w:szCs w:val="1"/>
                <w:color w:val="auto"/>
              </w:rPr>
            </w:pPr>
          </w:p>
        </w:tc>
      </w:tr>
      <w:tr>
        <w:trPr>
          <w:trHeight w:val="18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3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(81,486)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(10,118)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(91,604)</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5,380</w:t>
            </w:r>
          </w:p>
        </w:tc>
        <w:tc>
          <w:tcPr>
            <w:tcW w:w="0" w:type="dxa"/>
            <w:vAlign w:val="bottom"/>
          </w:tcPr>
          <w:p>
            <w:pPr>
              <w:spacing w:after="0"/>
              <w:rPr>
                <w:sz w:val="1"/>
                <w:szCs w:val="1"/>
                <w:color w:val="auto"/>
              </w:rPr>
            </w:pPr>
          </w:p>
        </w:tc>
      </w:tr>
      <w:tr>
        <w:trPr>
          <w:trHeight w:val="197"/>
        </w:trPr>
        <w:tc>
          <w:tcPr>
            <w:tcW w:w="4540" w:type="dxa"/>
            <w:vAlign w:val="bottom"/>
          </w:tcPr>
          <w:p>
            <w:pPr>
              <w:ind w:left="320"/>
              <w:spacing w:after="0"/>
              <w:rPr>
                <w:sz w:val="20"/>
                <w:szCs w:val="20"/>
                <w:color w:val="auto"/>
              </w:rPr>
            </w:pPr>
            <w:r>
              <w:rPr>
                <w:rFonts w:ascii="Arial" w:cs="Arial" w:eastAsia="Arial" w:hAnsi="Arial"/>
                <w:sz w:val="14"/>
                <w:szCs w:val="14"/>
                <w:color w:val="auto"/>
              </w:rPr>
              <w:t>Investments in and loans to investees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(3,483)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(3,483)</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(283,060)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15,149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267,911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108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(283,060)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(64,983)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(9,575)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267,911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(89,707)</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32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1,521</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Principal payments on long-term debt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(18,750)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(22,988)</w:t>
            </w:r>
          </w:p>
        </w:tc>
        <w:tc>
          <w:tcPr>
            <w:tcW w:w="0" w:type="dxa"/>
            <w:vAlign w:val="bottom"/>
          </w:tcPr>
          <w:p>
            <w:pPr>
              <w:spacing w:after="0"/>
              <w:rPr>
                <w:sz w:val="1"/>
                <w:szCs w:val="1"/>
                <w:color w:val="auto"/>
              </w:rPr>
            </w:pPr>
          </w:p>
        </w:tc>
      </w:tr>
      <w:tr>
        <w:trPr>
          <w:trHeight w:val="197"/>
        </w:trPr>
        <w:tc>
          <w:tcPr>
            <w:tcW w:w="4540" w:type="dxa"/>
            <w:vAlign w:val="bottom"/>
          </w:tcPr>
          <w:p>
            <w:pPr>
              <w:ind w:left="320"/>
              <w:spacing w:after="0"/>
              <w:rPr>
                <w:sz w:val="20"/>
                <w:szCs w:val="20"/>
                <w:color w:val="auto"/>
              </w:rPr>
            </w:pPr>
            <w:r>
              <w:rPr>
                <w:rFonts w:ascii="Arial" w:cs="Arial" w:eastAsia="Arial" w:hAnsi="Arial"/>
                <w:sz w:val="14"/>
                <w:szCs w:val="14"/>
                <w:color w:val="auto"/>
              </w:rPr>
              <w:t>Deemed repurchases of restricted stock/units</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(23,018)</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(70,598)</w:t>
            </w:r>
          </w:p>
        </w:tc>
        <w:tc>
          <w:tcPr>
            <w:tcW w:w="0" w:type="dxa"/>
            <w:vAlign w:val="bottom"/>
          </w:tcPr>
          <w:p>
            <w:pPr>
              <w:spacing w:after="0"/>
              <w:rPr>
                <w:sz w:val="1"/>
                <w:szCs w:val="1"/>
                <w:color w:val="auto"/>
              </w:rPr>
            </w:pPr>
          </w:p>
        </w:tc>
      </w:tr>
      <w:tr>
        <w:trPr>
          <w:trHeight w:val="197"/>
        </w:trPr>
        <w:tc>
          <w:tcPr>
            <w:tcW w:w="4540" w:type="dxa"/>
            <w:vAlign w:val="bottom"/>
          </w:tcPr>
          <w:p>
            <w:pPr>
              <w:ind w:left="32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4,630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Principal payments on finance lease obligations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(5,115)</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Distributions to noncontrolling interest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(15,558)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(15,558)</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(107,737)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(131,126)</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(decrease) increase in cash and cash equivalents from operations</w:t>
            </w: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(24,951)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1,308</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609,260</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(322,702)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262,915</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24,999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205,312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(554,644)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322,702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368,151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186,614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22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574,771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241,230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816,170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108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503,796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1,351,256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(476,129)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(772,376)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606,547</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(74,710)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(15,092)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(89,802)</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Payments for acquisitions, net of cash acquired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(83,714)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(84,389)</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Investments in and loans to investees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(90,081)</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(215,862)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(2,646,335)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1,813,007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1,049,190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(215,862)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(2,721,720)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1,628,208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1,049,190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(260,184)</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Deemed repurchases of restricted stock/units</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(16,836)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(16,836)</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(283,143)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(283,143)</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4,317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(4,938)</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Distributions to noncontrolling interest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(14,296)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(14,296)</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(295,373)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(314,607)</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(7,439)</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(1,373,464)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1,135,845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276,814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31,756</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7,240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1,350,367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(1,116,446)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(276,814)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(35,653)</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391,248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167,215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117" w:name="page118"/>
    <w:bookmarkEnd w:id="117"/>
    <w:p>
      <w:pPr>
        <w:jc w:val="center"/>
        <w:ind w:right="-47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Interim Financial Information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selected quarterly financial data for the years ended December 31, 2019 and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0"/>
              </w:rPr>
              <w:t>For the three months ended,</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March 31, 2019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2019</w:t>
            </w:r>
          </w:p>
        </w:tc>
        <w:tc>
          <w:tcPr>
            <w:tcW w:w="40" w:type="dxa"/>
            <w:vAlign w:val="bottom"/>
          </w:tcPr>
          <w:p>
            <w:pPr>
              <w:spacing w:after="0"/>
              <w:rPr>
                <w:sz w:val="13"/>
                <w:szCs w:val="13"/>
                <w:color w:val="auto"/>
              </w:rPr>
            </w:pPr>
          </w:p>
        </w:tc>
        <w:tc>
          <w:tcPr>
            <w:tcW w:w="136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0"/>
              </w:rPr>
              <w:t>September 30, 2019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51"/>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784,221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772,299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718,597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785,204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3,060,321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(539,358)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w w:val="95"/>
              </w:rPr>
              <w:t>(602,042)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(550,159)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8"/>
              </w:rPr>
              <w:t>(743,485)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5"/>
              </w:rPr>
              <w:t>(2,435,044)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244,863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170,257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168,438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41,719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625,277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Net income including noncontrolling interests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150,157</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133,985</w:t>
            </w:r>
          </w:p>
        </w:tc>
        <w:tc>
          <w:tcPr>
            <w:tcW w:w="120" w:type="dxa"/>
            <w:vAlign w:val="bottom"/>
          </w:tcPr>
          <w:p>
            <w:pPr>
              <w:spacing w:after="0"/>
              <w:rPr>
                <w:sz w:val="20"/>
                <w:szCs w:val="20"/>
                <w:color w:val="auto"/>
              </w:rPr>
            </w:pPr>
          </w:p>
        </w:tc>
        <w:tc>
          <w:tcPr>
            <w:tcW w:w="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123,226</w:t>
            </w:r>
          </w:p>
        </w:tc>
        <w:tc>
          <w:tcPr>
            <w:tcW w:w="12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407,716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attributable to AMC Networks'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143,397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128,743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116,923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380,486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114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Net income per share attributable to AMC Networks' stockholders:</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20" w:type="dxa"/>
            <w:vAlign w:val="bottom"/>
            <w:gridSpan w:val="3"/>
          </w:tcPr>
          <w:p>
            <w:pPr>
              <w:ind w:left="2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March 31, 2018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June 30, 2018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4"/>
                <w:szCs w:val="14"/>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740,823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761,385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772,846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2,971,929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(507,168)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(569,854)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(532,276)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(635,722)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ind w:left="120"/>
              <w:spacing w:after="0"/>
              <w:rPr>
                <w:sz w:val="20"/>
                <w:szCs w:val="20"/>
                <w:color w:val="auto"/>
              </w:rPr>
            </w:pPr>
            <w:r>
              <w:rPr>
                <w:rFonts w:ascii="Arial" w:cs="Arial" w:eastAsia="Arial" w:hAnsi="Arial"/>
                <w:sz w:val="18"/>
                <w:szCs w:val="18"/>
                <w:color w:val="auto"/>
                <w:w w:val="93"/>
              </w:rPr>
              <w:t>(2,245,020)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233,655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164,599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137,124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726,909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Net income including noncontrolling interests</w:t>
            </w: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160,536</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110,332</w:t>
            </w: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116,660</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76,439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463,967</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5"/>
              </w:rPr>
              <w:t>Net income attributable to AMC Networks'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156,870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71,879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446,187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00" w:type="dxa"/>
            <w:vAlign w:val="bottom"/>
            <w:gridSpan w:val="2"/>
          </w:tcPr>
          <w:p>
            <w:pPr>
              <w:spacing w:after="0"/>
              <w:rPr>
                <w:sz w:val="23"/>
                <w:szCs w:val="23"/>
                <w:color w:val="auto"/>
              </w:rPr>
            </w:pPr>
          </w:p>
        </w:tc>
        <w:tc>
          <w:tcPr>
            <w:tcW w:w="1240" w:type="dxa"/>
            <w:vAlign w:val="bottom"/>
            <w:gridSpan w:val="4"/>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Net income per share attributable to AMC Networks' stockholders:</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2019</w:t>
      </w:r>
    </w:p>
    <w:p>
      <w:pPr>
        <w:spacing w:after="0" w:line="136" w:lineRule="exact"/>
        <w:rPr>
          <w:sz w:val="20"/>
          <w:szCs w:val="20"/>
          <w:color w:val="auto"/>
        </w:rPr>
      </w:pPr>
    </w:p>
    <w:p>
      <w:pPr>
        <w:ind w:right="940"/>
        <w:spacing w:after="0" w:line="412" w:lineRule="auto"/>
        <w:rPr>
          <w:sz w:val="20"/>
          <w:szCs w:val="20"/>
          <w:color w:val="auto"/>
        </w:rPr>
      </w:pPr>
      <w:r>
        <w:rPr>
          <w:rFonts w:ascii="Arial" w:cs="Arial" w:eastAsia="Arial" w:hAnsi="Arial"/>
          <w:sz w:val="14"/>
          <w:szCs w:val="14"/>
          <w:color w:val="auto"/>
        </w:rPr>
        <w:t>Allowance for doubtful accounts Year Ended December 31, 2018</w:t>
      </w:r>
    </w:p>
    <w:p>
      <w:pPr>
        <w:spacing w:after="0" w:line="1" w:lineRule="exact"/>
        <w:rPr>
          <w:sz w:val="20"/>
          <w:szCs w:val="20"/>
          <w:color w:val="auto"/>
        </w:rPr>
      </w:pPr>
    </w:p>
    <w:p>
      <w:pPr>
        <w:ind w:right="940"/>
        <w:spacing w:after="0" w:line="412" w:lineRule="auto"/>
        <w:rPr>
          <w:sz w:val="20"/>
          <w:szCs w:val="20"/>
          <w:color w:val="auto"/>
        </w:rPr>
      </w:pPr>
      <w:r>
        <w:rPr>
          <w:rFonts w:ascii="Arial" w:cs="Arial" w:eastAsia="Arial" w:hAnsi="Arial"/>
          <w:sz w:val="14"/>
          <w:szCs w:val="14"/>
          <w:color w:val="auto"/>
        </w:rPr>
        <w:t>Allowance for doubtful accounts Year Ended December 31, 2017</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Allowance for doubtful accounts</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AMC NETWORKS INC. AND SUBSIDIARIES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Deductions/ Write-</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Balance at Beginning of</w:t>
            </w:r>
          </w:p>
        </w:tc>
        <w:tc>
          <w:tcPr>
            <w:tcW w:w="1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Provision for (Recovery</w:t>
            </w:r>
          </w:p>
        </w:tc>
        <w:tc>
          <w:tcPr>
            <w:tcW w:w="19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Offs and Other Charges,</w:t>
            </w:r>
          </w:p>
        </w:tc>
        <w:tc>
          <w:tcPr>
            <w:tcW w:w="240" w:type="dxa"/>
            <w:vAlign w:val="bottom"/>
          </w:tcPr>
          <w:p>
            <w:pPr>
              <w:spacing w:after="0"/>
              <w:rPr>
                <w:sz w:val="17"/>
                <w:szCs w:val="17"/>
                <w:color w:val="auto"/>
              </w:rPr>
            </w:pPr>
          </w:p>
        </w:tc>
        <w:tc>
          <w:tcPr>
            <w:tcW w:w="1540" w:type="dxa"/>
            <w:vAlign w:val="bottom"/>
            <w:vMerge w:val="restart"/>
          </w:tcPr>
          <w:p>
            <w:pPr>
              <w:jc w:val="right"/>
              <w:ind w:right="454"/>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50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w w:val="92"/>
              </w:rPr>
              <w:t>Period</w:t>
            </w:r>
          </w:p>
        </w:tc>
        <w:tc>
          <w:tcPr>
            <w:tcW w:w="280" w:type="dxa"/>
            <w:vAlign w:val="bottom"/>
          </w:tcPr>
          <w:p>
            <w:pPr>
              <w:spacing w:after="0"/>
              <w:rPr>
                <w:sz w:val="2"/>
                <w:szCs w:val="2"/>
                <w:color w:val="auto"/>
              </w:rPr>
            </w:pPr>
          </w:p>
        </w:tc>
        <w:tc>
          <w:tcPr>
            <w:tcW w:w="16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2"/>
              </w:rPr>
              <w:t>of) Bad Debt</w:t>
            </w:r>
          </w:p>
        </w:tc>
        <w:tc>
          <w:tcPr>
            <w:tcW w:w="180" w:type="dxa"/>
            <w:vAlign w:val="bottom"/>
          </w:tcPr>
          <w:p>
            <w:pPr>
              <w:spacing w:after="0"/>
              <w:rPr>
                <w:sz w:val="2"/>
                <w:szCs w:val="2"/>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334"/>
              <w:spacing w:after="0"/>
              <w:rPr>
                <w:sz w:val="20"/>
                <w:szCs w:val="20"/>
                <w:color w:val="auto"/>
              </w:rPr>
            </w:pPr>
            <w:r>
              <w:rPr>
                <w:rFonts w:ascii="Arial" w:cs="Arial" w:eastAsia="Arial" w:hAnsi="Arial"/>
                <w:sz w:val="16"/>
                <w:szCs w:val="16"/>
                <w:b w:val="1"/>
                <w:bCs w:val="1"/>
                <w:color w:val="auto"/>
              </w:rPr>
              <w:t>End of Period</w:t>
            </w:r>
          </w:p>
        </w:tc>
        <w:tc>
          <w:tcPr>
            <w:tcW w:w="0" w:type="dxa"/>
            <w:vAlign w:val="bottom"/>
          </w:tcPr>
          <w:p>
            <w:pPr>
              <w:spacing w:after="0"/>
              <w:rPr>
                <w:sz w:val="1"/>
                <w:szCs w:val="1"/>
                <w:color w:val="auto"/>
              </w:rPr>
            </w:pPr>
          </w:p>
        </w:tc>
      </w:tr>
      <w:tr>
        <w:trPr>
          <w:trHeight w:val="483"/>
        </w:trPr>
        <w:tc>
          <w:tcPr>
            <w:tcW w:w="3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12,641</w:t>
            </w:r>
          </w:p>
        </w:tc>
        <w:tc>
          <w:tcPr>
            <w:tcW w:w="100" w:type="dxa"/>
            <w:vAlign w:val="bottom"/>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(17,696)</w:t>
            </w:r>
          </w:p>
        </w:tc>
        <w:tc>
          <w:tcPr>
            <w:tcW w:w="12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9,691</w:t>
            </w:r>
          </w:p>
        </w:tc>
        <w:tc>
          <w:tcPr>
            <w:tcW w:w="10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7,399</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(6,302)</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6,064</w:t>
            </w:r>
          </w:p>
        </w:tc>
        <w:tc>
          <w:tcPr>
            <w:tcW w:w="10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-1071245</wp:posOffset>
            </wp:positionV>
            <wp:extent cx="7229475"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-719455</wp:posOffset>
            </wp:positionV>
            <wp:extent cx="7229475"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-368300</wp:posOffset>
            </wp:positionV>
            <wp:extent cx="722947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S-1</w:t>
      </w:r>
    </w:p>
    <w:p>
      <w:pPr>
        <w:sectPr>
          <w:pgSz w:w="11900" w:h="16838" w:orient="portrait"/>
          <w:cols w:equalWidth="0" w:num="2">
            <w:col w:w="3080" w:space="720"/>
            <w:col w:w="7580"/>
          </w:cols>
          <w:pgMar w:left="260" w:top="1174" w:right="25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ind w:left="1000"/>
              <w:spacing w:after="0"/>
              <w:rPr>
                <w:sz w:val="20"/>
                <w:szCs w:val="20"/>
                <w:color w:val="auto"/>
              </w:rPr>
            </w:pPr>
            <w:r>
              <w:rPr>
                <w:rFonts w:ascii="Arial" w:cs="Arial" w:eastAsia="Arial" w:hAnsi="Arial"/>
                <w:sz w:val="18"/>
                <w:szCs w:val="18"/>
                <w:color w:val="auto"/>
                <w:w w:val="93"/>
              </w:rPr>
              <w:t>Exhibit 21</w:t>
            </w:r>
          </w:p>
        </w:tc>
      </w:tr>
      <w:tr>
        <w:trPr>
          <w:trHeight w:val="689"/>
        </w:trPr>
        <w:tc>
          <w:tcPr>
            <w:tcW w:w="4100" w:type="dxa"/>
            <w:vAlign w:val="bottom"/>
          </w:tcPr>
          <w:p>
            <w:pPr>
              <w:spacing w:after="0"/>
              <w:rPr>
                <w:sz w:val="24"/>
                <w:szCs w:val="24"/>
                <w:color w:val="auto"/>
              </w:rPr>
            </w:pPr>
          </w:p>
        </w:tc>
        <w:tc>
          <w:tcPr>
            <w:tcW w:w="554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90"/>
              </w:rPr>
              <w:t>Material Subsidiaries of the Registrant</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100" w:type="dxa"/>
            <w:vAlign w:val="bottom"/>
          </w:tcPr>
          <w:p>
            <w:pPr>
              <w:spacing w:after="0"/>
              <w:rPr>
                <w:sz w:val="23"/>
                <w:szCs w:val="23"/>
                <w:color w:val="auto"/>
              </w:rPr>
            </w:pPr>
          </w:p>
        </w:tc>
        <w:tc>
          <w:tcPr>
            <w:tcW w:w="554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5"/>
              </w:rPr>
              <w:t>AMC Networks Inc.</w:t>
            </w:r>
          </w:p>
        </w:tc>
        <w:tc>
          <w:tcPr>
            <w:tcW w:w="1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8"/>
        </w:trPr>
        <w:tc>
          <w:tcPr>
            <w:tcW w:w="4100" w:type="dxa"/>
            <w:vAlign w:val="bottom"/>
            <w:tcBorders>
              <w:bottom w:val="single" w:sz="8" w:color="auto"/>
            </w:tcBorders>
          </w:tcPr>
          <w:p>
            <w:pPr>
              <w:ind w:left="3360"/>
              <w:spacing w:after="0"/>
              <w:rPr>
                <w:sz w:val="20"/>
                <w:szCs w:val="20"/>
                <w:color w:val="auto"/>
              </w:rPr>
            </w:pPr>
            <w:r>
              <w:rPr>
                <w:rFonts w:ascii="Arial" w:cs="Arial" w:eastAsia="Arial" w:hAnsi="Arial"/>
                <w:sz w:val="14"/>
                <w:szCs w:val="14"/>
                <w:b w:val="1"/>
                <w:bCs w:val="1"/>
                <w:color w:val="auto"/>
              </w:rPr>
              <w:t>Subsidiary</w:t>
            </w:r>
          </w:p>
        </w:tc>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Jurisdiction of Formation</w:t>
            </w:r>
          </w:p>
        </w:tc>
        <w:tc>
          <w:tcPr>
            <w:tcW w:w="12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Percent Owned</w:t>
            </w:r>
          </w:p>
        </w:tc>
        <w:tc>
          <w:tcPr>
            <w:tcW w:w="2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AMC Network Entertainment LLC</w:t>
            </w:r>
          </w:p>
        </w:tc>
        <w:tc>
          <w:tcPr>
            <w:tcW w:w="3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7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1"/>
                <w:szCs w:val="2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AMC Networks International LLC</w:t>
            </w: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40" w:type="dxa"/>
            <w:vAlign w:val="bottom"/>
          </w:tcPr>
          <w:p>
            <w:pPr>
              <w:jc w:val="right"/>
              <w:ind w:right="6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Chello Zone Holdings Limited</w:t>
            </w:r>
          </w:p>
        </w:tc>
        <w:tc>
          <w:tcPr>
            <w:tcW w:w="3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7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1"/>
                <w:szCs w:val="2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IFC TV LLC</w:t>
            </w: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40" w:type="dxa"/>
            <w:vAlign w:val="bottom"/>
          </w:tcPr>
          <w:p>
            <w:pPr>
              <w:jc w:val="right"/>
              <w:ind w:right="6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Rainbow Media Holdings LLC</w:t>
            </w:r>
          </w:p>
        </w:tc>
        <w:tc>
          <w:tcPr>
            <w:tcW w:w="3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1"/>
                <w:szCs w:val="2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Rainbow Programming Holdings LLC</w:t>
            </w: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40" w:type="dxa"/>
            <w:vAlign w:val="bottom"/>
          </w:tcPr>
          <w:p>
            <w:pPr>
              <w:jc w:val="right"/>
              <w:ind w:right="6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SundanceTV LLC</w:t>
            </w:r>
          </w:p>
        </w:tc>
        <w:tc>
          <w:tcPr>
            <w:tcW w:w="3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1"/>
                <w:szCs w:val="2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WE tv LLC</w:t>
            </w: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40" w:type="dxa"/>
            <w:vAlign w:val="bottom"/>
          </w:tcPr>
          <w:p>
            <w:pPr>
              <w:jc w:val="right"/>
              <w:ind w:right="6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1"/>
                <w:szCs w:val="21"/>
                <w:color w:val="auto"/>
              </w:rPr>
            </w:pPr>
          </w:p>
        </w:tc>
      </w:tr>
    </w:tbl>
    <w:p>
      <w:pPr>
        <w:sectPr>
          <w:pgSz w:w="11900" w:h="16838" w:orient="portrait"/>
          <w:cols w:equalWidth="0" w:num="1">
            <w:col w:w="11400"/>
          </w:cols>
          <w:pgMar w:left="260" w:top="139"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23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consent to the incorporation by reference in the registration statements (No. 333-234695) on Form S-3 and (No. 333-214083) on Form S-8 of AMC Networks Inc. of our reports, dated February 26, 2020, with respect to (i) the consolidated balance sheets of AMC Networks Inc. and subsidiaries (the Company) as of December 31, 2019 and 2018, and the related consolidated statements of income, comprehensive income, stockholders’ equity (deficiency), and cash flows for each of the years in the three-year period ended December 31, 2019, and the related notes, and the related financial statement Schedule II referred to in Item 15 (a)(2), and (ii) the effectiveness of the Company’s internal control over financial reporting as of December 31, 2019, which reports appear in the December 31, 2019 annual report on Form 10</w:t>
      </w:r>
      <w:r>
        <w:rPr>
          <w:rFonts w:ascii="MS PGothic" w:cs="MS PGothic" w:eastAsia="MS PGothic" w:hAnsi="MS PGothic"/>
          <w:sz w:val="17"/>
          <w:szCs w:val="17"/>
          <w:color w:val="auto"/>
        </w:rPr>
        <w:t>‑</w:t>
      </w:r>
      <w:r>
        <w:rPr>
          <w:rFonts w:ascii="Arial" w:cs="Arial" w:eastAsia="Arial" w:hAnsi="Arial"/>
          <w:sz w:val="17"/>
          <w:szCs w:val="17"/>
          <w:color w:val="auto"/>
        </w:rPr>
        <w:t xml:space="preserve">K of AMC Networks Inc. Our report on the Company’s consolidated financial statements refers to the Company’s adoption of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effective January 1, 2019, and the adoption of ASU No.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(Topic 606), effective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36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252"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500" w:hanging="6"/>
        <w:spacing w:after="0" w:line="264" w:lineRule="auto"/>
        <w:tabs>
          <w:tab w:leader="none" w:pos="7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500" w:hanging="6"/>
        <w:spacing w:after="0" w:line="264" w:lineRule="auto"/>
        <w:tabs>
          <w:tab w:leader="none" w:pos="6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hanging="6"/>
        <w:spacing w:after="0" w:line="308" w:lineRule="auto"/>
        <w:tabs>
          <w:tab w:leader="none" w:pos="819"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20" w:hanging="6"/>
        <w:spacing w:after="0" w:line="264" w:lineRule="auto"/>
        <w:tabs>
          <w:tab w:leader="none" w:pos="771"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277" w:lineRule="auto"/>
        <w:tabs>
          <w:tab w:leader="none" w:pos="2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8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6"/>
        <w:spacing w:after="0" w:line="277" w:lineRule="auto"/>
        <w:tabs>
          <w:tab w:leader="none" w:pos="69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980" w:val="left"/>
          <w:tab w:leader="none" w:pos="4160" w:val="left"/>
          <w:tab w:leader="none" w:pos="4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2/26/2020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41509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252"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500" w:hanging="6"/>
        <w:spacing w:after="0" w:line="264" w:lineRule="auto"/>
        <w:tabs>
          <w:tab w:leader="none" w:pos="73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500" w:hanging="6"/>
        <w:spacing w:after="0" w:line="264" w:lineRule="auto"/>
        <w:tabs>
          <w:tab w:leader="none" w:pos="69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hanging="6"/>
        <w:spacing w:after="0" w:line="308" w:lineRule="auto"/>
        <w:tabs>
          <w:tab w:leader="none" w:pos="819"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20" w:hanging="6"/>
        <w:spacing w:after="0" w:line="264" w:lineRule="auto"/>
        <w:tabs>
          <w:tab w:leader="none" w:pos="7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277" w:lineRule="auto"/>
        <w:tabs>
          <w:tab w:leader="none" w:pos="2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8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6"/>
        <w:spacing w:after="0" w:line="277" w:lineRule="auto"/>
        <w:tabs>
          <w:tab w:leader="none" w:pos="69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980" w:val="left"/>
          <w:tab w:leader="none" w:pos="4200" w:val="left"/>
          <w:tab w:leader="none" w:pos="4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2/26/2020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41509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Annual Report on Form 10-K for the period ended December 31, 2019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1040" w:val="left"/>
          <w:tab w:leader="none" w:pos="612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2/26/2020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1040" w:val="left"/>
          <w:tab w:leader="none" w:pos="612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2/26/2020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21"/>
    </w:lvl>
  </w:abstractNum>
  <w:abstractNum w:abstractNumId="30">
    <w:nsid w:val="3804823E"/>
    <w:multiLevelType w:val="hybridMultilevel"/>
    <w:lvl w:ilvl="0">
      <w:lvlJc w:val="left"/>
      <w:lvlText w:val="%1"/>
      <w:numFmt w:val="decimal"/>
      <w:start w:val="23"/>
    </w:lvl>
  </w:abstractNum>
  <w:abstractNum w:abstractNumId="31">
    <w:nsid w:val="77465F01"/>
    <w:multiLevelType w:val="hybridMultilevel"/>
    <w:lvl w:ilvl="0">
      <w:lvlJc w:val="left"/>
      <w:lvlText w:val="%1"/>
      <w:numFmt w:val="decimal"/>
      <w:start w:val="32"/>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3"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98" Type="http://schemas.openxmlformats.org/officeDocument/2006/relationships/hyperlink" Target="http://www.sec.gov/Archives/edgar/data/1514991/000119312518230456/d586184dex21.htm" TargetMode="External"/><Relationship Id="rId99" Type="http://schemas.openxmlformats.org/officeDocument/2006/relationships/hyperlink" Target="http://www.sec.gov/Archives/edgar/data/1514991/000095012311063740/y91900exv99w4.htm" TargetMode="External"/><Relationship Id="rId100" Type="http://schemas.openxmlformats.org/officeDocument/2006/relationships/hyperlink" Target="http://www.sec.gov/Archives/edgar/data/1514991/000095012311063740/y91900exv99w5.htm" TargetMode="External"/><Relationship Id="rId101" Type="http://schemas.openxmlformats.org/officeDocument/2006/relationships/hyperlink" Target="http://www.sec.gov/Archives/edgar/data/1514991/000095012311056616/y91125a5exv3w5.htm" TargetMode="External"/><Relationship Id="rId102" Type="http://schemas.openxmlformats.org/officeDocument/2006/relationships/hyperlink" Target="http://www.sec.gov/Archives/edgar/data/1514991/000095012311056616/y91125a5exv3w6.htm" TargetMode="External"/><Relationship Id="rId103" Type="http://schemas.openxmlformats.org/officeDocument/2006/relationships/hyperlink" Target="http://www.sec.gov/Archives/edgar/data/1514991/000095012311063740/y91900exv99w2.htm" TargetMode="External"/><Relationship Id="rId104" Type="http://schemas.openxmlformats.org/officeDocument/2006/relationships/hyperlink" Target="http://www.sec.gov/Archives/edgar/data/1289606/000119312512496189/d448133dex41.htm" TargetMode="External"/><Relationship Id="rId105" Type="http://schemas.openxmlformats.org/officeDocument/2006/relationships/hyperlink" Target="http://www.sec.gov/Archives/edgar/data/1514991/000119312512504955/d456114dex41.htm" TargetMode="External"/><Relationship Id="rId106" Type="http://schemas.openxmlformats.org/officeDocument/2006/relationships/hyperlink" Target="http://www.sec.gov/Archives/edgar/data/1514991/000119312517240565/d435389dex41.htm" TargetMode="External"/><Relationship Id="rId107" Type="http://schemas.openxmlformats.org/officeDocument/2006/relationships/hyperlink" Target="http://www.sec.gov/Archives/edgar/data/1514991/000119312516523870/d144606dex41.htm" TargetMode="External"/><Relationship Id="rId108" Type="http://schemas.openxmlformats.org/officeDocument/2006/relationships/hyperlink" Target="http://www.sec.gov/Archives/edgar/data/1514991/000119312517240565/d435389dex42.htm" TargetMode="External"/><Relationship Id="rId109" Type="http://schemas.openxmlformats.org/officeDocument/2006/relationships/hyperlink" Target="http://www.sec.gov/Archives/edgar/data/1514991/000095012311056616/y91125a5exv10w2.htm" TargetMode="External"/><Relationship Id="rId110" Type="http://schemas.openxmlformats.org/officeDocument/2006/relationships/hyperlink" Target="http://www.sec.gov/Archives/edgar/data/1514991/000095012311056616/y91125a5exv10w5.htm" TargetMode="External"/><Relationship Id="rId111" Type="http://schemas.openxmlformats.org/officeDocument/2006/relationships/hyperlink" Target="http://www.sec.gov/Archives/edgar/data/1514991/000119312517240565/d435389dex101.htm" TargetMode="External"/><Relationship Id="rId112" Type="http://schemas.openxmlformats.org/officeDocument/2006/relationships/hyperlink" Target="http://www.sec.gov/Archives/edgar/data/1514991/000119312512347653/d392047dex101.htm" TargetMode="External"/><Relationship Id="rId114" Type="http://schemas.openxmlformats.org/officeDocument/2006/relationships/hyperlink" Target="http://www.sec.gov/Archives/edgar/data/1514991/000119312512347653/d392047dex103.htm" TargetMode="External"/><Relationship Id="rId115" Type="http://schemas.openxmlformats.org/officeDocument/2006/relationships/hyperlink" Target="http://www.sec.gov/Archives/edgar/data/1514991/000095012311056616/y91125a5exv10w13.htm" TargetMode="External"/><Relationship Id="rId116" Type="http://schemas.openxmlformats.org/officeDocument/2006/relationships/hyperlink" Target="http://www.sec.gov/Archives/edgar/data/1514991/000151499114000012/amcx-4292014xex101.htm" TargetMode="External"/><Relationship Id="rId117" Type="http://schemas.openxmlformats.org/officeDocument/2006/relationships/hyperlink" Target="http://www.sec.gov/Archives/edgar/data/1514991/000151499114000012/amcx-4292014xex102.htm" TargetMode="External"/><Relationship Id="rId118" Type="http://schemas.openxmlformats.org/officeDocument/2006/relationships/hyperlink" Target="http://www.sec.gov/Archives/edgar/data/1514991/000151499116000066/exhibit101.htm" TargetMode="External"/><Relationship Id="rId119" Type="http://schemas.openxmlformats.org/officeDocument/2006/relationships/hyperlink" Target="http://www.sec.gov/Archives/edgar/data/1514991/000151499118000024/amcx101218ex-101.htm" TargetMode="External"/><Relationship Id="rId120" Type="http://schemas.openxmlformats.org/officeDocument/2006/relationships/hyperlink" Target="http://www.sec.gov/Archives/edgar/data/1514991/000151499118000024/amcx101218ex-102.htm" TargetMode="External"/><Relationship Id="rId121" Type="http://schemas.openxmlformats.org/officeDocument/2006/relationships/hyperlink" Target="http://www.sec.gov/Archives/edgar/data/1514991/000095012311056616/y91125a5exv10w22.htm" TargetMode="External"/><Relationship Id="rId122" Type="http://schemas.openxmlformats.org/officeDocument/2006/relationships/hyperlink" Target="http://www.sec.gov/Archives/edgar/data/1514991/000119312512347653/d392047dex104.htm" TargetMode="External"/><Relationship Id="rId123" Type="http://schemas.openxmlformats.org/officeDocument/2006/relationships/hyperlink" Target="http://www.sec.gov/Archives/edgar/data/1514991/000151499116000043/amcx-12312015xex1031.htm" TargetMode="External"/><Relationship Id="rId124" Type="http://schemas.openxmlformats.org/officeDocument/2006/relationships/hyperlink" Target="http://www.sec.gov/Archives/edgar/data/1514991/000151499116000043/amcx-12312015xex1032.htm" TargetMode="External"/><Relationship Id="rId125" Type="http://schemas.openxmlformats.org/officeDocument/2006/relationships/hyperlink" Target="http://www.sec.gov/Archives/edgar/data/1514991/000151499116000066/exhibit102.htm" TargetMode="External"/><Relationship Id="rId126" Type="http://schemas.openxmlformats.org/officeDocument/2006/relationships/hyperlink" Target="http://www.sec.gov/Archives/edgar/data/1514991/000119312516604281/d200622dex991.htm" TargetMode="External"/><Relationship Id="rId127" Type="http://schemas.openxmlformats.org/officeDocument/2006/relationships/hyperlink" Target="http://www.sec.gov/Archives/edgar/data/1514991/000151499116000061/amcx-6302016xex101.htm" TargetMode="External"/><Relationship Id="rId128" Type="http://schemas.openxmlformats.org/officeDocument/2006/relationships/hyperlink" Target="http://www.sec.gov/Archives/edgar/data/1514991/000151499118000004/amcx-12312017xex1021.htm" TargetMode="External"/><Relationship Id="rId129" Type="http://schemas.openxmlformats.org/officeDocument/2006/relationships/hyperlink" Target="http://www.sec.gov/Archives/edgar/data/1514991/000151499118000004/amcx-12312017xex1022.htm" TargetMode="External"/><Relationship Id="rId130" Type="http://schemas.openxmlformats.org/officeDocument/2006/relationships/hyperlink" Target="http://www.sec.gov/Archives/edgar/data/1514991/000151499119000014/amcx-3312019xex101.htm" TargetMode="External"/><Relationship Id="rId131" Type="http://schemas.openxmlformats.org/officeDocument/2006/relationships/hyperlink" Target="http://www.sec.gov/Archives/edgar/data/1514991/000151499119000014/amcx-3312019x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2020-02-27T05:46:59Z</dcterms:created>
  <dcterms:modified xsi:type="dcterms:W3CDTF">2020-02-27T05:46:59Z</dcterms:modified>
</cp:coreProperties>
</file>